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B8A56" w14:textId="3D49385E" w:rsidR="003F4392" w:rsidRPr="00D57C02" w:rsidRDefault="005F2B51">
      <w:r w:rsidRPr="00D57C02">
        <w:rPr>
          <w:noProof/>
          <w:lang w:eastAsia="en-GB"/>
        </w:rPr>
        <mc:AlternateContent>
          <mc:Choice Requires="wps">
            <w:drawing>
              <wp:anchor distT="0" distB="0" distL="114300" distR="114300" simplePos="0" relativeHeight="251658240" behindDoc="0" locked="0" layoutInCell="1" allowOverlap="1" wp14:anchorId="5D0B8BD6" wp14:editId="6B2A00D4">
                <wp:simplePos x="0" y="0"/>
                <wp:positionH relativeFrom="page">
                  <wp:posOffset>-12700</wp:posOffset>
                </wp:positionH>
                <wp:positionV relativeFrom="paragraph">
                  <wp:posOffset>-855139</wp:posOffset>
                </wp:positionV>
                <wp:extent cx="7567930" cy="2303145"/>
                <wp:effectExtent l="0" t="0" r="13970" b="20955"/>
                <wp:wrapNone/>
                <wp:docPr id="15" name="Rectangle 15"/>
                <wp:cNvGraphicFramePr/>
                <a:graphic xmlns:a="http://schemas.openxmlformats.org/drawingml/2006/main">
                  <a:graphicData uri="http://schemas.microsoft.com/office/word/2010/wordprocessingShape">
                    <wps:wsp>
                      <wps:cNvSpPr/>
                      <wps:spPr>
                        <a:xfrm>
                          <a:off x="0" y="0"/>
                          <a:ext cx="7567930" cy="2303145"/>
                        </a:xfrm>
                        <a:prstGeom prst="rect">
                          <a:avLst/>
                        </a:prstGeom>
                        <a:solidFill>
                          <a:srgbClr val="1F49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B3102" id="Rectangle 15" o:spid="_x0000_s1026" style="position:absolute;margin-left:-1pt;margin-top:-67.35pt;width:595.9pt;height:18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" fillcolor="#1f497d" strokecolor="#1f4d78 [1604]" strokeweight="1pt">
                <w10:wrap anchorx="page"/>
              </v:rect>
            </w:pict>
          </mc:Fallback>
        </mc:AlternateContent>
      </w:r>
      <w:r w:rsidR="00401EBB" w:rsidRPr="00D57C02">
        <w:rPr>
          <w:noProof/>
          <w:lang w:eastAsia="en-GB"/>
        </w:rPr>
        <mc:AlternateContent>
          <mc:Choice Requires="wps">
            <w:drawing>
              <wp:anchor distT="0" distB="0" distL="114300" distR="114300" simplePos="0" relativeHeight="251658241" behindDoc="0" locked="0" layoutInCell="1" allowOverlap="1" wp14:anchorId="5D0B8BD4" wp14:editId="3D04503B">
                <wp:simplePos x="0" y="0"/>
                <wp:positionH relativeFrom="page">
                  <wp:posOffset>85725</wp:posOffset>
                </wp:positionH>
                <wp:positionV relativeFrom="paragraph">
                  <wp:posOffset>41113</wp:posOffset>
                </wp:positionV>
                <wp:extent cx="7515225" cy="1270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515225" cy="1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B8BEC" w14:textId="1C433F74" w:rsidR="00BB67AB" w:rsidRPr="00401EBB" w:rsidRDefault="00BB67AB" w:rsidP="00401EBB">
                            <w:pPr>
                              <w:spacing w:after="0"/>
                              <w:jc w:val="center"/>
                              <w:rPr>
                                <w:rFonts w:ascii="Arial" w:hAnsi="Arial"/>
                                <w:b/>
                                <w:color w:val="FFFFFF" w:themeColor="background1"/>
                                <w:sz w:val="56"/>
                                <w:szCs w:val="56"/>
                              </w:rPr>
                            </w:pPr>
                            <w:r w:rsidRPr="00401EBB">
                              <w:rPr>
                                <w:rFonts w:ascii="Arial" w:hAnsi="Arial"/>
                                <w:b/>
                                <w:color w:val="FFFFFF" w:themeColor="background1"/>
                                <w:sz w:val="56"/>
                                <w:szCs w:val="56"/>
                              </w:rPr>
                              <w:t>FUNDING REQUEST APPLICATION FORM</w:t>
                            </w:r>
                          </w:p>
                          <w:p w14:paraId="5D0B8BEE" w14:textId="2D1CB592" w:rsidR="00BB67AB" w:rsidRPr="00AB3764" w:rsidRDefault="00BB67AB" w:rsidP="00401EBB">
                            <w:pPr>
                              <w:spacing w:after="0"/>
                              <w:jc w:val="center"/>
                              <w:rPr>
                                <w:rFonts w:ascii="Arial" w:hAnsi="Arial"/>
                                <w:b/>
                                <w:color w:val="FFFFFF" w:themeColor="background1"/>
                                <w:sz w:val="52"/>
                                <w:szCs w:val="52"/>
                              </w:rPr>
                            </w:pPr>
                            <w:r w:rsidRPr="00AB3764">
                              <w:rPr>
                                <w:rFonts w:ascii="Arial" w:hAnsi="Arial"/>
                                <w:b/>
                                <w:color w:val="FFFFFF" w:themeColor="background1"/>
                                <w:sz w:val="52"/>
                                <w:szCs w:val="52"/>
                              </w:rPr>
                              <w:t>F</w:t>
                            </w:r>
                            <w:r>
                              <w:rPr>
                                <w:rFonts w:ascii="Arial" w:hAnsi="Arial"/>
                                <w:b/>
                                <w:color w:val="FFFFFF" w:themeColor="background1"/>
                                <w:sz w:val="52"/>
                                <w:szCs w:val="52"/>
                              </w:rPr>
                              <w:t>ull</w:t>
                            </w:r>
                            <w:r w:rsidRPr="00AB3764">
                              <w:rPr>
                                <w:rFonts w:ascii="Arial" w:hAnsi="Arial"/>
                                <w:b/>
                                <w:color w:val="FFFFFF" w:themeColor="background1"/>
                                <w:sz w:val="52"/>
                                <w:szCs w:val="52"/>
                              </w:rPr>
                              <w:t xml:space="preserve"> R</w:t>
                            </w:r>
                            <w:r>
                              <w:rPr>
                                <w:rFonts w:ascii="Arial" w:hAnsi="Arial"/>
                                <w:b/>
                                <w:color w:val="FFFFFF" w:themeColor="background1"/>
                                <w:sz w:val="52"/>
                                <w:szCs w:val="52"/>
                              </w:rPr>
                              <w:t>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3.25pt;width:591.75pt;height:10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" filled="f" stroked="f" strokeweight=".5pt">
                <v:textbox>
                  <w:txbxContent>
                    <w:p w14:paraId="5D0B8BEC" w14:textId="1C433F74" w:rsidR="00BB67AB" w:rsidRPr="00401EBB" w:rsidRDefault="00BB67AB" w:rsidP="00401EBB">
                      <w:pPr>
                        <w:spacing w:after="0"/>
                        <w:jc w:val="center"/>
                        <w:rPr>
                          <w:rFonts w:ascii="Arial" w:hAnsi="Arial"/>
                          <w:b/>
                          <w:color w:val="FFFFFF" w:themeColor="background1"/>
                          <w:sz w:val="56"/>
                          <w:szCs w:val="56"/>
                        </w:rPr>
                      </w:pPr>
                      <w:r w:rsidRPr="00401EBB">
                        <w:rPr>
                          <w:rFonts w:ascii="Arial" w:hAnsi="Arial"/>
                          <w:b/>
                          <w:color w:val="FFFFFF" w:themeColor="background1"/>
                          <w:sz w:val="56"/>
                          <w:szCs w:val="56"/>
                        </w:rPr>
                        <w:t>FUNDING REQUEST APPLICATION FORM</w:t>
                      </w:r>
                    </w:p>
                    <w:p w14:paraId="5D0B8BEE" w14:textId="2D1CB592" w:rsidR="00BB67AB" w:rsidRPr="00AB3764" w:rsidRDefault="00BB67AB" w:rsidP="00401EBB">
                      <w:pPr>
                        <w:spacing w:after="0"/>
                        <w:jc w:val="center"/>
                        <w:rPr>
                          <w:rFonts w:ascii="Arial" w:hAnsi="Arial"/>
                          <w:b/>
                          <w:color w:val="FFFFFF" w:themeColor="background1"/>
                          <w:sz w:val="52"/>
                          <w:szCs w:val="52"/>
                        </w:rPr>
                      </w:pPr>
                      <w:r w:rsidRPr="00AB3764">
                        <w:rPr>
                          <w:rFonts w:ascii="Arial" w:hAnsi="Arial"/>
                          <w:b/>
                          <w:color w:val="FFFFFF" w:themeColor="background1"/>
                          <w:sz w:val="52"/>
                          <w:szCs w:val="52"/>
                        </w:rPr>
                        <w:t>F</w:t>
                      </w:r>
                      <w:r>
                        <w:rPr>
                          <w:rFonts w:ascii="Arial" w:hAnsi="Arial"/>
                          <w:b/>
                          <w:color w:val="FFFFFF" w:themeColor="background1"/>
                          <w:sz w:val="52"/>
                          <w:szCs w:val="52"/>
                        </w:rPr>
                        <w:t>ull</w:t>
                      </w:r>
                      <w:r w:rsidRPr="00AB3764">
                        <w:rPr>
                          <w:rFonts w:ascii="Arial" w:hAnsi="Arial"/>
                          <w:b/>
                          <w:color w:val="FFFFFF" w:themeColor="background1"/>
                          <w:sz w:val="52"/>
                          <w:szCs w:val="52"/>
                        </w:rPr>
                        <w:t xml:space="preserve"> R</w:t>
                      </w:r>
                      <w:r>
                        <w:rPr>
                          <w:rFonts w:ascii="Arial" w:hAnsi="Arial"/>
                          <w:b/>
                          <w:color w:val="FFFFFF" w:themeColor="background1"/>
                          <w:sz w:val="52"/>
                          <w:szCs w:val="52"/>
                        </w:rPr>
                        <w:t>eview</w:t>
                      </w:r>
                    </w:p>
                  </w:txbxContent>
                </v:textbox>
                <w10:wrap anchorx="page"/>
              </v:shape>
            </w:pict>
          </mc:Fallback>
        </mc:AlternateContent>
      </w:r>
      <w:r w:rsidR="00485BE4" w:rsidRPr="00D57C02">
        <w:rPr>
          <w:noProof/>
          <w:lang w:eastAsia="en-GB"/>
        </w:rPr>
        <w:drawing>
          <wp:anchor distT="0" distB="0" distL="114300" distR="114300" simplePos="0" relativeHeight="251658242" behindDoc="0" locked="0" layoutInCell="1" allowOverlap="1" wp14:anchorId="5D0B8BD8" wp14:editId="3A688B21">
            <wp:simplePos x="0" y="0"/>
            <wp:positionH relativeFrom="column">
              <wp:posOffset>-485140</wp:posOffset>
            </wp:positionH>
            <wp:positionV relativeFrom="paragraph">
              <wp:posOffset>-582295</wp:posOffset>
            </wp:positionV>
            <wp:extent cx="2947035" cy="441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3">
                      <a:extLst>
                        <a:ext uri="{28A0092B-C50C-407E-A947-70E740481C1C}">
                          <a14:useLocalDpi xmlns:a14="http://schemas.microsoft.com/office/drawing/2010/main" val="0"/>
                        </a:ext>
                      </a:extLst>
                    </a:blip>
                    <a:stretch>
                      <a:fillRect/>
                    </a:stretch>
                  </pic:blipFill>
                  <pic:spPr>
                    <a:xfrm>
                      <a:off x="0" y="0"/>
                      <a:ext cx="2947035" cy="441325"/>
                    </a:xfrm>
                    <a:prstGeom prst="rect">
                      <a:avLst/>
                    </a:prstGeom>
                  </pic:spPr>
                </pic:pic>
              </a:graphicData>
            </a:graphic>
            <wp14:sizeRelH relativeFrom="page">
              <wp14:pctWidth>0</wp14:pctWidth>
            </wp14:sizeRelH>
            <wp14:sizeRelV relativeFrom="page">
              <wp14:pctHeight>0</wp14:pctHeight>
            </wp14:sizeRelV>
          </wp:anchor>
        </w:drawing>
      </w:r>
    </w:p>
    <w:p w14:paraId="5D0B8A57" w14:textId="78EFA7A7" w:rsidR="00042DCA" w:rsidRPr="00D57C02" w:rsidRDefault="00042DCA"/>
    <w:p w14:paraId="5D0B8A58" w14:textId="63D2C442" w:rsidR="00042DCA" w:rsidRPr="00D57C02" w:rsidRDefault="00042DCA"/>
    <w:p w14:paraId="5D0B8A59" w14:textId="0AE8C877" w:rsidR="00042DCA" w:rsidRPr="00D57C02" w:rsidRDefault="00042DCA"/>
    <w:p w14:paraId="5D0B8A5A" w14:textId="06D6EA35" w:rsidR="00042DCA" w:rsidRPr="00D57C02" w:rsidRDefault="00042DCA"/>
    <w:p w14:paraId="7623A0B6" w14:textId="77777777" w:rsidR="00322634" w:rsidRPr="00D57C02" w:rsidRDefault="00322634">
      <w:pPr>
        <w:rPr>
          <w:rFonts w:ascii="Arial" w:hAnsi="Arial" w:cs="Arial"/>
          <w:sz w:val="20"/>
          <w:szCs w:val="20"/>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3"/>
        <w:gridCol w:w="2127"/>
        <w:gridCol w:w="2409"/>
        <w:gridCol w:w="2410"/>
      </w:tblGrid>
      <w:tr w:rsidR="00C26127" w:rsidRPr="00C26127" w14:paraId="2FCB199A" w14:textId="77777777" w:rsidTr="00FE411C">
        <w:trPr>
          <w:trHeight w:val="558"/>
        </w:trPr>
        <w:tc>
          <w:tcPr>
            <w:tcW w:w="9209" w:type="dxa"/>
            <w:gridSpan w:val="4"/>
            <w:shd w:val="clear" w:color="auto" w:fill="1F497D"/>
            <w:vAlign w:val="center"/>
          </w:tcPr>
          <w:p w14:paraId="711AE4DE" w14:textId="77777777" w:rsidR="00322634" w:rsidRPr="00C26127" w:rsidRDefault="00322634" w:rsidP="00005E61">
            <w:pPr>
              <w:tabs>
                <w:tab w:val="right" w:pos="-1800"/>
                <w:tab w:val="left" w:pos="1440"/>
              </w:tabs>
              <w:jc w:val="both"/>
              <w:rPr>
                <w:rFonts w:ascii="Arial" w:eastAsia="SimSun" w:hAnsi="Arial"/>
                <w:b/>
                <w:color w:val="FFFFFF" w:themeColor="background1"/>
                <w:sz w:val="22"/>
                <w:szCs w:val="22"/>
                <w:lang w:eastAsia="zh-CN"/>
              </w:rPr>
            </w:pPr>
            <w:r w:rsidRPr="00C26127">
              <w:rPr>
                <w:rFonts w:ascii="Arial" w:eastAsia="SimSun" w:hAnsi="Arial"/>
                <w:color w:val="FFFFFF" w:themeColor="background1"/>
                <w:sz w:val="22"/>
                <w:szCs w:val="22"/>
                <w:lang w:eastAsia="zh-CN"/>
              </w:rPr>
              <w:br w:type="page"/>
            </w:r>
            <w:r w:rsidRPr="00C26127">
              <w:rPr>
                <w:rFonts w:ascii="Arial" w:eastAsia="SimSun" w:hAnsi="Arial"/>
                <w:b/>
                <w:color w:val="FFFFFF" w:themeColor="background1"/>
                <w:sz w:val="22"/>
                <w:szCs w:val="22"/>
                <w:shd w:val="clear" w:color="auto" w:fill="1F497D"/>
                <w:lang w:eastAsia="zh-CN"/>
              </w:rPr>
              <w:t>SUMMARY INFORMATION</w:t>
            </w:r>
          </w:p>
        </w:tc>
      </w:tr>
      <w:tr w:rsidR="00322634" w:rsidRPr="00D57C02" w14:paraId="337E93C7" w14:textId="77777777" w:rsidTr="00FE411C">
        <w:trPr>
          <w:trHeight w:val="531"/>
        </w:trPr>
        <w:tc>
          <w:tcPr>
            <w:tcW w:w="2263" w:type="dxa"/>
            <w:shd w:val="clear" w:color="auto" w:fill="F2F2F2" w:themeFill="background1" w:themeFillShade="F2"/>
            <w:vAlign w:val="center"/>
          </w:tcPr>
          <w:p w14:paraId="1DA1F3A7" w14:textId="77777777" w:rsidR="00322634" w:rsidRPr="00D57C02" w:rsidRDefault="00322634" w:rsidP="00005E61">
            <w:pPr>
              <w:tabs>
                <w:tab w:val="right" w:pos="-1800"/>
                <w:tab w:val="left" w:pos="1440"/>
              </w:tabs>
              <w:ind w:right="-613"/>
              <w:jc w:val="both"/>
              <w:rPr>
                <w:rFonts w:ascii="Arial" w:eastAsia="SimSun" w:hAnsi="Arial"/>
                <w:b/>
                <w:lang w:eastAsia="zh-CN"/>
              </w:rPr>
            </w:pPr>
            <w:r w:rsidRPr="00D57C02">
              <w:rPr>
                <w:rFonts w:ascii="Arial" w:eastAsia="SimSun" w:hAnsi="Arial"/>
                <w:b/>
                <w:lang w:eastAsia="zh-CN"/>
              </w:rPr>
              <w:t>Applicant</w:t>
            </w:r>
          </w:p>
        </w:tc>
        <w:tc>
          <w:tcPr>
            <w:tcW w:w="6946" w:type="dxa"/>
            <w:gridSpan w:val="3"/>
            <w:vAlign w:val="center"/>
          </w:tcPr>
          <w:p w14:paraId="690D04D0" w14:textId="77846211" w:rsidR="00322634" w:rsidRPr="00D57C02" w:rsidRDefault="005B332C" w:rsidP="00005E61">
            <w:pPr>
              <w:tabs>
                <w:tab w:val="right" w:pos="-1800"/>
                <w:tab w:val="left" w:pos="1440"/>
              </w:tabs>
              <w:ind w:right="-613"/>
              <w:rPr>
                <w:rFonts w:ascii="Arial" w:eastAsia="SimSun" w:hAnsi="Arial"/>
                <w:lang w:eastAsia="zh-CN"/>
              </w:rPr>
            </w:pPr>
            <w:r w:rsidRPr="00D57C02">
              <w:rPr>
                <w:rFonts w:ascii="Arial" w:eastAsia="SimSun" w:hAnsi="Arial"/>
                <w:lang w:eastAsia="zh-CN"/>
              </w:rPr>
              <w:t>NEPAL</w:t>
            </w:r>
          </w:p>
        </w:tc>
      </w:tr>
      <w:tr w:rsidR="00322634" w:rsidRPr="00D57C02" w14:paraId="135159FD" w14:textId="77777777" w:rsidTr="00FE411C">
        <w:trPr>
          <w:trHeight w:val="552"/>
        </w:trPr>
        <w:tc>
          <w:tcPr>
            <w:tcW w:w="2263" w:type="dxa"/>
            <w:shd w:val="clear" w:color="auto" w:fill="F2F2F2" w:themeFill="background1" w:themeFillShade="F2"/>
            <w:vAlign w:val="center"/>
          </w:tcPr>
          <w:p w14:paraId="19F80892" w14:textId="77777777" w:rsidR="00322634" w:rsidRPr="00D57C02" w:rsidRDefault="00322634" w:rsidP="00005E61">
            <w:pPr>
              <w:tabs>
                <w:tab w:val="right" w:pos="-1800"/>
                <w:tab w:val="left" w:pos="1440"/>
              </w:tabs>
              <w:ind w:right="34"/>
              <w:rPr>
                <w:rFonts w:ascii="Arial" w:eastAsia="SimSun" w:hAnsi="Arial"/>
                <w:b/>
                <w:lang w:eastAsia="zh-CN"/>
              </w:rPr>
            </w:pPr>
            <w:r w:rsidRPr="00D57C02">
              <w:rPr>
                <w:rFonts w:ascii="Arial" w:eastAsia="SimSun" w:hAnsi="Arial"/>
                <w:b/>
                <w:bCs/>
                <w:lang w:eastAsia="zh-CN"/>
              </w:rPr>
              <w:t>Component(s)</w:t>
            </w:r>
          </w:p>
        </w:tc>
        <w:tc>
          <w:tcPr>
            <w:tcW w:w="6946" w:type="dxa"/>
            <w:gridSpan w:val="3"/>
            <w:vAlign w:val="center"/>
          </w:tcPr>
          <w:p w14:paraId="5B6D8342" w14:textId="052BFAF4" w:rsidR="00322634" w:rsidRPr="00D57C02" w:rsidRDefault="005B332C" w:rsidP="00005E61">
            <w:pPr>
              <w:tabs>
                <w:tab w:val="right" w:pos="-1800"/>
                <w:tab w:val="left" w:pos="1440"/>
              </w:tabs>
              <w:ind w:right="-613"/>
              <w:jc w:val="both"/>
              <w:rPr>
                <w:rFonts w:ascii="Arial" w:eastAsia="SimSun" w:hAnsi="Arial"/>
                <w:lang w:eastAsia="zh-CN"/>
              </w:rPr>
            </w:pPr>
            <w:r w:rsidRPr="00D57C02">
              <w:rPr>
                <w:rFonts w:ascii="Arial" w:eastAsia="SimSun" w:hAnsi="Arial"/>
                <w:lang w:eastAsia="zh-CN"/>
              </w:rPr>
              <w:t>TUBERCULOSIS</w:t>
            </w:r>
          </w:p>
        </w:tc>
      </w:tr>
      <w:tr w:rsidR="00322634" w:rsidRPr="00D57C02" w14:paraId="58DBC9AC" w14:textId="77777777" w:rsidTr="00FE411C">
        <w:trPr>
          <w:trHeight w:val="560"/>
        </w:trPr>
        <w:tc>
          <w:tcPr>
            <w:tcW w:w="2263" w:type="dxa"/>
            <w:shd w:val="clear" w:color="auto" w:fill="F2F2F2" w:themeFill="background1" w:themeFillShade="F2"/>
            <w:vAlign w:val="center"/>
          </w:tcPr>
          <w:p w14:paraId="32F5FEAD" w14:textId="18C5AC0A" w:rsidR="00322634" w:rsidRPr="00D57C02" w:rsidRDefault="00322634" w:rsidP="00C61560">
            <w:pPr>
              <w:tabs>
                <w:tab w:val="right" w:pos="-1800"/>
                <w:tab w:val="left" w:pos="1440"/>
              </w:tabs>
              <w:ind w:right="34"/>
              <w:rPr>
                <w:rFonts w:ascii="Arial" w:eastAsia="SimSun" w:hAnsi="Arial"/>
                <w:b/>
                <w:lang w:eastAsia="zh-CN"/>
              </w:rPr>
            </w:pPr>
            <w:r w:rsidRPr="00D57C02">
              <w:rPr>
                <w:rFonts w:ascii="Arial" w:eastAsia="SimSun" w:hAnsi="Arial"/>
                <w:b/>
                <w:lang w:eastAsia="zh-CN"/>
              </w:rPr>
              <w:t xml:space="preserve">Principal </w:t>
            </w:r>
            <w:r w:rsidR="001631BD" w:rsidRPr="00D57C02">
              <w:rPr>
                <w:rFonts w:ascii="Arial" w:eastAsia="SimSun" w:hAnsi="Arial"/>
                <w:b/>
                <w:lang w:eastAsia="zh-CN"/>
              </w:rPr>
              <w:t>R</w:t>
            </w:r>
            <w:r w:rsidRPr="00D57C02">
              <w:rPr>
                <w:rFonts w:ascii="Arial" w:eastAsia="SimSun" w:hAnsi="Arial"/>
                <w:b/>
                <w:lang w:eastAsia="zh-CN"/>
              </w:rPr>
              <w:t>ecipient(s)</w:t>
            </w:r>
          </w:p>
        </w:tc>
        <w:tc>
          <w:tcPr>
            <w:tcW w:w="6946" w:type="dxa"/>
            <w:gridSpan w:val="3"/>
            <w:vAlign w:val="center"/>
          </w:tcPr>
          <w:p w14:paraId="2237FC6E" w14:textId="09BC6AC6" w:rsidR="00322634" w:rsidRPr="00D57C02" w:rsidRDefault="008D3BFE" w:rsidP="00005E61">
            <w:pPr>
              <w:tabs>
                <w:tab w:val="right" w:pos="-1800"/>
                <w:tab w:val="left" w:pos="1440"/>
              </w:tabs>
              <w:ind w:right="-613"/>
              <w:jc w:val="both"/>
              <w:rPr>
                <w:rFonts w:ascii="Arial" w:eastAsia="SimSun" w:hAnsi="Arial"/>
                <w:lang w:eastAsia="zh-CN"/>
              </w:rPr>
            </w:pPr>
            <w:r>
              <w:rPr>
                <w:rFonts w:ascii="Arial" w:eastAsia="SimSun" w:hAnsi="Arial"/>
                <w:lang w:eastAsia="zh-CN"/>
              </w:rPr>
              <w:t>Save The Children Federation, Inc.</w:t>
            </w:r>
          </w:p>
        </w:tc>
      </w:tr>
      <w:tr w:rsidR="00322634" w:rsidRPr="00D57C02" w14:paraId="13E6DC37" w14:textId="77777777" w:rsidTr="00FE411C">
        <w:trPr>
          <w:trHeight w:val="554"/>
        </w:trPr>
        <w:tc>
          <w:tcPr>
            <w:tcW w:w="2263" w:type="dxa"/>
            <w:shd w:val="clear" w:color="auto" w:fill="F2F2F2" w:themeFill="background1" w:themeFillShade="F2"/>
            <w:vAlign w:val="center"/>
          </w:tcPr>
          <w:p w14:paraId="02D4B0CB" w14:textId="02C1C60C" w:rsidR="00322634" w:rsidRPr="00D57C02" w:rsidRDefault="00322634" w:rsidP="00C61560">
            <w:pPr>
              <w:tabs>
                <w:tab w:val="right" w:pos="-1800"/>
                <w:tab w:val="left" w:pos="1440"/>
              </w:tabs>
              <w:ind w:right="34"/>
              <w:rPr>
                <w:rFonts w:ascii="Arial" w:eastAsia="SimSun" w:hAnsi="Arial"/>
                <w:b/>
                <w:lang w:eastAsia="zh-CN"/>
              </w:rPr>
            </w:pPr>
            <w:r w:rsidRPr="00D57C02">
              <w:rPr>
                <w:rFonts w:ascii="Arial" w:eastAsia="SimSun" w:hAnsi="Arial"/>
                <w:b/>
                <w:lang w:eastAsia="zh-CN"/>
              </w:rPr>
              <w:t xml:space="preserve">Envisioned grant(s) </w:t>
            </w:r>
            <w:r w:rsidR="00C61560" w:rsidRPr="00D57C02">
              <w:rPr>
                <w:rFonts w:ascii="Arial" w:eastAsia="SimSun" w:hAnsi="Arial"/>
                <w:b/>
                <w:lang w:eastAsia="zh-CN"/>
              </w:rPr>
              <w:t>s</w:t>
            </w:r>
            <w:r w:rsidRPr="00D57C02">
              <w:rPr>
                <w:rFonts w:ascii="Arial" w:eastAsia="SimSun" w:hAnsi="Arial"/>
                <w:b/>
                <w:lang w:eastAsia="zh-CN"/>
              </w:rPr>
              <w:t xml:space="preserve">tart </w:t>
            </w:r>
            <w:r w:rsidR="00C61560" w:rsidRPr="00D57C02">
              <w:rPr>
                <w:rFonts w:ascii="Arial" w:eastAsia="SimSun" w:hAnsi="Arial"/>
                <w:b/>
                <w:lang w:eastAsia="zh-CN"/>
              </w:rPr>
              <w:t>d</w:t>
            </w:r>
            <w:r w:rsidRPr="00D57C02">
              <w:rPr>
                <w:rFonts w:ascii="Arial" w:eastAsia="SimSun" w:hAnsi="Arial"/>
                <w:b/>
                <w:lang w:eastAsia="zh-CN"/>
              </w:rPr>
              <w:t xml:space="preserve">ate </w:t>
            </w:r>
          </w:p>
        </w:tc>
        <w:tc>
          <w:tcPr>
            <w:tcW w:w="2127" w:type="dxa"/>
            <w:vAlign w:val="center"/>
          </w:tcPr>
          <w:p w14:paraId="348EFF0A" w14:textId="2E59EF63" w:rsidR="00322634" w:rsidRPr="00D57C02" w:rsidRDefault="009B48E2" w:rsidP="009B48E2">
            <w:pPr>
              <w:tabs>
                <w:tab w:val="right" w:pos="-1800"/>
                <w:tab w:val="left" w:pos="1440"/>
              </w:tabs>
              <w:ind w:right="-613"/>
              <w:jc w:val="both"/>
              <w:rPr>
                <w:rFonts w:ascii="Arial" w:eastAsia="SimSun" w:hAnsi="Arial"/>
                <w:lang w:eastAsia="zh-CN"/>
              </w:rPr>
            </w:pPr>
            <w:r w:rsidRPr="00D57C02">
              <w:rPr>
                <w:rFonts w:ascii="Arial" w:eastAsia="SimSun" w:hAnsi="Arial"/>
                <w:lang w:eastAsia="zh-CN"/>
              </w:rPr>
              <w:t>16 March 2018</w:t>
            </w:r>
          </w:p>
        </w:tc>
        <w:tc>
          <w:tcPr>
            <w:tcW w:w="2409" w:type="dxa"/>
            <w:shd w:val="clear" w:color="auto" w:fill="F2F2F2" w:themeFill="background1" w:themeFillShade="F2"/>
            <w:vAlign w:val="center"/>
          </w:tcPr>
          <w:p w14:paraId="6CDAEB50" w14:textId="59747484" w:rsidR="00322634" w:rsidRPr="00D57C02" w:rsidRDefault="00322634" w:rsidP="00C61560">
            <w:pPr>
              <w:tabs>
                <w:tab w:val="right" w:pos="-1800"/>
                <w:tab w:val="left" w:pos="1440"/>
              </w:tabs>
              <w:ind w:right="169"/>
              <w:rPr>
                <w:rFonts w:ascii="Arial" w:eastAsia="SimSun" w:hAnsi="Arial"/>
                <w:b/>
                <w:lang w:eastAsia="zh-CN"/>
              </w:rPr>
            </w:pPr>
            <w:r w:rsidRPr="00D57C02">
              <w:rPr>
                <w:rFonts w:ascii="Arial" w:eastAsia="SimSun" w:hAnsi="Arial"/>
                <w:b/>
                <w:lang w:eastAsia="zh-CN"/>
              </w:rPr>
              <w:t xml:space="preserve">Envisioned </w:t>
            </w:r>
            <w:r w:rsidR="00C61560" w:rsidRPr="00D57C02">
              <w:rPr>
                <w:rFonts w:ascii="Arial" w:eastAsia="SimSun" w:hAnsi="Arial"/>
                <w:b/>
                <w:lang w:eastAsia="zh-CN"/>
              </w:rPr>
              <w:t>g</w:t>
            </w:r>
            <w:r w:rsidRPr="00D57C02">
              <w:rPr>
                <w:rFonts w:ascii="Arial" w:eastAsia="SimSun" w:hAnsi="Arial"/>
                <w:b/>
                <w:lang w:eastAsia="zh-CN"/>
              </w:rPr>
              <w:t xml:space="preserve">rant(s) </w:t>
            </w:r>
            <w:r w:rsidR="00C61560" w:rsidRPr="00D57C02">
              <w:rPr>
                <w:rFonts w:ascii="Arial" w:eastAsia="SimSun" w:hAnsi="Arial"/>
                <w:b/>
                <w:lang w:eastAsia="zh-CN"/>
              </w:rPr>
              <w:t>e</w:t>
            </w:r>
            <w:r w:rsidRPr="00D57C02">
              <w:rPr>
                <w:rFonts w:ascii="Arial" w:eastAsia="SimSun" w:hAnsi="Arial"/>
                <w:b/>
                <w:lang w:eastAsia="zh-CN"/>
              </w:rPr>
              <w:t xml:space="preserve">nd </w:t>
            </w:r>
            <w:r w:rsidR="00C61560" w:rsidRPr="00D57C02">
              <w:rPr>
                <w:rFonts w:ascii="Arial" w:eastAsia="SimSun" w:hAnsi="Arial"/>
                <w:b/>
                <w:lang w:eastAsia="zh-CN"/>
              </w:rPr>
              <w:t>d</w:t>
            </w:r>
            <w:r w:rsidRPr="00D57C02">
              <w:rPr>
                <w:rFonts w:ascii="Arial" w:eastAsia="SimSun" w:hAnsi="Arial"/>
                <w:b/>
                <w:lang w:eastAsia="zh-CN"/>
              </w:rPr>
              <w:t xml:space="preserve">ate </w:t>
            </w:r>
          </w:p>
        </w:tc>
        <w:tc>
          <w:tcPr>
            <w:tcW w:w="2410" w:type="dxa"/>
          </w:tcPr>
          <w:p w14:paraId="6904A19A" w14:textId="77777777" w:rsidR="009B48E2" w:rsidRPr="00D57C02" w:rsidRDefault="009B48E2" w:rsidP="00005E61">
            <w:pPr>
              <w:tabs>
                <w:tab w:val="right" w:pos="-1800"/>
                <w:tab w:val="left" w:pos="1440"/>
              </w:tabs>
              <w:ind w:right="-613"/>
              <w:jc w:val="both"/>
              <w:rPr>
                <w:rFonts w:ascii="Arial" w:eastAsia="SimSun" w:hAnsi="Arial"/>
                <w:lang w:eastAsia="zh-CN"/>
              </w:rPr>
            </w:pPr>
          </w:p>
          <w:p w14:paraId="25825440" w14:textId="6B16E964" w:rsidR="00322634" w:rsidRPr="00D57C02" w:rsidRDefault="009B48E2" w:rsidP="00005E61">
            <w:pPr>
              <w:tabs>
                <w:tab w:val="right" w:pos="-1800"/>
                <w:tab w:val="left" w:pos="1440"/>
              </w:tabs>
              <w:ind w:right="-613"/>
              <w:jc w:val="both"/>
              <w:rPr>
                <w:rFonts w:ascii="Arial" w:eastAsia="SimSun" w:hAnsi="Arial"/>
                <w:lang w:eastAsia="zh-CN"/>
              </w:rPr>
            </w:pPr>
            <w:r w:rsidRPr="00D57C02">
              <w:rPr>
                <w:rFonts w:ascii="Arial" w:eastAsia="SimSun" w:hAnsi="Arial"/>
                <w:lang w:eastAsia="zh-CN"/>
              </w:rPr>
              <w:t>15 March 2021</w:t>
            </w:r>
          </w:p>
        </w:tc>
      </w:tr>
      <w:tr w:rsidR="008945F5" w:rsidRPr="00D57C02" w14:paraId="30121B8B" w14:textId="77777777" w:rsidTr="00FE411C">
        <w:trPr>
          <w:trHeight w:val="562"/>
        </w:trPr>
        <w:tc>
          <w:tcPr>
            <w:tcW w:w="2263" w:type="dxa"/>
            <w:shd w:val="clear" w:color="auto" w:fill="F2F2F2" w:themeFill="background1" w:themeFillShade="F2"/>
            <w:vAlign w:val="center"/>
          </w:tcPr>
          <w:p w14:paraId="4E905415" w14:textId="56956721" w:rsidR="008945F5" w:rsidRPr="00D57C02" w:rsidRDefault="00A12210" w:rsidP="00C61560">
            <w:pPr>
              <w:tabs>
                <w:tab w:val="right" w:pos="-1800"/>
                <w:tab w:val="left" w:pos="1440"/>
              </w:tabs>
              <w:ind w:right="34"/>
              <w:rPr>
                <w:rFonts w:ascii="Arial" w:eastAsia="SimSun" w:hAnsi="Arial"/>
                <w:b/>
                <w:lang w:eastAsia="zh-CN"/>
              </w:rPr>
            </w:pPr>
            <w:r w:rsidRPr="00D57C02">
              <w:rPr>
                <w:rFonts w:ascii="Arial" w:eastAsia="SimSun" w:hAnsi="Arial"/>
                <w:b/>
                <w:lang w:eastAsia="zh-CN"/>
              </w:rPr>
              <w:t xml:space="preserve">Allocation </w:t>
            </w:r>
            <w:r w:rsidR="00C61560" w:rsidRPr="00D57C02">
              <w:rPr>
                <w:rFonts w:ascii="Arial" w:eastAsia="SimSun" w:hAnsi="Arial"/>
                <w:b/>
                <w:lang w:eastAsia="zh-CN"/>
              </w:rPr>
              <w:t>f</w:t>
            </w:r>
            <w:r w:rsidRPr="00D57C02">
              <w:rPr>
                <w:rFonts w:ascii="Arial" w:eastAsia="SimSun" w:hAnsi="Arial"/>
                <w:b/>
                <w:lang w:eastAsia="zh-CN"/>
              </w:rPr>
              <w:t xml:space="preserve">unding </w:t>
            </w:r>
            <w:r w:rsidR="00C61560" w:rsidRPr="00D57C02">
              <w:rPr>
                <w:rFonts w:ascii="Arial" w:eastAsia="SimSun" w:hAnsi="Arial"/>
                <w:b/>
                <w:lang w:eastAsia="zh-CN"/>
              </w:rPr>
              <w:t>r</w:t>
            </w:r>
            <w:r w:rsidRPr="00D57C02">
              <w:rPr>
                <w:rFonts w:ascii="Arial" w:eastAsia="SimSun" w:hAnsi="Arial"/>
                <w:b/>
                <w:lang w:eastAsia="zh-CN"/>
              </w:rPr>
              <w:t>equest</w:t>
            </w:r>
          </w:p>
        </w:tc>
        <w:tc>
          <w:tcPr>
            <w:tcW w:w="2127" w:type="dxa"/>
            <w:shd w:val="clear" w:color="auto" w:fill="auto"/>
            <w:vAlign w:val="center"/>
          </w:tcPr>
          <w:p w14:paraId="11F688DE" w14:textId="4645D31D" w:rsidR="008945F5" w:rsidRPr="00D57C02" w:rsidRDefault="009B48E2" w:rsidP="00593530">
            <w:pPr>
              <w:tabs>
                <w:tab w:val="right" w:pos="-1800"/>
                <w:tab w:val="left" w:pos="1440"/>
              </w:tabs>
              <w:ind w:right="-613"/>
              <w:jc w:val="both"/>
              <w:rPr>
                <w:rFonts w:ascii="Arial" w:eastAsia="SimSun" w:hAnsi="Arial"/>
                <w:lang w:eastAsia="zh-CN"/>
              </w:rPr>
            </w:pPr>
            <w:r w:rsidRPr="00D57C02">
              <w:rPr>
                <w:rFonts w:ascii="Arial" w:eastAsia="SimSun" w:hAnsi="Arial"/>
                <w:lang w:eastAsia="zh-CN"/>
              </w:rPr>
              <w:t>USD 16,138,548</w:t>
            </w:r>
          </w:p>
        </w:tc>
        <w:tc>
          <w:tcPr>
            <w:tcW w:w="2409" w:type="dxa"/>
            <w:shd w:val="clear" w:color="auto" w:fill="F2F2F2" w:themeFill="background1" w:themeFillShade="F2"/>
            <w:vAlign w:val="center"/>
          </w:tcPr>
          <w:p w14:paraId="39ED5AF4" w14:textId="1C5BD0F4" w:rsidR="008945F5" w:rsidRPr="00D57C02" w:rsidRDefault="00A12210" w:rsidP="008945F5">
            <w:pPr>
              <w:tabs>
                <w:tab w:val="right" w:pos="-1800"/>
                <w:tab w:val="left" w:pos="1440"/>
              </w:tabs>
              <w:ind w:right="169"/>
              <w:rPr>
                <w:rFonts w:ascii="Arial" w:eastAsia="SimSun" w:hAnsi="Arial"/>
                <w:b/>
                <w:lang w:eastAsia="zh-CN"/>
              </w:rPr>
            </w:pPr>
            <w:r w:rsidRPr="00D57C02">
              <w:rPr>
                <w:rFonts w:ascii="Arial" w:eastAsia="SimSun" w:hAnsi="Arial"/>
                <w:b/>
                <w:lang w:eastAsia="zh-CN"/>
              </w:rPr>
              <w:t>Prioritized above allocation request</w:t>
            </w:r>
          </w:p>
        </w:tc>
        <w:tc>
          <w:tcPr>
            <w:tcW w:w="2410" w:type="dxa"/>
            <w:vAlign w:val="center"/>
          </w:tcPr>
          <w:p w14:paraId="61C72638" w14:textId="5A653C35" w:rsidR="008945F5" w:rsidRPr="00D57C02" w:rsidRDefault="00A64312" w:rsidP="00593530">
            <w:pPr>
              <w:tabs>
                <w:tab w:val="right" w:pos="-1800"/>
                <w:tab w:val="left" w:pos="1440"/>
              </w:tabs>
              <w:ind w:right="-613"/>
              <w:jc w:val="both"/>
              <w:rPr>
                <w:rFonts w:ascii="Arial" w:eastAsia="SimSun" w:hAnsi="Arial"/>
                <w:lang w:eastAsia="zh-CN"/>
              </w:rPr>
            </w:pPr>
            <w:r>
              <w:rPr>
                <w:rFonts w:ascii="Arial" w:eastAsia="SimSun" w:hAnsi="Arial"/>
                <w:lang w:eastAsia="zh-CN"/>
              </w:rPr>
              <w:t>8,721,737.09</w:t>
            </w:r>
          </w:p>
        </w:tc>
      </w:tr>
    </w:tbl>
    <w:p w14:paraId="41B77E3C" w14:textId="77777777" w:rsidR="00322634" w:rsidRPr="00D57C02" w:rsidRDefault="00322634" w:rsidP="00322634">
      <w:pPr>
        <w:rPr>
          <w:rFonts w:ascii="Arial" w:hAnsi="Arial" w:cs="Arial"/>
          <w:sz w:val="20"/>
          <w:szCs w:val="20"/>
        </w:rPr>
      </w:pPr>
    </w:p>
    <w:tbl>
      <w:tblPr>
        <w:tblStyle w:val="TableGrid"/>
        <w:tblW w:w="9191"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firstRow="1" w:lastRow="0" w:firstColumn="1" w:lastColumn="0" w:noHBand="0" w:noVBand="1"/>
      </w:tblPr>
      <w:tblGrid>
        <w:gridCol w:w="9191"/>
      </w:tblGrid>
      <w:tr w:rsidR="002C5DFD" w:rsidRPr="00D57C02" w14:paraId="730CF97D" w14:textId="77777777" w:rsidTr="006448A4">
        <w:tc>
          <w:tcPr>
            <w:tcW w:w="9191" w:type="dxa"/>
            <w:tcBorders>
              <w:top w:val="nil"/>
              <w:left w:val="nil"/>
              <w:bottom w:val="nil"/>
              <w:right w:val="nil"/>
            </w:tcBorders>
            <w:shd w:val="clear" w:color="auto" w:fill="EEECE1"/>
          </w:tcPr>
          <w:p w14:paraId="03E83EA5" w14:textId="0B221C46" w:rsidR="006C093E" w:rsidRPr="00D57C02" w:rsidRDefault="002C5DFD" w:rsidP="002C5DFD">
            <w:pPr>
              <w:autoSpaceDE w:val="0"/>
              <w:autoSpaceDN w:val="0"/>
              <w:adjustRightInd w:val="0"/>
              <w:spacing w:before="120" w:after="120"/>
              <w:rPr>
                <w:rFonts w:ascii="Arial" w:hAnsi="Arial"/>
                <w:bCs/>
                <w:i/>
                <w:iCs/>
              </w:rPr>
            </w:pPr>
            <w:r w:rsidRPr="00D57C02">
              <w:rPr>
                <w:rFonts w:ascii="Arial" w:hAnsi="Arial"/>
                <w:b/>
                <w:bCs/>
                <w:i/>
                <w:iCs/>
                <w:u w:val="single"/>
              </w:rPr>
              <w:t>IMPORTANT:</w:t>
            </w:r>
          </w:p>
          <w:p w14:paraId="1DB5998A" w14:textId="20E89F3B" w:rsidR="006C093E" w:rsidRPr="00D57C02" w:rsidRDefault="002C5DFD" w:rsidP="00FD5719">
            <w:pPr>
              <w:jc w:val="both"/>
              <w:rPr>
                <w:rFonts w:ascii="Arial" w:hAnsi="Arial"/>
                <w:bCs/>
                <w:iCs/>
              </w:rPr>
            </w:pPr>
            <w:r w:rsidRPr="00D57C02">
              <w:rPr>
                <w:rFonts w:ascii="Arial" w:hAnsi="Arial"/>
                <w:b/>
                <w:bCs/>
                <w:iCs/>
              </w:rPr>
              <w:t xml:space="preserve">To complete </w:t>
            </w:r>
            <w:r w:rsidR="006C093E" w:rsidRPr="00D57C02">
              <w:rPr>
                <w:rFonts w:ascii="Arial" w:hAnsi="Arial"/>
                <w:b/>
                <w:bCs/>
                <w:iCs/>
              </w:rPr>
              <w:t>this funding request</w:t>
            </w:r>
            <w:r w:rsidR="003F012C" w:rsidRPr="00D57C02">
              <w:rPr>
                <w:rFonts w:ascii="Arial" w:hAnsi="Arial"/>
                <w:bCs/>
                <w:iCs/>
              </w:rPr>
              <w:t>, please:</w:t>
            </w:r>
          </w:p>
          <w:p w14:paraId="1A608148" w14:textId="77777777" w:rsidR="004759B7" w:rsidRPr="00D57C02" w:rsidRDefault="004759B7" w:rsidP="00FD5719">
            <w:pPr>
              <w:jc w:val="both"/>
              <w:rPr>
                <w:rFonts w:ascii="Arial" w:hAnsi="Arial"/>
                <w:bCs/>
                <w:iCs/>
              </w:rPr>
            </w:pPr>
          </w:p>
          <w:p w14:paraId="4700DC81" w14:textId="4D799AA4" w:rsidR="003F012C" w:rsidRPr="00D57C02" w:rsidRDefault="006C093E" w:rsidP="007D5FAE">
            <w:pPr>
              <w:pStyle w:val="ListParagraph"/>
              <w:numPr>
                <w:ilvl w:val="0"/>
                <w:numId w:val="3"/>
              </w:numPr>
              <w:jc w:val="both"/>
              <w:rPr>
                <w:rFonts w:ascii="Arial" w:hAnsi="Arial"/>
                <w:bCs/>
                <w:iCs/>
              </w:rPr>
            </w:pPr>
            <w:r w:rsidRPr="00D57C02">
              <w:rPr>
                <w:rFonts w:ascii="Arial" w:hAnsi="Arial"/>
                <w:bCs/>
                <w:iCs/>
              </w:rPr>
              <w:t>R</w:t>
            </w:r>
            <w:r w:rsidR="002C5DFD" w:rsidRPr="00D57C02">
              <w:rPr>
                <w:rFonts w:ascii="Arial" w:hAnsi="Arial"/>
                <w:bCs/>
                <w:iCs/>
              </w:rPr>
              <w:t>efer to</w:t>
            </w:r>
            <w:r w:rsidR="00391109" w:rsidRPr="00D57C02">
              <w:rPr>
                <w:rFonts w:ascii="Arial" w:hAnsi="Arial"/>
                <w:bCs/>
                <w:iCs/>
              </w:rPr>
              <w:t xml:space="preserve"> the</w:t>
            </w:r>
            <w:r w:rsidR="00AA2A8D" w:rsidRPr="00D57C02">
              <w:rPr>
                <w:rFonts w:ascii="Arial" w:hAnsi="Arial"/>
                <w:bCs/>
                <w:iCs/>
              </w:rPr>
              <w:t xml:space="preserve"> accompanying</w:t>
            </w:r>
            <w:r w:rsidR="002C5DFD" w:rsidRPr="00D57C02">
              <w:rPr>
                <w:rFonts w:ascii="Arial" w:hAnsi="Arial"/>
                <w:bCs/>
                <w:iCs/>
              </w:rPr>
              <w:t xml:space="preserve"> </w:t>
            </w:r>
            <w:r w:rsidR="003948DC" w:rsidRPr="00D57C02">
              <w:rPr>
                <w:rFonts w:ascii="Arial" w:hAnsi="Arial"/>
                <w:b/>
                <w:bCs/>
                <w:i/>
                <w:iCs/>
              </w:rPr>
              <w:t xml:space="preserve">Funding Request </w:t>
            </w:r>
            <w:r w:rsidR="002C5DFD" w:rsidRPr="00D57C02">
              <w:rPr>
                <w:rFonts w:ascii="Arial" w:hAnsi="Arial"/>
                <w:b/>
                <w:bCs/>
                <w:i/>
                <w:iCs/>
              </w:rPr>
              <w:t>Instructions</w:t>
            </w:r>
            <w:r w:rsidR="003948DC" w:rsidRPr="00D57C02">
              <w:rPr>
                <w:rFonts w:ascii="Arial" w:hAnsi="Arial"/>
                <w:b/>
                <w:bCs/>
                <w:i/>
                <w:iCs/>
              </w:rPr>
              <w:t>:</w:t>
            </w:r>
            <w:r w:rsidR="002C5DFD" w:rsidRPr="00D57C02">
              <w:rPr>
                <w:rFonts w:ascii="Arial" w:hAnsi="Arial"/>
                <w:b/>
                <w:bCs/>
                <w:i/>
                <w:iCs/>
              </w:rPr>
              <w:t xml:space="preserve"> Full Review</w:t>
            </w:r>
            <w:r w:rsidR="00AA2A8D" w:rsidRPr="00D57C02">
              <w:rPr>
                <w:rFonts w:ascii="Arial" w:hAnsi="Arial"/>
                <w:bCs/>
                <w:i/>
                <w:iCs/>
              </w:rPr>
              <w:t>;</w:t>
            </w:r>
          </w:p>
          <w:p w14:paraId="2C60EB2E" w14:textId="4FECDE37" w:rsidR="006C093E" w:rsidRPr="00D57C02" w:rsidRDefault="00391109" w:rsidP="007D5FAE">
            <w:pPr>
              <w:pStyle w:val="ListParagraph"/>
              <w:numPr>
                <w:ilvl w:val="0"/>
                <w:numId w:val="3"/>
              </w:numPr>
              <w:jc w:val="both"/>
              <w:rPr>
                <w:rFonts w:ascii="Arial" w:hAnsi="Arial"/>
                <w:bCs/>
                <w:iCs/>
              </w:rPr>
            </w:pPr>
            <w:r w:rsidRPr="00D57C02">
              <w:rPr>
                <w:rFonts w:ascii="Arial" w:hAnsi="Arial"/>
                <w:bCs/>
                <w:iCs/>
              </w:rPr>
              <w:t xml:space="preserve">Refer to the Information Note for each component as relevant to the funding request, and </w:t>
            </w:r>
            <w:r w:rsidR="003F012C" w:rsidRPr="00D57C02">
              <w:rPr>
                <w:rFonts w:ascii="Arial" w:hAnsi="Arial"/>
                <w:bCs/>
                <w:iCs/>
              </w:rPr>
              <w:t>other guidance available</w:t>
            </w:r>
            <w:r w:rsidR="00005886" w:rsidRPr="00D57C02">
              <w:rPr>
                <w:rFonts w:ascii="Arial" w:hAnsi="Arial"/>
                <w:bCs/>
                <w:iCs/>
              </w:rPr>
              <w:t xml:space="preserve">, found on the </w:t>
            </w:r>
            <w:hyperlink r:id="rId14" w:history="1">
              <w:r w:rsidR="00005886" w:rsidRPr="00D57C02">
                <w:rPr>
                  <w:rStyle w:val="Hyperlink"/>
                  <w:rFonts w:ascii="Arial" w:hAnsi="Arial" w:cs="Arial"/>
                  <w:bCs/>
                  <w:iCs/>
                  <w:color w:val="auto"/>
                </w:rPr>
                <w:t>Global Fund website</w:t>
              </w:r>
            </w:hyperlink>
            <w:r w:rsidR="00005886" w:rsidRPr="00D57C02">
              <w:rPr>
                <w:rFonts w:ascii="Arial" w:hAnsi="Arial"/>
                <w:bCs/>
                <w:iCs/>
              </w:rPr>
              <w:t>.</w:t>
            </w:r>
          </w:p>
          <w:p w14:paraId="5D540B77" w14:textId="7CF3857D" w:rsidR="006C093E" w:rsidRPr="00D57C02" w:rsidRDefault="006C093E" w:rsidP="007D5FAE">
            <w:pPr>
              <w:pStyle w:val="ListParagraph"/>
              <w:numPr>
                <w:ilvl w:val="0"/>
                <w:numId w:val="3"/>
              </w:numPr>
              <w:jc w:val="both"/>
              <w:rPr>
                <w:rFonts w:ascii="Arial" w:hAnsi="Arial"/>
                <w:bCs/>
                <w:iCs/>
              </w:rPr>
            </w:pPr>
            <w:r w:rsidRPr="00D57C02">
              <w:rPr>
                <w:rFonts w:ascii="Arial" w:hAnsi="Arial"/>
              </w:rPr>
              <w:t>Ensure that all mandatory attachments have been completed and attached</w:t>
            </w:r>
            <w:r w:rsidR="00F57EBD" w:rsidRPr="00D57C02">
              <w:rPr>
                <w:rFonts w:ascii="Arial" w:hAnsi="Arial"/>
              </w:rPr>
              <w:t>. To assist with this, an application checklist is provided in the</w:t>
            </w:r>
            <w:r w:rsidR="00005886" w:rsidRPr="00D57C02">
              <w:rPr>
                <w:rFonts w:ascii="Arial" w:hAnsi="Arial"/>
              </w:rPr>
              <w:t xml:space="preserve"> Annex of the</w:t>
            </w:r>
            <w:r w:rsidR="00F57EBD" w:rsidRPr="00D57C02">
              <w:rPr>
                <w:rFonts w:ascii="Arial" w:hAnsi="Arial"/>
              </w:rPr>
              <w:t xml:space="preserve"> </w:t>
            </w:r>
            <w:r w:rsidR="00F57EBD" w:rsidRPr="00D57C02">
              <w:rPr>
                <w:rFonts w:ascii="Arial" w:hAnsi="Arial"/>
                <w:i/>
              </w:rPr>
              <w:t>Instructions</w:t>
            </w:r>
            <w:r w:rsidR="00AA2A8D" w:rsidRPr="00D57C02">
              <w:rPr>
                <w:rFonts w:ascii="Arial" w:hAnsi="Arial"/>
              </w:rPr>
              <w:t>;</w:t>
            </w:r>
          </w:p>
          <w:p w14:paraId="5CAC06CA" w14:textId="156FA77D" w:rsidR="003F012C" w:rsidRPr="00D57C02" w:rsidRDefault="003F012C" w:rsidP="007D5FAE">
            <w:pPr>
              <w:pStyle w:val="ListParagraph"/>
              <w:numPr>
                <w:ilvl w:val="0"/>
                <w:numId w:val="3"/>
              </w:numPr>
              <w:jc w:val="both"/>
              <w:rPr>
                <w:rFonts w:ascii="Arial" w:hAnsi="Arial"/>
                <w:bCs/>
                <w:iCs/>
              </w:rPr>
            </w:pPr>
            <w:r w:rsidRPr="00D57C02">
              <w:rPr>
                <w:rFonts w:ascii="Arial" w:hAnsi="Arial"/>
                <w:bCs/>
                <w:iCs/>
              </w:rPr>
              <w:t>Ensure consistency across documentation</w:t>
            </w:r>
            <w:r w:rsidR="00AA2A8D" w:rsidRPr="00D57C02">
              <w:rPr>
                <w:rFonts w:ascii="Arial" w:hAnsi="Arial"/>
                <w:bCs/>
                <w:iCs/>
              </w:rPr>
              <w:t>.</w:t>
            </w:r>
          </w:p>
          <w:p w14:paraId="556E8473" w14:textId="77777777" w:rsidR="004759B7" w:rsidRPr="00D57C02" w:rsidRDefault="004759B7" w:rsidP="00FD5719">
            <w:pPr>
              <w:jc w:val="both"/>
              <w:rPr>
                <w:rFonts w:ascii="Arial" w:hAnsi="Arial"/>
                <w:b/>
              </w:rPr>
            </w:pPr>
          </w:p>
          <w:p w14:paraId="0ACB958C" w14:textId="7EC424EF" w:rsidR="00CB18B1" w:rsidRPr="00D57C02" w:rsidRDefault="00CB18B1" w:rsidP="00FD5719">
            <w:pPr>
              <w:jc w:val="both"/>
              <w:rPr>
                <w:rFonts w:ascii="Arial" w:hAnsi="Arial"/>
                <w:b/>
              </w:rPr>
            </w:pPr>
            <w:r w:rsidRPr="00D57C02">
              <w:rPr>
                <w:rFonts w:ascii="Arial" w:hAnsi="Arial"/>
                <w:b/>
              </w:rPr>
              <w:t>Appli</w:t>
            </w:r>
            <w:r w:rsidR="003F012C" w:rsidRPr="00D57C02">
              <w:rPr>
                <w:rFonts w:ascii="Arial" w:hAnsi="Arial"/>
                <w:b/>
              </w:rPr>
              <w:t xml:space="preserve">cants are encouraged to submit </w:t>
            </w:r>
            <w:r w:rsidRPr="00D57C02">
              <w:rPr>
                <w:rFonts w:ascii="Arial" w:hAnsi="Arial"/>
                <w:b/>
              </w:rPr>
              <w:t xml:space="preserve">a </w:t>
            </w:r>
            <w:r w:rsidR="00996FDF" w:rsidRPr="00D57C02">
              <w:rPr>
                <w:rFonts w:ascii="Arial" w:hAnsi="Arial"/>
                <w:b/>
              </w:rPr>
              <w:t>joint</w:t>
            </w:r>
            <w:r w:rsidRPr="00D57C02">
              <w:rPr>
                <w:rFonts w:ascii="Arial" w:hAnsi="Arial"/>
                <w:b/>
              </w:rPr>
              <w:t xml:space="preserve"> funding request </w:t>
            </w:r>
            <w:r w:rsidRPr="00D57C02">
              <w:rPr>
                <w:rFonts w:ascii="Arial" w:hAnsi="Arial"/>
              </w:rPr>
              <w:t xml:space="preserve">for eligible disease components and resilient and sustainable systems for health (RSSH). </w:t>
            </w:r>
          </w:p>
          <w:p w14:paraId="6968C2FB" w14:textId="20FB1102" w:rsidR="006C093E" w:rsidRPr="00D57C02" w:rsidRDefault="00CB18B1" w:rsidP="006C093E">
            <w:pPr>
              <w:autoSpaceDE w:val="0"/>
              <w:autoSpaceDN w:val="0"/>
              <w:adjustRightInd w:val="0"/>
              <w:spacing w:before="120" w:after="120"/>
              <w:rPr>
                <w:rFonts w:ascii="Arial" w:hAnsi="Arial"/>
                <w:b/>
              </w:rPr>
            </w:pPr>
            <w:r w:rsidRPr="00D57C02">
              <w:rPr>
                <w:rFonts w:ascii="Arial" w:hAnsi="Arial"/>
                <w:b/>
              </w:rPr>
              <w:t>Joint TB/HIV submissions are compulsory for a selected number of countries with highest rates of co-infection.</w:t>
            </w:r>
            <w:r w:rsidR="00485F5B" w:rsidRPr="00D57C02">
              <w:rPr>
                <w:rFonts w:ascii="Arial" w:hAnsi="Arial"/>
              </w:rPr>
              <w:t xml:space="preserve"> See the related </w:t>
            </w:r>
            <w:hyperlink r:id="rId15" w:anchor="coreinformationnotes" w:history="1">
              <w:r w:rsidR="00485F5B" w:rsidRPr="00D57C02">
                <w:rPr>
                  <w:rStyle w:val="Hyperlink"/>
                  <w:rFonts w:ascii="Arial" w:hAnsi="Arial" w:cs="Arial"/>
                  <w:color w:val="auto"/>
                </w:rPr>
                <w:t>guidance</w:t>
              </w:r>
            </w:hyperlink>
            <w:r w:rsidRPr="00D57C02">
              <w:rPr>
                <w:rFonts w:ascii="Arial" w:hAnsi="Arial"/>
              </w:rPr>
              <w:t xml:space="preserve"> for more information.</w:t>
            </w:r>
          </w:p>
        </w:tc>
      </w:tr>
    </w:tbl>
    <w:p w14:paraId="0C8F8390" w14:textId="01034591" w:rsidR="00A02D0B" w:rsidRPr="00D57C02" w:rsidRDefault="00A02D0B">
      <w:pPr>
        <w:rPr>
          <w:rFonts w:ascii="Arial" w:hAnsi="Arial" w:cs="Arial"/>
          <w:sz w:val="20"/>
          <w:szCs w:val="20"/>
        </w:rPr>
      </w:pPr>
    </w:p>
    <w:p w14:paraId="43F36A2D" w14:textId="35DA96ED" w:rsidR="00B06168" w:rsidRPr="00D57C02" w:rsidRDefault="00B06168">
      <w:pPr>
        <w:rPr>
          <w:rFonts w:ascii="Arial" w:hAnsi="Arial" w:cs="Arial"/>
          <w:b/>
          <w:sz w:val="20"/>
          <w:szCs w:val="20"/>
        </w:rPr>
      </w:pPr>
      <w:r w:rsidRPr="00D57C02">
        <w:rPr>
          <w:rFonts w:ascii="Arial" w:hAnsi="Arial" w:cs="Arial"/>
          <w:b/>
          <w:sz w:val="20"/>
          <w:szCs w:val="20"/>
        </w:rPr>
        <w:t>This funding request includes</w:t>
      </w:r>
      <w:r w:rsidR="00AB3764" w:rsidRPr="00D57C02">
        <w:rPr>
          <w:rFonts w:ascii="Arial" w:hAnsi="Arial" w:cs="Arial"/>
          <w:b/>
          <w:sz w:val="20"/>
          <w:szCs w:val="20"/>
        </w:rPr>
        <w:t xml:space="preserve"> the following sections</w:t>
      </w:r>
      <w:r w:rsidRPr="00D57C02">
        <w:rPr>
          <w:rFonts w:ascii="Arial" w:hAnsi="Arial" w:cs="Arial"/>
          <w:b/>
          <w:sz w:val="20"/>
          <w:szCs w:val="20"/>
        </w:rPr>
        <w:t xml:space="preserve">: </w:t>
      </w:r>
    </w:p>
    <w:p w14:paraId="71830B7B" w14:textId="77777777" w:rsidR="00322634" w:rsidRPr="00D57C02" w:rsidRDefault="00322634" w:rsidP="00B06168">
      <w:pPr>
        <w:spacing w:after="0" w:line="240" w:lineRule="auto"/>
        <w:ind w:left="567"/>
        <w:rPr>
          <w:rFonts w:ascii="Arial" w:eastAsia="Calibri" w:hAnsi="Arial" w:cs="Arial"/>
          <w:sz w:val="20"/>
          <w:szCs w:val="20"/>
          <w:lang w:val="en-US"/>
        </w:rPr>
      </w:pPr>
      <w:r w:rsidRPr="00D57C02">
        <w:rPr>
          <w:rFonts w:ascii="Arial" w:eastAsia="Calibri" w:hAnsi="Arial" w:cs="Arial"/>
          <w:b/>
          <w:sz w:val="20"/>
          <w:szCs w:val="20"/>
          <w:lang w:val="en-US"/>
        </w:rPr>
        <w:t>Section 1</w:t>
      </w:r>
      <w:r w:rsidRPr="00D57C02">
        <w:rPr>
          <w:rFonts w:ascii="Arial" w:eastAsia="Calibri" w:hAnsi="Arial" w:cs="Arial"/>
          <w:sz w:val="20"/>
          <w:szCs w:val="20"/>
          <w:lang w:val="en-US"/>
        </w:rPr>
        <w:t>: Context related to the funding request</w:t>
      </w:r>
    </w:p>
    <w:p w14:paraId="4B5C6F3C" w14:textId="77777777" w:rsidR="00322634" w:rsidRPr="00D57C02" w:rsidRDefault="00322634" w:rsidP="00B06168">
      <w:pPr>
        <w:spacing w:after="0" w:line="240" w:lineRule="auto"/>
        <w:ind w:left="567"/>
        <w:rPr>
          <w:rFonts w:ascii="Arial" w:eastAsia="Calibri" w:hAnsi="Arial" w:cs="Arial"/>
          <w:sz w:val="20"/>
          <w:szCs w:val="20"/>
          <w:lang w:val="en-US"/>
        </w:rPr>
      </w:pPr>
      <w:r w:rsidRPr="00D57C02">
        <w:rPr>
          <w:rFonts w:ascii="Arial" w:eastAsia="Calibri" w:hAnsi="Arial" w:cs="Arial"/>
          <w:b/>
          <w:sz w:val="20"/>
          <w:szCs w:val="20"/>
          <w:lang w:val="en-US"/>
        </w:rPr>
        <w:t>Section 2</w:t>
      </w:r>
      <w:r w:rsidRPr="00D57C02">
        <w:rPr>
          <w:rFonts w:ascii="Arial" w:eastAsia="Calibri" w:hAnsi="Arial" w:cs="Arial"/>
          <w:sz w:val="20"/>
          <w:szCs w:val="20"/>
          <w:lang w:val="en-US"/>
        </w:rPr>
        <w:t>: Program elements proposed for Global Fund support, including rationale</w:t>
      </w:r>
    </w:p>
    <w:p w14:paraId="34242CE3" w14:textId="664C1434" w:rsidR="00322634" w:rsidRPr="00D57C02" w:rsidRDefault="00322634" w:rsidP="00B06168">
      <w:pPr>
        <w:spacing w:after="0" w:line="240" w:lineRule="auto"/>
        <w:ind w:left="567"/>
        <w:rPr>
          <w:rFonts w:ascii="Arial" w:eastAsia="Calibri" w:hAnsi="Arial" w:cs="Arial"/>
          <w:sz w:val="20"/>
          <w:szCs w:val="20"/>
          <w:lang w:val="en-US"/>
        </w:rPr>
      </w:pPr>
      <w:r w:rsidRPr="00D57C02">
        <w:rPr>
          <w:rFonts w:ascii="Arial" w:eastAsia="Calibri" w:hAnsi="Arial" w:cs="Arial"/>
          <w:b/>
          <w:sz w:val="20"/>
          <w:szCs w:val="20"/>
          <w:lang w:val="en-US"/>
        </w:rPr>
        <w:t>Section 3</w:t>
      </w:r>
      <w:r w:rsidRPr="00D57C02">
        <w:rPr>
          <w:rFonts w:ascii="Arial" w:eastAsia="Calibri" w:hAnsi="Arial" w:cs="Arial"/>
          <w:sz w:val="20"/>
          <w:szCs w:val="20"/>
          <w:lang w:val="en-US"/>
        </w:rPr>
        <w:t xml:space="preserve">: </w:t>
      </w:r>
      <w:r w:rsidR="003F012C" w:rsidRPr="00D57C02">
        <w:rPr>
          <w:rFonts w:ascii="Arial" w:eastAsia="Calibri" w:hAnsi="Arial" w:cs="Arial"/>
          <w:sz w:val="20"/>
          <w:szCs w:val="20"/>
          <w:lang w:val="en-US"/>
        </w:rPr>
        <w:t>P</w:t>
      </w:r>
      <w:r w:rsidRPr="00D57C02">
        <w:rPr>
          <w:rFonts w:ascii="Arial" w:eastAsia="Calibri" w:hAnsi="Arial" w:cs="Arial"/>
          <w:sz w:val="20"/>
          <w:szCs w:val="20"/>
          <w:lang w:val="en-US"/>
        </w:rPr>
        <w:t xml:space="preserve">lanned implementation arrangements and risk mitigation measures </w:t>
      </w:r>
    </w:p>
    <w:p w14:paraId="6ADABD01" w14:textId="77777777" w:rsidR="00322634" w:rsidRPr="00D57C02" w:rsidRDefault="00322634" w:rsidP="00B06168">
      <w:pPr>
        <w:spacing w:after="0" w:line="240" w:lineRule="auto"/>
        <w:ind w:left="567"/>
        <w:rPr>
          <w:rFonts w:ascii="Arial" w:eastAsia="Calibri" w:hAnsi="Arial" w:cs="Arial"/>
          <w:sz w:val="20"/>
          <w:szCs w:val="20"/>
          <w:lang w:val="en-US"/>
        </w:rPr>
      </w:pPr>
      <w:r w:rsidRPr="00D57C02">
        <w:rPr>
          <w:rFonts w:ascii="Arial" w:eastAsia="Calibri" w:hAnsi="Arial" w:cs="Arial"/>
          <w:b/>
          <w:sz w:val="20"/>
          <w:szCs w:val="20"/>
          <w:lang w:val="en-US"/>
        </w:rPr>
        <w:t>Section 4</w:t>
      </w:r>
      <w:r w:rsidRPr="00D57C02">
        <w:rPr>
          <w:rFonts w:ascii="Arial" w:eastAsia="Calibri" w:hAnsi="Arial" w:cs="Arial"/>
          <w:sz w:val="20"/>
          <w:szCs w:val="20"/>
          <w:lang w:val="en-US"/>
        </w:rPr>
        <w:t>: Funding landscape, co-financing and sustainability</w:t>
      </w:r>
    </w:p>
    <w:p w14:paraId="6491C693" w14:textId="42ECCC23" w:rsidR="00322634" w:rsidRPr="00D57C02" w:rsidRDefault="00B06168" w:rsidP="00B06168">
      <w:pPr>
        <w:spacing w:after="0" w:line="240" w:lineRule="auto"/>
        <w:ind w:left="1701" w:hanging="1134"/>
        <w:rPr>
          <w:rFonts w:ascii="Arial" w:eastAsia="Calibri" w:hAnsi="Arial" w:cs="Arial"/>
          <w:sz w:val="20"/>
          <w:szCs w:val="20"/>
          <w:lang w:val="en-US"/>
        </w:rPr>
      </w:pPr>
      <w:r w:rsidRPr="00D57C02">
        <w:rPr>
          <w:rFonts w:ascii="Arial" w:eastAsia="Calibri" w:hAnsi="Arial" w:cs="Arial"/>
          <w:b/>
          <w:sz w:val="20"/>
          <w:szCs w:val="20"/>
          <w:lang w:val="en-US"/>
        </w:rPr>
        <w:t xml:space="preserve">Section </w:t>
      </w:r>
      <w:r w:rsidR="00322634" w:rsidRPr="00D57C02">
        <w:rPr>
          <w:rFonts w:ascii="Arial" w:eastAsia="Calibri" w:hAnsi="Arial" w:cs="Arial"/>
          <w:b/>
          <w:sz w:val="20"/>
          <w:szCs w:val="20"/>
          <w:lang w:val="en-US"/>
        </w:rPr>
        <w:t>5</w:t>
      </w:r>
      <w:r w:rsidR="00322634" w:rsidRPr="00D57C02">
        <w:rPr>
          <w:rFonts w:ascii="Arial" w:eastAsia="Calibri" w:hAnsi="Arial" w:cs="Arial"/>
          <w:sz w:val="20"/>
          <w:szCs w:val="20"/>
          <w:lang w:val="en-US"/>
        </w:rPr>
        <w:t xml:space="preserve">: Prioritized </w:t>
      </w:r>
      <w:r w:rsidR="008C6C43" w:rsidRPr="00D57C02">
        <w:rPr>
          <w:rFonts w:ascii="Arial" w:eastAsia="Calibri" w:hAnsi="Arial" w:cs="Arial"/>
          <w:sz w:val="20"/>
          <w:szCs w:val="20"/>
          <w:lang w:val="en-US"/>
        </w:rPr>
        <w:t>a</w:t>
      </w:r>
      <w:r w:rsidR="00322634" w:rsidRPr="00D57C02">
        <w:rPr>
          <w:rFonts w:ascii="Arial" w:eastAsia="Calibri" w:hAnsi="Arial" w:cs="Arial"/>
          <w:sz w:val="20"/>
          <w:szCs w:val="20"/>
          <w:lang w:val="en-US"/>
        </w:rPr>
        <w:t xml:space="preserve">bove </w:t>
      </w:r>
      <w:r w:rsidR="008C6C43" w:rsidRPr="00D57C02">
        <w:rPr>
          <w:rFonts w:ascii="Arial" w:eastAsia="Calibri" w:hAnsi="Arial" w:cs="Arial"/>
          <w:sz w:val="20"/>
          <w:szCs w:val="20"/>
          <w:lang w:val="en-US"/>
        </w:rPr>
        <w:t>a</w:t>
      </w:r>
      <w:r w:rsidR="00322634" w:rsidRPr="00D57C02">
        <w:rPr>
          <w:rFonts w:ascii="Arial" w:eastAsia="Calibri" w:hAnsi="Arial" w:cs="Arial"/>
          <w:sz w:val="20"/>
          <w:szCs w:val="20"/>
          <w:lang w:val="en-US"/>
        </w:rPr>
        <w:t xml:space="preserve">llocation </w:t>
      </w:r>
      <w:r w:rsidR="008C6C43" w:rsidRPr="00D57C02">
        <w:rPr>
          <w:rFonts w:ascii="Arial" w:eastAsia="Calibri" w:hAnsi="Arial" w:cs="Arial"/>
          <w:sz w:val="20"/>
          <w:szCs w:val="20"/>
          <w:lang w:val="en-US"/>
        </w:rPr>
        <w:t>r</w:t>
      </w:r>
      <w:r w:rsidR="00AB3764" w:rsidRPr="00D57C02">
        <w:rPr>
          <w:rFonts w:ascii="Arial" w:eastAsia="Calibri" w:hAnsi="Arial" w:cs="Arial"/>
          <w:sz w:val="20"/>
          <w:szCs w:val="20"/>
          <w:lang w:val="en-US"/>
        </w:rPr>
        <w:t>equest</w:t>
      </w:r>
      <w:r w:rsidR="008C6C43" w:rsidRPr="00D57C02">
        <w:rPr>
          <w:rFonts w:ascii="Arial" w:eastAsia="Calibri" w:hAnsi="Arial" w:cs="Arial"/>
          <w:sz w:val="20"/>
          <w:szCs w:val="20"/>
          <w:lang w:val="en-US"/>
        </w:rPr>
        <w:t xml:space="preserve"> </w:t>
      </w:r>
    </w:p>
    <w:p w14:paraId="6CE0F628" w14:textId="77777777" w:rsidR="00322634" w:rsidRPr="00D57C02" w:rsidRDefault="00322634">
      <w:pPr>
        <w:rPr>
          <w:rFonts w:ascii="Arial" w:hAnsi="Arial" w:cs="Arial"/>
          <w:sz w:val="20"/>
          <w:szCs w:val="20"/>
          <w:lang w:val="en-US"/>
        </w:rPr>
      </w:pPr>
    </w:p>
    <w:p w14:paraId="0B404E53" w14:textId="72C6EF19" w:rsidR="00593530" w:rsidRPr="00D57C02" w:rsidRDefault="00593530">
      <w:pPr>
        <w:rPr>
          <w:rFonts w:ascii="Arial" w:hAnsi="Arial" w:cs="Arial"/>
          <w:sz w:val="20"/>
          <w:szCs w:val="20"/>
          <w:lang w:val="en-US"/>
        </w:rPr>
      </w:pPr>
    </w:p>
    <w:p w14:paraId="2B2F2656" w14:textId="77777777" w:rsidR="00CE4B21" w:rsidRDefault="00FE411C">
      <w:pPr>
        <w:rPr>
          <w:rFonts w:ascii="Arial" w:hAnsi="Arial" w:cs="Arial"/>
          <w:sz w:val="20"/>
          <w:szCs w:val="20"/>
          <w:lang w:val="en-US"/>
        </w:rPr>
        <w:sectPr w:rsidR="00CE4B21" w:rsidSect="009E6D97">
          <w:footerReference w:type="default" r:id="rId16"/>
          <w:pgSz w:w="11906" w:h="16838"/>
          <w:pgMar w:top="1440" w:right="1440" w:bottom="1440" w:left="1440" w:header="706" w:footer="706" w:gutter="0"/>
          <w:cols w:space="708"/>
          <w:docGrid w:linePitch="360"/>
        </w:sectPr>
      </w:pPr>
      <w:r w:rsidRPr="00D57C02">
        <w:rPr>
          <w:rFonts w:ascii="Arial" w:hAnsi="Arial" w:cs="Arial"/>
          <w:sz w:val="20"/>
          <w:szCs w:val="20"/>
          <w:lang w:val="en-US"/>
        </w:rPr>
        <w:br w:type="page"/>
      </w:r>
    </w:p>
    <w:tbl>
      <w:tblPr>
        <w:tblW w:w="91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101"/>
      </w:tblGrid>
      <w:tr w:rsidR="004668BC" w:rsidRPr="004668BC" w14:paraId="5D0B8A86" w14:textId="77777777" w:rsidTr="00B555E1">
        <w:trPr>
          <w:trHeight w:val="332"/>
          <w:jc w:val="center"/>
        </w:trPr>
        <w:tc>
          <w:tcPr>
            <w:tcW w:w="9101" w:type="dxa"/>
            <w:shd w:val="clear" w:color="auto" w:fill="1F497D"/>
          </w:tcPr>
          <w:p w14:paraId="5D0B8A85" w14:textId="580FAB81" w:rsidR="00042DCA" w:rsidRPr="004668BC" w:rsidRDefault="00CB18B1" w:rsidP="003F4392">
            <w:pPr>
              <w:spacing w:before="120" w:after="120" w:line="240" w:lineRule="auto"/>
              <w:jc w:val="both"/>
              <w:rPr>
                <w:rFonts w:ascii="Arial" w:hAnsi="Arial" w:cs="Arial"/>
                <w:b/>
                <w:bCs/>
                <w:color w:val="FFFFFF" w:themeColor="background1"/>
                <w:sz w:val="20"/>
                <w:szCs w:val="20"/>
              </w:rPr>
            </w:pPr>
            <w:r w:rsidRPr="004668BC">
              <w:rPr>
                <w:rFonts w:ascii="Arial" w:hAnsi="Arial" w:cs="Arial"/>
                <w:color w:val="FFFFFF" w:themeColor="background1"/>
                <w:sz w:val="20"/>
                <w:szCs w:val="20"/>
              </w:rPr>
              <w:lastRenderedPageBreak/>
              <w:br w:type="page"/>
            </w:r>
            <w:r w:rsidR="00042DCA" w:rsidRPr="004668BC">
              <w:rPr>
                <w:rFonts w:ascii="Arial" w:hAnsi="Arial" w:cs="Arial"/>
                <w:b/>
                <w:bCs/>
                <w:color w:val="FFFFFF" w:themeColor="background1"/>
                <w:sz w:val="20"/>
                <w:szCs w:val="20"/>
                <w:shd w:val="clear" w:color="auto" w:fill="1F497D"/>
              </w:rPr>
              <w:t>SECTION 1: CONTEXT</w:t>
            </w:r>
            <w:r w:rsidR="00042DCA" w:rsidRPr="004668BC">
              <w:rPr>
                <w:rFonts w:ascii="Arial" w:hAnsi="Arial" w:cs="Arial"/>
                <w:b/>
                <w:bCs/>
                <w:color w:val="FFFFFF" w:themeColor="background1"/>
                <w:sz w:val="20"/>
                <w:szCs w:val="20"/>
              </w:rPr>
              <w:t xml:space="preserve"> </w:t>
            </w:r>
          </w:p>
        </w:tc>
      </w:tr>
      <w:tr w:rsidR="00042DCA" w:rsidRPr="00D57C02" w14:paraId="5D0B8A88" w14:textId="77777777" w:rsidTr="00B555E1">
        <w:trPr>
          <w:trHeight w:val="332"/>
          <w:jc w:val="center"/>
        </w:trPr>
        <w:tc>
          <w:tcPr>
            <w:tcW w:w="9101" w:type="dxa"/>
            <w:shd w:val="clear" w:color="auto" w:fill="F2F2F2"/>
          </w:tcPr>
          <w:p w14:paraId="5D0B8A87" w14:textId="6A99D194" w:rsidR="00042DCA" w:rsidRPr="00D57C02" w:rsidRDefault="001E247E" w:rsidP="00027F87">
            <w:pPr>
              <w:keepNext/>
              <w:keepLines/>
              <w:spacing w:before="120" w:after="120" w:line="240" w:lineRule="auto"/>
              <w:jc w:val="both"/>
              <w:rPr>
                <w:rFonts w:ascii="Arial" w:hAnsi="Arial" w:cs="Arial"/>
                <w:b/>
                <w:bCs/>
                <w:iCs/>
                <w:sz w:val="20"/>
                <w:szCs w:val="20"/>
              </w:rPr>
            </w:pPr>
            <w:r w:rsidRPr="00D57C02">
              <w:rPr>
                <w:rFonts w:ascii="Arial" w:hAnsi="Arial" w:cs="Arial"/>
                <w:bCs/>
                <w:iCs/>
                <w:sz w:val="20"/>
                <w:szCs w:val="20"/>
              </w:rPr>
              <w:t>This section should</w:t>
            </w:r>
            <w:r w:rsidRPr="00D57C02">
              <w:rPr>
                <w:rFonts w:ascii="Arial" w:hAnsi="Arial" w:cs="Arial"/>
                <w:b/>
                <w:bCs/>
                <w:iCs/>
                <w:sz w:val="20"/>
                <w:szCs w:val="20"/>
              </w:rPr>
              <w:t xml:space="preserve"> </w:t>
            </w:r>
            <w:r w:rsidRPr="00D57C02">
              <w:rPr>
                <w:rFonts w:ascii="Arial" w:hAnsi="Arial" w:cs="Arial"/>
                <w:bCs/>
                <w:iCs/>
                <w:sz w:val="20"/>
                <w:szCs w:val="20"/>
              </w:rPr>
              <w:t xml:space="preserve">capture in </w:t>
            </w:r>
            <w:proofErr w:type="gramStart"/>
            <w:r w:rsidRPr="00D57C02">
              <w:rPr>
                <w:rFonts w:ascii="Arial" w:hAnsi="Arial" w:cs="Arial"/>
                <w:bCs/>
                <w:iCs/>
                <w:sz w:val="20"/>
                <w:szCs w:val="20"/>
              </w:rPr>
              <w:t>a concise</w:t>
            </w:r>
            <w:proofErr w:type="gramEnd"/>
            <w:r w:rsidRPr="00D57C02">
              <w:rPr>
                <w:rFonts w:ascii="Arial" w:hAnsi="Arial" w:cs="Arial"/>
                <w:bCs/>
                <w:iCs/>
                <w:sz w:val="20"/>
                <w:szCs w:val="20"/>
              </w:rPr>
              <w:t xml:space="preserve"> way relevant information on the country context.</w:t>
            </w:r>
            <w:r w:rsidRPr="00D57C02">
              <w:rPr>
                <w:rFonts w:ascii="Arial" w:eastAsia="Calibri" w:hAnsi="Arial" w:cs="Arial"/>
                <w:bCs/>
                <w:iCs/>
                <w:sz w:val="20"/>
                <w:szCs w:val="20"/>
                <w:lang w:val="en-US"/>
              </w:rPr>
              <w:t xml:space="preserve"> </w:t>
            </w:r>
            <w:r w:rsidR="00027F87" w:rsidRPr="00D57C02">
              <w:rPr>
                <w:rFonts w:ascii="Arial" w:eastAsia="Calibri" w:hAnsi="Arial" w:cs="Arial"/>
                <w:bCs/>
                <w:iCs/>
                <w:sz w:val="20"/>
                <w:szCs w:val="20"/>
                <w:lang w:val="en-US"/>
              </w:rPr>
              <w:t>A</w:t>
            </w:r>
            <w:r w:rsidR="00340B08" w:rsidRPr="00D57C02">
              <w:rPr>
                <w:rFonts w:ascii="Arial" w:eastAsia="Calibri" w:hAnsi="Arial" w:cs="Arial"/>
                <w:bCs/>
                <w:iCs/>
                <w:sz w:val="20"/>
                <w:szCs w:val="20"/>
                <w:lang w:val="en-US"/>
              </w:rPr>
              <w:t xml:space="preserve">ttach and refer to key contextual documentation </w:t>
            </w:r>
            <w:r w:rsidR="00CB18B1" w:rsidRPr="00D57C02">
              <w:rPr>
                <w:rFonts w:ascii="Arial" w:hAnsi="Arial" w:cs="Arial"/>
                <w:bCs/>
                <w:iCs/>
                <w:sz w:val="20"/>
                <w:szCs w:val="20"/>
              </w:rPr>
              <w:t xml:space="preserve">justifying the choice of </w:t>
            </w:r>
            <w:r w:rsidR="00042DCA" w:rsidRPr="00D57C02">
              <w:rPr>
                <w:rFonts w:ascii="Arial" w:hAnsi="Arial" w:cs="Arial"/>
                <w:bCs/>
                <w:iCs/>
                <w:sz w:val="20"/>
                <w:szCs w:val="20"/>
              </w:rPr>
              <w:t xml:space="preserve">interventions </w:t>
            </w:r>
            <w:r w:rsidR="00E12AC8" w:rsidRPr="00D57C02">
              <w:rPr>
                <w:rFonts w:ascii="Arial" w:hAnsi="Arial" w:cs="Arial"/>
                <w:bCs/>
                <w:iCs/>
                <w:sz w:val="20"/>
                <w:szCs w:val="20"/>
              </w:rPr>
              <w:t xml:space="preserve">proposed. </w:t>
            </w:r>
            <w:r w:rsidR="001C281C" w:rsidRPr="00D57C02">
              <w:rPr>
                <w:rFonts w:ascii="Arial" w:hAnsi="Arial" w:cs="Arial"/>
                <w:bCs/>
                <w:iCs/>
                <w:sz w:val="20"/>
                <w:szCs w:val="20"/>
              </w:rPr>
              <w:t xml:space="preserve">To respond, </w:t>
            </w:r>
            <w:r w:rsidR="009F54F1" w:rsidRPr="00D57C02">
              <w:rPr>
                <w:rFonts w:ascii="Arial" w:hAnsi="Arial" w:cs="Arial"/>
                <w:bCs/>
                <w:iCs/>
                <w:sz w:val="20"/>
                <w:szCs w:val="20"/>
              </w:rPr>
              <w:t xml:space="preserve">refer </w:t>
            </w:r>
            <w:r w:rsidR="00E12AC8" w:rsidRPr="00D57C02">
              <w:rPr>
                <w:rFonts w:ascii="Arial" w:eastAsia="Calibri" w:hAnsi="Arial" w:cs="Arial"/>
                <w:sz w:val="20"/>
                <w:szCs w:val="20"/>
                <w:lang w:val="en-US"/>
              </w:rPr>
              <w:t>to</w:t>
            </w:r>
            <w:r w:rsidR="006E048B" w:rsidRPr="00D57C02">
              <w:rPr>
                <w:rFonts w:ascii="Arial" w:eastAsia="Calibri" w:hAnsi="Arial" w:cs="Arial"/>
                <w:sz w:val="20"/>
                <w:szCs w:val="20"/>
                <w:lang w:val="en-US"/>
              </w:rPr>
              <w:t xml:space="preserve"> additional</w:t>
            </w:r>
            <w:r w:rsidR="00D51B37" w:rsidRPr="00D57C02">
              <w:rPr>
                <w:rFonts w:ascii="Arial" w:eastAsia="Calibri" w:hAnsi="Arial" w:cs="Arial"/>
                <w:sz w:val="20"/>
                <w:szCs w:val="20"/>
                <w:lang w:val="en-US"/>
              </w:rPr>
              <w:t xml:space="preserve"> guidance provided in the</w:t>
            </w:r>
            <w:r w:rsidR="00E12AC8" w:rsidRPr="00D57C02">
              <w:rPr>
                <w:rFonts w:ascii="Arial" w:eastAsia="Calibri" w:hAnsi="Arial" w:cs="Arial"/>
                <w:sz w:val="20"/>
                <w:szCs w:val="20"/>
                <w:lang w:val="en-US"/>
              </w:rPr>
              <w:t xml:space="preserve"> </w:t>
            </w:r>
            <w:r w:rsidR="001C281C" w:rsidRPr="00D57C02">
              <w:rPr>
                <w:rFonts w:ascii="Arial" w:hAnsi="Arial" w:cs="Arial"/>
                <w:bCs/>
                <w:i/>
                <w:iCs/>
                <w:sz w:val="20"/>
                <w:szCs w:val="20"/>
              </w:rPr>
              <w:t>Instructions</w:t>
            </w:r>
            <w:r w:rsidR="00485F5B" w:rsidRPr="00D57C02">
              <w:rPr>
                <w:rFonts w:ascii="Arial" w:eastAsia="Calibri" w:hAnsi="Arial" w:cs="Arial"/>
                <w:sz w:val="20"/>
                <w:szCs w:val="20"/>
                <w:lang w:val="en-US"/>
              </w:rPr>
              <w:t>.</w:t>
            </w:r>
            <w:r w:rsidR="00E12AC8" w:rsidRPr="00D57C02">
              <w:rPr>
                <w:rFonts w:ascii="Arial" w:eastAsia="Calibri" w:hAnsi="Arial" w:cs="Arial"/>
                <w:sz w:val="20"/>
                <w:szCs w:val="20"/>
                <w:lang w:val="en-US"/>
              </w:rPr>
              <w:t xml:space="preserve"> </w:t>
            </w:r>
          </w:p>
        </w:tc>
      </w:tr>
    </w:tbl>
    <w:p w14:paraId="5D0B8A89" w14:textId="77777777" w:rsidR="00042DCA" w:rsidRPr="00D57C02" w:rsidRDefault="00042DCA">
      <w:pPr>
        <w:rPr>
          <w:rFonts w:ascii="Arial" w:hAnsi="Arial" w:cs="Arial"/>
          <w:sz w:val="20"/>
          <w:szCs w:val="20"/>
        </w:rPr>
      </w:pPr>
    </w:p>
    <w:tbl>
      <w:tblPr>
        <w:tblW w:w="90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405"/>
        <w:gridCol w:w="4406"/>
        <w:gridCol w:w="1406"/>
        <w:gridCol w:w="850"/>
        <w:gridCol w:w="18"/>
      </w:tblGrid>
      <w:tr w:rsidR="00042DCA" w:rsidRPr="00D57C02" w14:paraId="5D0B8A8B" w14:textId="77777777" w:rsidTr="006563C4">
        <w:trPr>
          <w:trHeight w:val="274"/>
          <w:jc w:val="center"/>
        </w:trPr>
        <w:tc>
          <w:tcPr>
            <w:tcW w:w="9085" w:type="dxa"/>
            <w:gridSpan w:val="5"/>
            <w:shd w:val="clear" w:color="auto" w:fill="C6D9F1"/>
          </w:tcPr>
          <w:p w14:paraId="5D0B8A8A" w14:textId="77777777" w:rsidR="00042DCA" w:rsidRPr="00D57C02" w:rsidRDefault="00042DCA" w:rsidP="00042DCA">
            <w:pPr>
              <w:spacing w:before="120" w:after="120" w:line="240" w:lineRule="auto"/>
              <w:jc w:val="both"/>
              <w:rPr>
                <w:rFonts w:ascii="Arial" w:eastAsia="Calibri" w:hAnsi="Arial" w:cs="Arial"/>
                <w:b/>
                <w:sz w:val="20"/>
                <w:szCs w:val="20"/>
                <w:lang w:val="en-US"/>
              </w:rPr>
            </w:pPr>
            <w:r w:rsidRPr="00D57C02">
              <w:rPr>
                <w:rFonts w:ascii="Arial" w:eastAsia="Calibri" w:hAnsi="Arial" w:cs="Arial"/>
                <w:b/>
                <w:bCs/>
                <w:sz w:val="20"/>
                <w:szCs w:val="20"/>
                <w:lang w:val="en-US"/>
              </w:rPr>
              <w:t>1.1 Key reference documents on country context</w:t>
            </w:r>
          </w:p>
        </w:tc>
      </w:tr>
      <w:tr w:rsidR="00042DCA" w:rsidRPr="00D57C02" w14:paraId="5D0B8A8D" w14:textId="77777777" w:rsidTr="006563C4">
        <w:trPr>
          <w:trHeight w:val="1639"/>
          <w:jc w:val="center"/>
        </w:trPr>
        <w:tc>
          <w:tcPr>
            <w:tcW w:w="9085" w:type="dxa"/>
            <w:gridSpan w:val="5"/>
            <w:shd w:val="clear" w:color="auto" w:fill="F2F2F2" w:themeFill="background1" w:themeFillShade="F2"/>
            <w:vAlign w:val="center"/>
          </w:tcPr>
          <w:p w14:paraId="347C4C4F" w14:textId="7C8DE418" w:rsidR="00FE411C" w:rsidRPr="00D57C02" w:rsidRDefault="001F0181" w:rsidP="00401EBB">
            <w:pPr>
              <w:spacing w:after="0"/>
              <w:rPr>
                <w:rFonts w:ascii="Arial" w:hAnsi="Arial" w:cs="Arial"/>
                <w:sz w:val="20"/>
                <w:szCs w:val="20"/>
              </w:rPr>
            </w:pPr>
            <w:r w:rsidRPr="00D57C02">
              <w:rPr>
                <w:rFonts w:ascii="Arial" w:eastAsia="Calibri" w:hAnsi="Arial" w:cs="Arial"/>
                <w:sz w:val="20"/>
                <w:szCs w:val="20"/>
                <w:lang w:val="en-US"/>
              </w:rPr>
              <w:t>List contextual documentation</w:t>
            </w:r>
            <w:r w:rsidR="00D31FA7" w:rsidRPr="00D57C02">
              <w:rPr>
                <w:rFonts w:ascii="Arial" w:eastAsia="Calibri" w:hAnsi="Arial" w:cs="Arial"/>
                <w:sz w:val="20"/>
                <w:szCs w:val="20"/>
                <w:lang w:val="en-US"/>
              </w:rPr>
              <w:t xml:space="preserve"> for key areas</w:t>
            </w:r>
            <w:r w:rsidR="00A47305" w:rsidRPr="00D57C02">
              <w:rPr>
                <w:rFonts w:ascii="Arial" w:eastAsia="Calibri" w:hAnsi="Arial" w:cs="Arial"/>
                <w:sz w:val="20"/>
                <w:szCs w:val="20"/>
                <w:lang w:val="en-US"/>
              </w:rPr>
              <w:t xml:space="preserve"> in the table provided below</w:t>
            </w:r>
            <w:r w:rsidRPr="00D57C02">
              <w:rPr>
                <w:rFonts w:ascii="Arial" w:eastAsia="Calibri" w:hAnsi="Arial" w:cs="Arial"/>
                <w:sz w:val="20"/>
                <w:szCs w:val="20"/>
                <w:lang w:val="en-US"/>
              </w:rPr>
              <w:t xml:space="preserve">. </w:t>
            </w:r>
            <w:r w:rsidR="00042DCA" w:rsidRPr="00D57C02">
              <w:rPr>
                <w:rFonts w:ascii="Arial" w:eastAsia="Calibri" w:hAnsi="Arial" w:cs="Arial"/>
                <w:sz w:val="20"/>
                <w:szCs w:val="20"/>
                <w:lang w:val="en-US"/>
              </w:rPr>
              <w:t>I</w:t>
            </w:r>
            <w:r w:rsidR="00BD0A83" w:rsidRPr="00D57C02">
              <w:rPr>
                <w:rFonts w:ascii="Arial" w:eastAsia="Calibri" w:hAnsi="Arial" w:cs="Arial"/>
                <w:sz w:val="20"/>
                <w:szCs w:val="20"/>
                <w:lang w:val="en-US"/>
              </w:rPr>
              <w:t>f</w:t>
            </w:r>
            <w:r w:rsidR="00042DCA" w:rsidRPr="00D57C02">
              <w:rPr>
                <w:rFonts w:ascii="Arial" w:eastAsia="Calibri" w:hAnsi="Arial" w:cs="Arial"/>
                <w:sz w:val="20"/>
                <w:szCs w:val="20"/>
                <w:lang w:val="en-US"/>
              </w:rPr>
              <w:t xml:space="preserve"> key information for effective programming is not available, </w:t>
            </w:r>
            <w:r w:rsidR="00191EA3" w:rsidRPr="00D57C02">
              <w:rPr>
                <w:rFonts w:ascii="Arial" w:eastAsia="Calibri" w:hAnsi="Arial" w:cs="Arial"/>
                <w:sz w:val="20"/>
                <w:szCs w:val="20"/>
                <w:lang w:val="en-US"/>
              </w:rPr>
              <w:t>specify</w:t>
            </w:r>
            <w:r w:rsidR="00A47305" w:rsidRPr="00D57C02">
              <w:rPr>
                <w:rFonts w:ascii="Arial" w:eastAsia="Calibri" w:hAnsi="Arial" w:cs="Arial"/>
                <w:sz w:val="20"/>
                <w:szCs w:val="20"/>
                <w:lang w:val="en-US"/>
              </w:rPr>
              <w:t xml:space="preserve"> this</w:t>
            </w:r>
            <w:r w:rsidR="00042DCA" w:rsidRPr="00D57C02">
              <w:rPr>
                <w:rFonts w:ascii="Arial" w:eastAsia="Calibri" w:hAnsi="Arial" w:cs="Arial"/>
                <w:sz w:val="20"/>
                <w:szCs w:val="20"/>
                <w:lang w:val="en-US"/>
              </w:rPr>
              <w:t xml:space="preserve"> in the </w:t>
            </w:r>
            <w:r w:rsidR="00A600FA" w:rsidRPr="00D57C02">
              <w:rPr>
                <w:rFonts w:ascii="Arial" w:eastAsia="Calibri" w:hAnsi="Arial" w:cs="Arial"/>
                <w:sz w:val="20"/>
                <w:szCs w:val="20"/>
                <w:lang w:val="en-US"/>
              </w:rPr>
              <w:t>table</w:t>
            </w:r>
            <w:r w:rsidR="00B555E1" w:rsidRPr="00D57C02">
              <w:rPr>
                <w:rFonts w:ascii="Arial" w:eastAsia="Calibri" w:hAnsi="Arial" w:cs="Arial"/>
                <w:sz w:val="20"/>
                <w:szCs w:val="20"/>
                <w:lang w:val="en-US"/>
              </w:rPr>
              <w:t xml:space="preserve"> (“N/A”)</w:t>
            </w:r>
            <w:r w:rsidR="00340B08" w:rsidRPr="00D57C02">
              <w:rPr>
                <w:rFonts w:ascii="Arial" w:eastAsia="Calibri" w:hAnsi="Arial" w:cs="Arial"/>
                <w:sz w:val="20"/>
                <w:szCs w:val="20"/>
                <w:lang w:val="en-US"/>
              </w:rPr>
              <w:t xml:space="preserve"> and </w:t>
            </w:r>
            <w:r w:rsidR="00BD0A83" w:rsidRPr="00D57C02">
              <w:rPr>
                <w:rFonts w:ascii="Arial" w:eastAsia="Calibri" w:hAnsi="Arial" w:cs="Arial"/>
                <w:sz w:val="20"/>
                <w:szCs w:val="20"/>
                <w:lang w:val="en-US"/>
              </w:rPr>
              <w:t xml:space="preserve">explain </w:t>
            </w:r>
            <w:r w:rsidR="00340B08" w:rsidRPr="00D57C02">
              <w:rPr>
                <w:rFonts w:ascii="Arial" w:eastAsia="Calibri" w:hAnsi="Arial" w:cs="Arial"/>
                <w:sz w:val="20"/>
                <w:szCs w:val="20"/>
                <w:lang w:val="en-US"/>
              </w:rPr>
              <w:t>in Section 1.2</w:t>
            </w:r>
            <w:r w:rsidRPr="00D57C02">
              <w:rPr>
                <w:rFonts w:ascii="Arial" w:eastAsia="Calibri" w:hAnsi="Arial" w:cs="Arial"/>
                <w:sz w:val="20"/>
                <w:szCs w:val="20"/>
                <w:lang w:val="en-US"/>
              </w:rPr>
              <w:t xml:space="preserve"> </w:t>
            </w:r>
            <w:r w:rsidR="00340B08" w:rsidRPr="00D57C02">
              <w:rPr>
                <w:rFonts w:ascii="Arial" w:eastAsia="Calibri" w:hAnsi="Arial" w:cs="Arial"/>
                <w:sz w:val="20"/>
                <w:szCs w:val="20"/>
                <w:lang w:val="en-US"/>
              </w:rPr>
              <w:t>how this was dealt with withi</w:t>
            </w:r>
            <w:r w:rsidR="00A600FA" w:rsidRPr="00D57C02">
              <w:rPr>
                <w:rFonts w:ascii="Arial" w:eastAsia="Calibri" w:hAnsi="Arial" w:cs="Arial"/>
                <w:sz w:val="20"/>
                <w:szCs w:val="20"/>
                <w:lang w:val="en-US"/>
              </w:rPr>
              <w:t>n the context of the request</w:t>
            </w:r>
            <w:r w:rsidR="00BD0A83" w:rsidRPr="00D57C02">
              <w:rPr>
                <w:rFonts w:ascii="Arial" w:eastAsia="Calibri" w:hAnsi="Arial" w:cs="Arial"/>
                <w:sz w:val="20"/>
                <w:szCs w:val="20"/>
                <w:lang w:val="en-US"/>
              </w:rPr>
              <w:t>,</w:t>
            </w:r>
            <w:r w:rsidR="00A600FA" w:rsidRPr="00D57C02">
              <w:rPr>
                <w:rFonts w:ascii="Arial" w:eastAsia="Calibri" w:hAnsi="Arial" w:cs="Arial"/>
                <w:sz w:val="20"/>
                <w:szCs w:val="20"/>
                <w:lang w:val="en-US"/>
              </w:rPr>
              <w:t xml:space="preserve"> </w:t>
            </w:r>
            <w:r w:rsidR="00BD0A83" w:rsidRPr="00D57C02">
              <w:rPr>
                <w:rFonts w:ascii="Arial" w:eastAsia="Calibri" w:hAnsi="Arial" w:cs="Arial"/>
                <w:sz w:val="20"/>
                <w:szCs w:val="20"/>
                <w:lang w:val="en-US"/>
              </w:rPr>
              <w:t xml:space="preserve">including </w:t>
            </w:r>
            <w:r w:rsidR="00A600FA" w:rsidRPr="00D57C02">
              <w:rPr>
                <w:rFonts w:ascii="Arial" w:eastAsia="Calibri" w:hAnsi="Arial" w:cs="Arial"/>
                <w:sz w:val="20"/>
                <w:szCs w:val="20"/>
                <w:lang w:val="en-US"/>
              </w:rPr>
              <w:t>plans</w:t>
            </w:r>
            <w:r w:rsidRPr="00D57C02">
              <w:rPr>
                <w:rFonts w:ascii="Arial" w:eastAsia="Calibri" w:hAnsi="Arial" w:cs="Arial"/>
                <w:sz w:val="20"/>
                <w:szCs w:val="20"/>
                <w:lang w:val="en-US"/>
              </w:rPr>
              <w:t>,</w:t>
            </w:r>
            <w:r w:rsidR="00A600FA" w:rsidRPr="00D57C02">
              <w:rPr>
                <w:rFonts w:ascii="Arial" w:eastAsia="Calibri" w:hAnsi="Arial" w:cs="Arial"/>
                <w:sz w:val="20"/>
                <w:szCs w:val="20"/>
                <w:lang w:val="en-US"/>
              </w:rPr>
              <w:t xml:space="preserve"> if any</w:t>
            </w:r>
            <w:r w:rsidRPr="00D57C02">
              <w:rPr>
                <w:rFonts w:ascii="Arial" w:eastAsia="Calibri" w:hAnsi="Arial" w:cs="Arial"/>
                <w:sz w:val="20"/>
                <w:szCs w:val="20"/>
                <w:lang w:val="en-US"/>
              </w:rPr>
              <w:t>, to address such gaps</w:t>
            </w:r>
            <w:r w:rsidR="00A600FA" w:rsidRPr="00D57C02">
              <w:rPr>
                <w:rFonts w:ascii="Arial" w:eastAsia="Calibri" w:hAnsi="Arial" w:cs="Arial"/>
                <w:sz w:val="20"/>
                <w:szCs w:val="20"/>
                <w:lang w:val="en-US"/>
              </w:rPr>
              <w:t>.</w:t>
            </w:r>
            <w:r w:rsidR="00FE411C" w:rsidRPr="00D57C02">
              <w:rPr>
                <w:rFonts w:ascii="Arial" w:hAnsi="Arial" w:cs="Arial"/>
                <w:sz w:val="20"/>
                <w:szCs w:val="20"/>
              </w:rPr>
              <w:t xml:space="preserve"> </w:t>
            </w:r>
          </w:p>
          <w:p w14:paraId="5D0B8A8C" w14:textId="0D67D23A" w:rsidR="00042DCA" w:rsidRPr="00D57C02" w:rsidRDefault="00FE411C" w:rsidP="00401EBB">
            <w:pPr>
              <w:spacing w:after="0"/>
              <w:rPr>
                <w:rFonts w:ascii="Arial" w:hAnsi="Arial" w:cs="Arial"/>
                <w:sz w:val="20"/>
                <w:szCs w:val="20"/>
              </w:rPr>
            </w:pPr>
            <w:r w:rsidRPr="00D57C02">
              <w:rPr>
                <w:rFonts w:ascii="Arial" w:hAnsi="Arial" w:cs="Arial"/>
                <w:sz w:val="20"/>
                <w:szCs w:val="20"/>
              </w:rPr>
              <w:t>Applicant response in table below</w:t>
            </w:r>
            <w:r w:rsidR="00997C31" w:rsidRPr="00D57C02">
              <w:rPr>
                <w:rFonts w:ascii="Arial" w:hAnsi="Arial" w:cs="Arial"/>
                <w:sz w:val="20"/>
                <w:szCs w:val="20"/>
              </w:rPr>
              <w:t>.</w:t>
            </w:r>
          </w:p>
        </w:tc>
      </w:tr>
      <w:tr w:rsidR="009F54F1" w:rsidRPr="00D57C02" w14:paraId="5D0B8A95" w14:textId="77777777" w:rsidTr="006563C4">
        <w:tblPrEx>
          <w:jc w:val="left"/>
        </w:tblPrEx>
        <w:trPr>
          <w:trHeight w:val="546"/>
        </w:trPr>
        <w:tc>
          <w:tcPr>
            <w:tcW w:w="2405" w:type="dxa"/>
            <w:shd w:val="clear" w:color="auto" w:fill="C6D9F1"/>
            <w:vAlign w:val="center"/>
          </w:tcPr>
          <w:p w14:paraId="5D0B8A90" w14:textId="77777777" w:rsidR="009F54F1" w:rsidRPr="00D57C02" w:rsidRDefault="009F54F1" w:rsidP="00B50C6D">
            <w:pPr>
              <w:spacing w:after="0" w:line="276" w:lineRule="auto"/>
              <w:rPr>
                <w:rFonts w:ascii="Arial" w:eastAsia="Calibri" w:hAnsi="Arial" w:cs="Arial"/>
                <w:b/>
                <w:sz w:val="20"/>
                <w:szCs w:val="20"/>
                <w:lang w:val="en-US"/>
              </w:rPr>
            </w:pPr>
            <w:r w:rsidRPr="00D57C02">
              <w:rPr>
                <w:rFonts w:ascii="Arial" w:eastAsia="Calibri" w:hAnsi="Arial" w:cs="Arial"/>
                <w:b/>
                <w:sz w:val="20"/>
                <w:szCs w:val="20"/>
                <w:lang w:val="en-US"/>
              </w:rPr>
              <w:t>Key area</w:t>
            </w:r>
          </w:p>
        </w:tc>
        <w:tc>
          <w:tcPr>
            <w:tcW w:w="4406" w:type="dxa"/>
            <w:shd w:val="clear" w:color="auto" w:fill="C6D9F1"/>
            <w:vAlign w:val="center"/>
          </w:tcPr>
          <w:p w14:paraId="5D0B8A91" w14:textId="77777777" w:rsidR="009F54F1" w:rsidRPr="00D57C02" w:rsidRDefault="009F54F1" w:rsidP="00B50C6D">
            <w:pPr>
              <w:spacing w:before="120" w:after="0" w:line="276" w:lineRule="auto"/>
              <w:rPr>
                <w:rFonts w:ascii="Arial" w:eastAsia="Calibri" w:hAnsi="Arial" w:cs="Arial"/>
                <w:b/>
                <w:iCs/>
                <w:sz w:val="20"/>
                <w:szCs w:val="20"/>
                <w:lang w:val="en-US"/>
              </w:rPr>
            </w:pPr>
            <w:r w:rsidRPr="00D57C02">
              <w:rPr>
                <w:rFonts w:ascii="Arial" w:eastAsia="Calibri" w:hAnsi="Arial" w:cs="Arial"/>
                <w:b/>
                <w:sz w:val="20"/>
                <w:szCs w:val="20"/>
                <w:lang w:val="en-US"/>
              </w:rPr>
              <w:t>Applicable reference document(s)</w:t>
            </w:r>
          </w:p>
        </w:tc>
        <w:tc>
          <w:tcPr>
            <w:tcW w:w="1406" w:type="dxa"/>
            <w:shd w:val="clear" w:color="auto" w:fill="C6D9F1"/>
            <w:vAlign w:val="center"/>
          </w:tcPr>
          <w:p w14:paraId="5D0B8A93" w14:textId="5B9E2D83" w:rsidR="009F54F1" w:rsidRPr="00D57C02" w:rsidRDefault="009F54F1" w:rsidP="00B50C6D">
            <w:pPr>
              <w:spacing w:before="120" w:after="0" w:line="276" w:lineRule="auto"/>
              <w:rPr>
                <w:rFonts w:ascii="Arial" w:eastAsia="Calibri" w:hAnsi="Arial" w:cs="Arial"/>
                <w:b/>
                <w:iCs/>
                <w:sz w:val="20"/>
                <w:szCs w:val="20"/>
                <w:lang w:val="fr-CH"/>
              </w:rPr>
            </w:pPr>
            <w:r w:rsidRPr="00D57C02">
              <w:rPr>
                <w:rFonts w:ascii="Arial" w:eastAsia="Calibri" w:hAnsi="Arial" w:cs="Arial"/>
                <w:b/>
                <w:iCs/>
                <w:sz w:val="20"/>
                <w:szCs w:val="20"/>
                <w:lang w:val="fr-CH"/>
              </w:rPr>
              <w:t>Relevant section(s)</w:t>
            </w:r>
            <w:r w:rsidR="00E73BE1" w:rsidRPr="00D57C02">
              <w:rPr>
                <w:rFonts w:ascii="Arial" w:eastAsia="Calibri" w:hAnsi="Arial" w:cs="Arial"/>
                <w:b/>
                <w:iCs/>
                <w:sz w:val="20"/>
                <w:szCs w:val="20"/>
                <w:lang w:val="fr-CH"/>
              </w:rPr>
              <w:t xml:space="preserve"> &amp; pages nb.</w:t>
            </w:r>
          </w:p>
        </w:tc>
        <w:tc>
          <w:tcPr>
            <w:tcW w:w="868" w:type="dxa"/>
            <w:gridSpan w:val="2"/>
            <w:shd w:val="clear" w:color="auto" w:fill="C6D9F1"/>
            <w:vAlign w:val="center"/>
          </w:tcPr>
          <w:p w14:paraId="5D0B8A94" w14:textId="77777777" w:rsidR="009F54F1" w:rsidRPr="00D57C02" w:rsidRDefault="009F54F1" w:rsidP="00B50C6D">
            <w:pPr>
              <w:spacing w:before="120" w:after="0" w:line="276" w:lineRule="auto"/>
              <w:rPr>
                <w:rFonts w:ascii="Arial" w:eastAsia="Calibri" w:hAnsi="Arial" w:cs="Arial"/>
                <w:b/>
                <w:iCs/>
                <w:sz w:val="20"/>
                <w:szCs w:val="20"/>
                <w:lang w:val="en-US"/>
              </w:rPr>
            </w:pPr>
            <w:r w:rsidRPr="00D57C02">
              <w:rPr>
                <w:rFonts w:ascii="Arial" w:eastAsia="Calibri" w:hAnsi="Arial" w:cs="Arial"/>
                <w:b/>
                <w:iCs/>
                <w:sz w:val="20"/>
                <w:szCs w:val="20"/>
                <w:lang w:val="en-US"/>
              </w:rPr>
              <w:t>N/A</w:t>
            </w:r>
          </w:p>
        </w:tc>
      </w:tr>
      <w:tr w:rsidR="00B50C6D" w:rsidRPr="00D57C02" w14:paraId="5D0B8A97" w14:textId="77777777" w:rsidTr="006563C4">
        <w:tblPrEx>
          <w:jc w:val="left"/>
        </w:tblPrEx>
        <w:trPr>
          <w:trHeight w:val="443"/>
        </w:trPr>
        <w:tc>
          <w:tcPr>
            <w:tcW w:w="9085" w:type="dxa"/>
            <w:gridSpan w:val="5"/>
            <w:shd w:val="clear" w:color="auto" w:fill="F2F2F2" w:themeFill="background1" w:themeFillShade="F2"/>
            <w:vAlign w:val="center"/>
          </w:tcPr>
          <w:p w14:paraId="5D0B8A96" w14:textId="37B264E6" w:rsidR="00B50C6D" w:rsidRPr="00D57C02" w:rsidRDefault="00B50C6D" w:rsidP="00B50C6D">
            <w:pPr>
              <w:spacing w:before="120" w:after="120" w:line="240" w:lineRule="auto"/>
              <w:rPr>
                <w:rFonts w:ascii="Arial" w:eastAsia="SimSun" w:hAnsi="Arial" w:cs="Arial"/>
                <w:b/>
                <w:sz w:val="20"/>
                <w:szCs w:val="20"/>
                <w:lang w:val="en-US" w:eastAsia="zh-CN"/>
              </w:rPr>
            </w:pPr>
            <w:r w:rsidRPr="00D57C02">
              <w:rPr>
                <w:rFonts w:ascii="Arial" w:eastAsia="Calibri" w:hAnsi="Arial" w:cs="Arial"/>
                <w:b/>
                <w:sz w:val="20"/>
                <w:szCs w:val="20"/>
                <w:lang w:val="en-US"/>
              </w:rPr>
              <w:t>Resilient and Sustainable Systems for Health (RSSH)</w:t>
            </w:r>
          </w:p>
        </w:tc>
      </w:tr>
      <w:tr w:rsidR="00AA4C85" w:rsidRPr="00D57C02" w14:paraId="5D0B8A9D" w14:textId="77777777" w:rsidTr="006563C4">
        <w:tblPrEx>
          <w:jc w:val="left"/>
        </w:tblPrEx>
        <w:trPr>
          <w:trHeight w:val="393"/>
        </w:trPr>
        <w:tc>
          <w:tcPr>
            <w:tcW w:w="2405" w:type="dxa"/>
            <w:shd w:val="clear" w:color="auto" w:fill="F2F2F2" w:themeFill="background1" w:themeFillShade="F2"/>
            <w:vAlign w:val="center"/>
          </w:tcPr>
          <w:p w14:paraId="5D0B8A98" w14:textId="77777777" w:rsidR="00AA4C85" w:rsidRPr="00D57C02" w:rsidRDefault="00AA4C85" w:rsidP="00AA4C85">
            <w:pPr>
              <w:tabs>
                <w:tab w:val="left" w:pos="360"/>
              </w:tabs>
              <w:spacing w:after="0" w:line="276" w:lineRule="auto"/>
              <w:ind w:right="-54"/>
              <w:contextualSpacing/>
              <w:rPr>
                <w:rFonts w:ascii="Arial" w:eastAsia="Calibri" w:hAnsi="Arial" w:cs="Arial"/>
                <w:bCs/>
                <w:iCs/>
                <w:sz w:val="20"/>
                <w:szCs w:val="20"/>
                <w:lang w:val="en-US"/>
              </w:rPr>
            </w:pPr>
            <w:r w:rsidRPr="00D57C02">
              <w:rPr>
                <w:rFonts w:ascii="Arial" w:eastAsia="Calibri" w:hAnsi="Arial" w:cs="Arial"/>
                <w:sz w:val="20"/>
                <w:szCs w:val="20"/>
                <w:lang w:val="en-US"/>
              </w:rPr>
              <w:t>Health system overview</w:t>
            </w:r>
          </w:p>
        </w:tc>
        <w:tc>
          <w:tcPr>
            <w:tcW w:w="4406" w:type="dxa"/>
            <w:shd w:val="clear" w:color="auto" w:fill="auto"/>
          </w:tcPr>
          <w:p w14:paraId="5D0B8A99" w14:textId="0A8B64E3" w:rsidR="00AA4C85" w:rsidRPr="003966DD" w:rsidRDefault="00AA4C85" w:rsidP="00AA4C85">
            <w:pPr>
              <w:tabs>
                <w:tab w:val="left" w:pos="338"/>
              </w:tabs>
              <w:spacing w:after="0" w:line="276" w:lineRule="auto"/>
              <w:ind w:right="-54"/>
              <w:contextualSpacing/>
              <w:rPr>
                <w:rFonts w:ascii="Arial" w:eastAsia="Calibri" w:hAnsi="Arial" w:cs="Arial"/>
                <w:bCs/>
                <w:iCs/>
                <w:lang w:val="en-US"/>
              </w:rPr>
            </w:pPr>
            <w:r w:rsidRPr="003966DD">
              <w:rPr>
                <w:rFonts w:ascii="Arial" w:hAnsi="Arial" w:cs="Arial"/>
              </w:rPr>
              <w:t>National Demographic Health Survey, 2016</w:t>
            </w:r>
            <w:r>
              <w:rPr>
                <w:rFonts w:ascii="Arial" w:hAnsi="Arial" w:cs="Arial"/>
              </w:rPr>
              <w:t xml:space="preserve"> (Annex-26)</w:t>
            </w:r>
          </w:p>
        </w:tc>
        <w:tc>
          <w:tcPr>
            <w:tcW w:w="1406" w:type="dxa"/>
            <w:vAlign w:val="center"/>
          </w:tcPr>
          <w:p w14:paraId="20A9FED5" w14:textId="77777777" w:rsidR="00AA4C85" w:rsidRPr="00D57C02" w:rsidRDefault="00AA4C85" w:rsidP="00AA4C85">
            <w:pPr>
              <w:spacing w:before="120" w:after="0" w:line="276" w:lineRule="auto"/>
              <w:jc w:val="center"/>
              <w:rPr>
                <w:rFonts w:ascii="Arial" w:hAnsi="Arial" w:cs="Arial"/>
                <w:iCs/>
                <w:lang w:val="fr-CH"/>
              </w:rPr>
            </w:pPr>
            <w:r w:rsidRPr="00D57C02">
              <w:rPr>
                <w:rFonts w:ascii="Arial" w:hAnsi="Arial" w:cs="Arial"/>
                <w:iCs/>
                <w:lang w:val="fr-CH"/>
              </w:rPr>
              <w:t>Page-</w:t>
            </w:r>
            <w:r>
              <w:rPr>
                <w:rFonts w:ascii="Arial" w:hAnsi="Arial" w:cs="Arial"/>
                <w:iCs/>
                <w:lang w:val="fr-CH"/>
              </w:rPr>
              <w:t>2</w:t>
            </w:r>
            <w:r w:rsidRPr="00D57C02">
              <w:rPr>
                <w:rFonts w:ascii="Arial" w:hAnsi="Arial" w:cs="Arial"/>
                <w:iCs/>
                <w:lang w:val="fr-CH"/>
              </w:rPr>
              <w:t>3</w:t>
            </w:r>
          </w:p>
          <w:p w14:paraId="5D0B8A9B" w14:textId="199242AD" w:rsidR="00AA4C85" w:rsidRPr="00D57C02" w:rsidRDefault="00AA4C85" w:rsidP="00AA4C85">
            <w:pPr>
              <w:spacing w:after="0" w:line="276" w:lineRule="auto"/>
              <w:jc w:val="center"/>
              <w:rPr>
                <w:rFonts w:ascii="Arial" w:eastAsia="Calibri" w:hAnsi="Arial" w:cs="Arial"/>
                <w:bCs/>
                <w:iCs/>
                <w:sz w:val="20"/>
                <w:szCs w:val="20"/>
                <w:lang w:val="en-US"/>
              </w:rPr>
            </w:pPr>
          </w:p>
        </w:tc>
        <w:tc>
          <w:tcPr>
            <w:tcW w:w="868" w:type="dxa"/>
            <w:gridSpan w:val="2"/>
            <w:vAlign w:val="center"/>
          </w:tcPr>
          <w:p w14:paraId="5D0B8A9C" w14:textId="3253FCB9" w:rsidR="00AA4C85" w:rsidRPr="00D57C02" w:rsidRDefault="00EB1D26" w:rsidP="00AA4C85">
            <w:pPr>
              <w:spacing w:after="0" w:line="240" w:lineRule="auto"/>
              <w:jc w:val="center"/>
              <w:rPr>
                <w:rFonts w:ascii="Arial" w:eastAsia="SimSun" w:hAnsi="Arial" w:cs="Arial"/>
                <w:b/>
                <w:sz w:val="20"/>
                <w:szCs w:val="20"/>
                <w:lang w:val="en-US" w:eastAsia="zh-CN"/>
              </w:rPr>
            </w:pPr>
            <w:sdt>
              <w:sdtPr>
                <w:rPr>
                  <w:rFonts w:ascii="Arial" w:eastAsia="Calibri" w:hAnsi="Arial" w:cs="Arial"/>
                  <w:bCs/>
                  <w:iCs/>
                  <w:sz w:val="20"/>
                  <w:szCs w:val="20"/>
                  <w:lang w:val="en-US"/>
                </w:rPr>
                <w:id w:val="1463616910"/>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tc>
      </w:tr>
      <w:tr w:rsidR="00AA4C85" w:rsidRPr="00D57C02" w14:paraId="6384E6D3" w14:textId="77777777" w:rsidTr="006563C4">
        <w:tblPrEx>
          <w:jc w:val="left"/>
        </w:tblPrEx>
        <w:trPr>
          <w:trHeight w:val="413"/>
        </w:trPr>
        <w:tc>
          <w:tcPr>
            <w:tcW w:w="2405" w:type="dxa"/>
            <w:shd w:val="clear" w:color="auto" w:fill="F2F2F2" w:themeFill="background1" w:themeFillShade="F2"/>
            <w:vAlign w:val="center"/>
          </w:tcPr>
          <w:p w14:paraId="2B133FFF" w14:textId="77777777" w:rsidR="00AA4C85" w:rsidRPr="00D57C02" w:rsidRDefault="00AA4C85" w:rsidP="00AA4C85">
            <w:pPr>
              <w:tabs>
                <w:tab w:val="left" w:pos="360"/>
              </w:tabs>
              <w:spacing w:after="0" w:line="276" w:lineRule="auto"/>
              <w:contextualSpacing/>
              <w:rPr>
                <w:rFonts w:ascii="Arial" w:eastAsia="Calibri" w:hAnsi="Arial" w:cs="Arial"/>
                <w:sz w:val="20"/>
                <w:szCs w:val="20"/>
                <w:lang w:val="en-US"/>
              </w:rPr>
            </w:pPr>
          </w:p>
        </w:tc>
        <w:tc>
          <w:tcPr>
            <w:tcW w:w="4406" w:type="dxa"/>
          </w:tcPr>
          <w:p w14:paraId="1C8AD98E" w14:textId="4E87A684" w:rsidR="00AA4C85" w:rsidRPr="00805737" w:rsidRDefault="00AA4C85" w:rsidP="00AA4C85">
            <w:pPr>
              <w:tabs>
                <w:tab w:val="left" w:pos="338"/>
              </w:tabs>
              <w:spacing w:after="0" w:line="276" w:lineRule="auto"/>
              <w:contextualSpacing/>
              <w:rPr>
                <w:rFonts w:ascii="Arial" w:eastAsia="Calibri" w:hAnsi="Arial" w:cs="Arial"/>
                <w:bCs/>
                <w:iCs/>
                <w:lang w:val="en-US"/>
              </w:rPr>
            </w:pPr>
            <w:r w:rsidRPr="00805737">
              <w:rPr>
                <w:rFonts w:ascii="Arial" w:hAnsi="Arial" w:cs="Arial"/>
              </w:rPr>
              <w:t xml:space="preserve">Integrated Health Infrastructure Development, </w:t>
            </w:r>
            <w:proofErr w:type="spellStart"/>
            <w:r w:rsidRPr="00805737">
              <w:rPr>
                <w:rFonts w:ascii="Arial" w:hAnsi="Arial" w:cs="Arial"/>
              </w:rPr>
              <w:t>MoH</w:t>
            </w:r>
            <w:proofErr w:type="spellEnd"/>
            <w:r w:rsidRPr="00805737">
              <w:rPr>
                <w:rFonts w:ascii="Arial" w:hAnsi="Arial" w:cs="Arial"/>
              </w:rPr>
              <w:t xml:space="preserve">, </w:t>
            </w:r>
            <w:proofErr w:type="spellStart"/>
            <w:r w:rsidRPr="00805737">
              <w:rPr>
                <w:rFonts w:ascii="Arial" w:hAnsi="Arial" w:cs="Arial"/>
              </w:rPr>
              <w:t>GoN</w:t>
            </w:r>
            <w:proofErr w:type="spellEnd"/>
            <w:r w:rsidRPr="00805737">
              <w:rPr>
                <w:rFonts w:ascii="Arial" w:hAnsi="Arial" w:cs="Arial"/>
              </w:rPr>
              <w:t>, 2017</w:t>
            </w:r>
            <w:r>
              <w:rPr>
                <w:rFonts w:ascii="Arial" w:hAnsi="Arial" w:cs="Arial"/>
              </w:rPr>
              <w:t xml:space="preserve"> (Annex-4)</w:t>
            </w:r>
          </w:p>
        </w:tc>
        <w:tc>
          <w:tcPr>
            <w:tcW w:w="1406" w:type="dxa"/>
            <w:vAlign w:val="center"/>
          </w:tcPr>
          <w:p w14:paraId="15C8CDBE" w14:textId="7A584F7C" w:rsidR="00AA4C85" w:rsidRPr="00D57C02" w:rsidRDefault="00AA4C85" w:rsidP="00AA4C85">
            <w:pPr>
              <w:spacing w:after="0" w:line="276" w:lineRule="auto"/>
              <w:jc w:val="center"/>
              <w:rPr>
                <w:rFonts w:ascii="Arial" w:eastAsia="Calibri" w:hAnsi="Arial" w:cs="Arial"/>
                <w:bCs/>
                <w:iCs/>
                <w:lang w:val="en-US"/>
              </w:rPr>
            </w:pPr>
            <w:r w:rsidRPr="00D57C02">
              <w:rPr>
                <w:rFonts w:ascii="Arial" w:eastAsia="Calibri" w:hAnsi="Arial" w:cs="Arial"/>
                <w:bCs/>
                <w:iCs/>
                <w:lang w:val="en-US"/>
              </w:rPr>
              <w:t>Full</w:t>
            </w:r>
          </w:p>
        </w:tc>
        <w:tc>
          <w:tcPr>
            <w:tcW w:w="868" w:type="dxa"/>
            <w:gridSpan w:val="2"/>
            <w:vAlign w:val="center"/>
          </w:tcPr>
          <w:p w14:paraId="5389AB7E" w14:textId="6E83C990" w:rsidR="00AA4C85" w:rsidRPr="00D57C02" w:rsidRDefault="00EB1D26" w:rsidP="00AA4C85">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82285734"/>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tc>
      </w:tr>
      <w:tr w:rsidR="00AA4C85" w:rsidRPr="00D57C02" w14:paraId="7C80896E" w14:textId="77777777" w:rsidTr="006563C4">
        <w:tblPrEx>
          <w:jc w:val="left"/>
        </w:tblPrEx>
        <w:trPr>
          <w:trHeight w:val="413"/>
        </w:trPr>
        <w:tc>
          <w:tcPr>
            <w:tcW w:w="2405" w:type="dxa"/>
            <w:shd w:val="clear" w:color="auto" w:fill="F2F2F2" w:themeFill="background1" w:themeFillShade="F2"/>
            <w:vAlign w:val="center"/>
          </w:tcPr>
          <w:p w14:paraId="008D288E" w14:textId="77777777" w:rsidR="00AA4C85" w:rsidRPr="00D57C02" w:rsidRDefault="00AA4C85" w:rsidP="00AA4C85">
            <w:pPr>
              <w:tabs>
                <w:tab w:val="left" w:pos="360"/>
              </w:tabs>
              <w:spacing w:after="0" w:line="276" w:lineRule="auto"/>
              <w:contextualSpacing/>
              <w:rPr>
                <w:rFonts w:ascii="Arial" w:eastAsia="Calibri" w:hAnsi="Arial" w:cs="Arial"/>
                <w:sz w:val="20"/>
                <w:szCs w:val="20"/>
                <w:lang w:val="en-US"/>
              </w:rPr>
            </w:pPr>
          </w:p>
        </w:tc>
        <w:tc>
          <w:tcPr>
            <w:tcW w:w="4406" w:type="dxa"/>
          </w:tcPr>
          <w:p w14:paraId="425983E3" w14:textId="4A947FB3" w:rsidR="00AA4C85" w:rsidRPr="00805737" w:rsidRDefault="00AA4C85" w:rsidP="00AA4C85">
            <w:pPr>
              <w:tabs>
                <w:tab w:val="left" w:pos="338"/>
              </w:tabs>
              <w:spacing w:after="0" w:line="276" w:lineRule="auto"/>
              <w:contextualSpacing/>
              <w:rPr>
                <w:rFonts w:ascii="Arial" w:hAnsi="Arial" w:cs="Arial"/>
              </w:rPr>
            </w:pPr>
            <w:r w:rsidRPr="00805737">
              <w:rPr>
                <w:rFonts w:ascii="Arial" w:hAnsi="Arial" w:cs="Arial"/>
              </w:rPr>
              <w:t>Nepal Health Facility Survey, 2015</w:t>
            </w:r>
            <w:r>
              <w:rPr>
                <w:rFonts w:ascii="Arial" w:hAnsi="Arial" w:cs="Arial"/>
              </w:rPr>
              <w:t>, (Annex-12)</w:t>
            </w:r>
          </w:p>
        </w:tc>
        <w:tc>
          <w:tcPr>
            <w:tcW w:w="1406" w:type="dxa"/>
            <w:vAlign w:val="center"/>
          </w:tcPr>
          <w:p w14:paraId="7F256D0F" w14:textId="7D925C9A" w:rsidR="00AA4C85" w:rsidRPr="00D57C02" w:rsidRDefault="00AA4C85" w:rsidP="00AA4C85">
            <w:pPr>
              <w:spacing w:after="0" w:line="276" w:lineRule="auto"/>
              <w:jc w:val="center"/>
              <w:rPr>
                <w:rFonts w:ascii="Arial" w:eastAsia="Calibri" w:hAnsi="Arial" w:cs="Arial"/>
                <w:bCs/>
                <w:iCs/>
                <w:sz w:val="20"/>
                <w:szCs w:val="20"/>
                <w:lang w:val="en-US"/>
              </w:rPr>
            </w:pPr>
            <w:r w:rsidRPr="00D57C02">
              <w:rPr>
                <w:rFonts w:ascii="Arial" w:eastAsia="Calibri" w:hAnsi="Arial" w:cs="Arial"/>
                <w:bCs/>
                <w:iCs/>
                <w:sz w:val="20"/>
                <w:szCs w:val="20"/>
                <w:lang w:val="en-US"/>
              </w:rPr>
              <w:t>Pages</w:t>
            </w:r>
            <w:r w:rsidR="006D3463">
              <w:rPr>
                <w:rFonts w:ascii="Arial" w:eastAsia="Calibri" w:hAnsi="Arial" w:cs="Arial"/>
                <w:bCs/>
                <w:iCs/>
                <w:sz w:val="20"/>
                <w:szCs w:val="20"/>
                <w:lang w:val="en-US"/>
              </w:rPr>
              <w:t>-</w:t>
            </w:r>
            <w:r w:rsidRPr="00D57C02">
              <w:rPr>
                <w:rFonts w:ascii="Arial" w:eastAsia="Calibri" w:hAnsi="Arial" w:cs="Arial"/>
                <w:bCs/>
                <w:iCs/>
                <w:sz w:val="20"/>
                <w:szCs w:val="20"/>
                <w:lang w:val="en-US"/>
              </w:rPr>
              <w:t xml:space="preserve"> </w:t>
            </w:r>
            <w:r w:rsidR="006D3463">
              <w:rPr>
                <w:rFonts w:ascii="Arial" w:eastAsia="Calibri" w:hAnsi="Arial" w:cs="Arial"/>
                <w:bCs/>
                <w:iCs/>
                <w:sz w:val="20"/>
                <w:szCs w:val="20"/>
                <w:lang w:val="en-US"/>
              </w:rPr>
              <w:t xml:space="preserve">44, </w:t>
            </w:r>
            <w:r w:rsidRPr="00D57C02">
              <w:rPr>
                <w:rFonts w:ascii="Arial" w:eastAsia="Calibri" w:hAnsi="Arial" w:cs="Arial"/>
                <w:bCs/>
                <w:iCs/>
                <w:sz w:val="20"/>
                <w:szCs w:val="20"/>
                <w:lang w:val="en-US"/>
              </w:rPr>
              <w:t>195-201</w:t>
            </w:r>
          </w:p>
        </w:tc>
        <w:tc>
          <w:tcPr>
            <w:tcW w:w="868" w:type="dxa"/>
            <w:gridSpan w:val="2"/>
            <w:vAlign w:val="center"/>
          </w:tcPr>
          <w:p w14:paraId="59D5DCB2" w14:textId="649AAC5D" w:rsidR="00AA4C85" w:rsidRPr="00D57C02" w:rsidRDefault="00EB1D26" w:rsidP="00AA4C85">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967237827"/>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tc>
      </w:tr>
      <w:tr w:rsidR="00AA4C85" w:rsidRPr="00D57C02" w14:paraId="1FD265F7" w14:textId="77777777" w:rsidTr="006563C4">
        <w:tblPrEx>
          <w:jc w:val="left"/>
        </w:tblPrEx>
        <w:trPr>
          <w:trHeight w:val="413"/>
        </w:trPr>
        <w:tc>
          <w:tcPr>
            <w:tcW w:w="2405" w:type="dxa"/>
            <w:shd w:val="clear" w:color="auto" w:fill="F2F2F2" w:themeFill="background1" w:themeFillShade="F2"/>
            <w:vAlign w:val="center"/>
          </w:tcPr>
          <w:p w14:paraId="47E3AFDD" w14:textId="77777777" w:rsidR="00AA4C85" w:rsidRPr="00D57C02" w:rsidRDefault="00AA4C85" w:rsidP="00AA4C85">
            <w:pPr>
              <w:tabs>
                <w:tab w:val="left" w:pos="360"/>
              </w:tabs>
              <w:spacing w:after="0" w:line="276" w:lineRule="auto"/>
              <w:contextualSpacing/>
              <w:rPr>
                <w:rFonts w:ascii="Arial" w:eastAsia="Calibri" w:hAnsi="Arial" w:cs="Arial"/>
                <w:sz w:val="20"/>
                <w:szCs w:val="20"/>
                <w:lang w:val="en-US"/>
              </w:rPr>
            </w:pPr>
          </w:p>
        </w:tc>
        <w:tc>
          <w:tcPr>
            <w:tcW w:w="4406" w:type="dxa"/>
          </w:tcPr>
          <w:p w14:paraId="04DE935F" w14:textId="684E1B58" w:rsidR="00AA4C85" w:rsidRPr="00805737" w:rsidRDefault="00AA4C85" w:rsidP="00AA4C85">
            <w:pPr>
              <w:tabs>
                <w:tab w:val="left" w:pos="338"/>
              </w:tabs>
              <w:spacing w:after="0" w:line="276" w:lineRule="auto"/>
              <w:contextualSpacing/>
              <w:rPr>
                <w:rFonts w:ascii="Arial" w:hAnsi="Arial" w:cs="Arial"/>
              </w:rPr>
            </w:pPr>
            <w:r>
              <w:rPr>
                <w:rFonts w:ascii="Arial" w:hAnsi="Arial" w:cs="Arial"/>
              </w:rPr>
              <w:t>Budget Analysis of Nepal Health Sector-II (Annex-28)</w:t>
            </w:r>
          </w:p>
        </w:tc>
        <w:tc>
          <w:tcPr>
            <w:tcW w:w="1406" w:type="dxa"/>
            <w:vAlign w:val="center"/>
          </w:tcPr>
          <w:p w14:paraId="69C86512" w14:textId="66281D7F" w:rsidR="00AA4C85" w:rsidRPr="00D57C02" w:rsidRDefault="00AA4C85" w:rsidP="00AA4C85">
            <w:pPr>
              <w:spacing w:after="0" w:line="276" w:lineRule="auto"/>
              <w:jc w:val="center"/>
              <w:rPr>
                <w:rFonts w:ascii="Arial" w:hAnsi="Arial" w:cs="Arial"/>
                <w:iCs/>
                <w:lang w:val="fr-CH"/>
              </w:rPr>
            </w:pPr>
            <w:r>
              <w:rPr>
                <w:rFonts w:ascii="Arial" w:hAnsi="Arial" w:cs="Arial"/>
                <w:iCs/>
                <w:lang w:val="fr-CH"/>
              </w:rPr>
              <w:t>Pages iii-iv, 11, 21-28</w:t>
            </w:r>
          </w:p>
        </w:tc>
        <w:tc>
          <w:tcPr>
            <w:tcW w:w="868" w:type="dxa"/>
            <w:gridSpan w:val="2"/>
            <w:vAlign w:val="center"/>
          </w:tcPr>
          <w:p w14:paraId="47DA6145" w14:textId="0F9B51FA" w:rsidR="00AA4C85" w:rsidRDefault="00EB1D26" w:rsidP="00AA4C85">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849567532"/>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tc>
      </w:tr>
      <w:tr w:rsidR="00AA4C85" w:rsidRPr="00D57C02" w14:paraId="5D0B8AA3" w14:textId="77777777" w:rsidTr="006563C4">
        <w:tblPrEx>
          <w:jc w:val="left"/>
        </w:tblPrEx>
        <w:trPr>
          <w:trHeight w:val="656"/>
        </w:trPr>
        <w:tc>
          <w:tcPr>
            <w:tcW w:w="2405" w:type="dxa"/>
            <w:shd w:val="clear" w:color="auto" w:fill="F2F2F2" w:themeFill="background1" w:themeFillShade="F2"/>
            <w:vAlign w:val="center"/>
          </w:tcPr>
          <w:p w14:paraId="5D0B8A9E" w14:textId="4EDC9510" w:rsidR="00AA4C85" w:rsidRPr="00D57C02" w:rsidRDefault="00AA4C85" w:rsidP="00AA4C85">
            <w:pPr>
              <w:tabs>
                <w:tab w:val="left" w:pos="360"/>
              </w:tabs>
              <w:spacing w:after="0" w:line="276" w:lineRule="auto"/>
              <w:contextualSpacing/>
              <w:rPr>
                <w:rFonts w:ascii="Arial" w:eastAsia="Calibri" w:hAnsi="Arial" w:cs="Arial"/>
                <w:bCs/>
                <w:iCs/>
                <w:sz w:val="20"/>
                <w:szCs w:val="20"/>
                <w:lang w:val="en-US"/>
              </w:rPr>
            </w:pPr>
            <w:r w:rsidRPr="00D57C02">
              <w:rPr>
                <w:rFonts w:ascii="Arial" w:eastAsia="Calibri" w:hAnsi="Arial" w:cs="Arial"/>
                <w:sz w:val="20"/>
                <w:szCs w:val="20"/>
                <w:lang w:val="en-US"/>
              </w:rPr>
              <w:t>Health system strategy</w:t>
            </w:r>
          </w:p>
        </w:tc>
        <w:tc>
          <w:tcPr>
            <w:tcW w:w="4406" w:type="dxa"/>
          </w:tcPr>
          <w:p w14:paraId="5D0B8A9F" w14:textId="2C76C1F4" w:rsidR="00AA4C85" w:rsidRPr="00805737" w:rsidRDefault="00AA4C85" w:rsidP="00AA4C85">
            <w:pPr>
              <w:tabs>
                <w:tab w:val="left" w:pos="338"/>
              </w:tabs>
              <w:spacing w:after="0" w:line="276" w:lineRule="auto"/>
              <w:contextualSpacing/>
              <w:rPr>
                <w:rFonts w:ascii="Arial" w:eastAsia="Calibri" w:hAnsi="Arial" w:cs="Arial"/>
                <w:bCs/>
                <w:iCs/>
                <w:lang w:val="en-US"/>
              </w:rPr>
            </w:pPr>
            <w:r w:rsidRPr="00805737">
              <w:rPr>
                <w:rFonts w:ascii="Arial" w:hAnsi="Arial" w:cs="Arial"/>
              </w:rPr>
              <w:t>Nepal Health Sector Strategy, 2016-2020</w:t>
            </w:r>
            <w:r>
              <w:rPr>
                <w:rFonts w:ascii="Arial" w:hAnsi="Arial" w:cs="Arial"/>
              </w:rPr>
              <w:t xml:space="preserve"> (Annex-1)</w:t>
            </w:r>
          </w:p>
        </w:tc>
        <w:tc>
          <w:tcPr>
            <w:tcW w:w="1406" w:type="dxa"/>
            <w:vAlign w:val="center"/>
          </w:tcPr>
          <w:p w14:paraId="5D0B8AA1" w14:textId="3BAC1305" w:rsidR="00AA4C85" w:rsidRPr="00D57C02" w:rsidRDefault="00AA4C85" w:rsidP="00AA4C85">
            <w:pPr>
              <w:spacing w:after="0" w:line="276" w:lineRule="auto"/>
              <w:jc w:val="center"/>
              <w:rPr>
                <w:rFonts w:ascii="Arial" w:eastAsia="Calibri" w:hAnsi="Arial" w:cs="Arial"/>
                <w:bCs/>
                <w:iCs/>
                <w:sz w:val="20"/>
                <w:szCs w:val="20"/>
                <w:lang w:val="en-US"/>
              </w:rPr>
            </w:pPr>
            <w:r>
              <w:rPr>
                <w:rFonts w:ascii="Arial" w:hAnsi="Arial" w:cs="Arial"/>
                <w:iCs/>
                <w:lang w:val="fr-CH"/>
              </w:rPr>
              <w:t>P</w:t>
            </w:r>
            <w:r w:rsidRPr="00D57C02">
              <w:rPr>
                <w:rFonts w:ascii="Arial" w:hAnsi="Arial" w:cs="Arial"/>
                <w:iCs/>
                <w:lang w:val="fr-CH"/>
              </w:rPr>
              <w:t>age 6-7</w:t>
            </w:r>
          </w:p>
        </w:tc>
        <w:tc>
          <w:tcPr>
            <w:tcW w:w="868" w:type="dxa"/>
            <w:gridSpan w:val="2"/>
            <w:vAlign w:val="center"/>
          </w:tcPr>
          <w:p w14:paraId="5D0B8AA2" w14:textId="04B3CABE" w:rsidR="00AA4C85" w:rsidRPr="00D57C02" w:rsidRDefault="00EB1D26" w:rsidP="00AA4C85">
            <w:pPr>
              <w:spacing w:after="0" w:line="240" w:lineRule="auto"/>
              <w:jc w:val="center"/>
              <w:rPr>
                <w:rFonts w:ascii="Arial" w:eastAsia="SimSun" w:hAnsi="Arial" w:cs="Arial"/>
                <w:b/>
                <w:sz w:val="20"/>
                <w:szCs w:val="20"/>
                <w:lang w:val="en-US" w:eastAsia="zh-CN"/>
              </w:rPr>
            </w:pPr>
            <w:sdt>
              <w:sdtPr>
                <w:rPr>
                  <w:rFonts w:ascii="Arial" w:eastAsia="Calibri" w:hAnsi="Arial" w:cs="Arial"/>
                  <w:bCs/>
                  <w:iCs/>
                  <w:sz w:val="20"/>
                  <w:szCs w:val="20"/>
                  <w:lang w:val="en-US"/>
                </w:rPr>
                <w:id w:val="-1611280088"/>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tc>
      </w:tr>
      <w:tr w:rsidR="00AA4C85" w:rsidRPr="00D57C02" w14:paraId="318DC146" w14:textId="77777777" w:rsidTr="006563C4">
        <w:tblPrEx>
          <w:jc w:val="left"/>
        </w:tblPrEx>
        <w:trPr>
          <w:trHeight w:val="413"/>
        </w:trPr>
        <w:tc>
          <w:tcPr>
            <w:tcW w:w="2405" w:type="dxa"/>
            <w:shd w:val="clear" w:color="auto" w:fill="F2F2F2" w:themeFill="background1" w:themeFillShade="F2"/>
            <w:vAlign w:val="center"/>
          </w:tcPr>
          <w:p w14:paraId="487E2700" w14:textId="77777777" w:rsidR="00AA4C85" w:rsidRPr="00D57C02" w:rsidRDefault="00AA4C85" w:rsidP="00AA4C85">
            <w:pPr>
              <w:tabs>
                <w:tab w:val="left" w:pos="360"/>
              </w:tabs>
              <w:spacing w:after="0" w:line="276" w:lineRule="auto"/>
              <w:contextualSpacing/>
              <w:rPr>
                <w:rFonts w:ascii="Arial" w:eastAsia="Calibri" w:hAnsi="Arial" w:cs="Arial"/>
                <w:sz w:val="20"/>
                <w:szCs w:val="20"/>
                <w:lang w:val="en-US"/>
              </w:rPr>
            </w:pPr>
          </w:p>
        </w:tc>
        <w:tc>
          <w:tcPr>
            <w:tcW w:w="4406" w:type="dxa"/>
          </w:tcPr>
          <w:p w14:paraId="2AAB06DD" w14:textId="6C16883F" w:rsidR="00AA4C85" w:rsidRPr="00805737" w:rsidRDefault="00AA4C85" w:rsidP="00AA4C85">
            <w:pPr>
              <w:tabs>
                <w:tab w:val="left" w:pos="338"/>
              </w:tabs>
              <w:spacing w:after="0" w:line="276" w:lineRule="auto"/>
              <w:contextualSpacing/>
              <w:rPr>
                <w:rFonts w:ascii="Arial" w:hAnsi="Arial" w:cs="Arial"/>
              </w:rPr>
            </w:pPr>
            <w:r w:rsidRPr="00805737">
              <w:rPr>
                <w:rFonts w:ascii="Arial" w:hAnsi="Arial" w:cs="Arial"/>
              </w:rPr>
              <w:t>Nepal Health Sector Strat</w:t>
            </w:r>
            <w:r>
              <w:rPr>
                <w:rFonts w:ascii="Arial" w:hAnsi="Arial" w:cs="Arial"/>
              </w:rPr>
              <w:t>egy Implementation Plan, 2016-</w:t>
            </w:r>
            <w:r w:rsidRPr="00805737">
              <w:rPr>
                <w:rFonts w:ascii="Arial" w:hAnsi="Arial" w:cs="Arial"/>
              </w:rPr>
              <w:t>21</w:t>
            </w:r>
            <w:r>
              <w:rPr>
                <w:rFonts w:ascii="Arial" w:hAnsi="Arial" w:cs="Arial"/>
              </w:rPr>
              <w:t xml:space="preserve"> (Annex-9)</w:t>
            </w:r>
          </w:p>
        </w:tc>
        <w:tc>
          <w:tcPr>
            <w:tcW w:w="1406" w:type="dxa"/>
            <w:vAlign w:val="center"/>
          </w:tcPr>
          <w:p w14:paraId="7E331A48" w14:textId="5684C112" w:rsidR="00AA4C85" w:rsidRPr="00D57C02" w:rsidRDefault="00AA4C85" w:rsidP="00AA4C85">
            <w:pPr>
              <w:spacing w:after="0" w:line="276" w:lineRule="auto"/>
              <w:jc w:val="center"/>
              <w:rPr>
                <w:rFonts w:ascii="Arial" w:hAnsi="Arial" w:cs="Arial"/>
                <w:iCs/>
                <w:lang w:val="fr-CH"/>
              </w:rPr>
            </w:pPr>
            <w:r w:rsidRPr="00D57C02">
              <w:rPr>
                <w:rFonts w:ascii="Arial" w:hAnsi="Arial" w:cs="Arial"/>
                <w:iCs/>
                <w:lang w:val="fr-CH"/>
              </w:rPr>
              <w:t>Pages 105-112</w:t>
            </w:r>
          </w:p>
        </w:tc>
        <w:tc>
          <w:tcPr>
            <w:tcW w:w="868" w:type="dxa"/>
            <w:gridSpan w:val="2"/>
            <w:vAlign w:val="center"/>
          </w:tcPr>
          <w:p w14:paraId="02E5CE43" w14:textId="77777777" w:rsidR="00AA4C85" w:rsidRPr="00D57C02" w:rsidRDefault="00EB1D26" w:rsidP="00AA4C85">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234668668"/>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sz w:val="20"/>
                    <w:szCs w:val="20"/>
                    <w:lang w:val="en-US"/>
                  </w:rPr>
                  <w:t>☐</w:t>
                </w:r>
              </w:sdtContent>
            </w:sdt>
          </w:p>
          <w:p w14:paraId="09843FBC" w14:textId="6067A305" w:rsidR="00AA4C85" w:rsidRPr="00D57C02" w:rsidRDefault="00AA4C85" w:rsidP="00AA4C85">
            <w:pPr>
              <w:spacing w:after="0" w:line="240" w:lineRule="auto"/>
              <w:jc w:val="center"/>
              <w:rPr>
                <w:rFonts w:ascii="Arial" w:eastAsia="Calibri" w:hAnsi="Arial" w:cs="Arial"/>
                <w:bCs/>
                <w:iCs/>
                <w:sz w:val="20"/>
                <w:szCs w:val="20"/>
                <w:lang w:val="en-US"/>
              </w:rPr>
            </w:pPr>
          </w:p>
        </w:tc>
      </w:tr>
      <w:tr w:rsidR="00AA4C85" w:rsidRPr="00D57C02" w14:paraId="5D0B8AA9" w14:textId="77777777" w:rsidTr="006563C4">
        <w:tblPrEx>
          <w:jc w:val="left"/>
        </w:tblPrEx>
        <w:trPr>
          <w:trHeight w:val="734"/>
        </w:trPr>
        <w:tc>
          <w:tcPr>
            <w:tcW w:w="2405" w:type="dxa"/>
            <w:shd w:val="clear" w:color="auto" w:fill="F2F2F2" w:themeFill="background1" w:themeFillShade="F2"/>
            <w:vAlign w:val="center"/>
          </w:tcPr>
          <w:p w14:paraId="5D0B8AA4" w14:textId="77777777" w:rsidR="00AA4C85" w:rsidRPr="00D57C02" w:rsidRDefault="00AA4C85" w:rsidP="00AA4C85">
            <w:pPr>
              <w:tabs>
                <w:tab w:val="left" w:pos="360"/>
              </w:tabs>
              <w:spacing w:after="0" w:line="276" w:lineRule="auto"/>
              <w:contextualSpacing/>
              <w:rPr>
                <w:rFonts w:ascii="Arial" w:eastAsia="Calibri" w:hAnsi="Arial" w:cs="Arial"/>
                <w:sz w:val="20"/>
                <w:szCs w:val="20"/>
                <w:lang w:val="en-US"/>
              </w:rPr>
            </w:pPr>
            <w:r w:rsidRPr="00D57C02">
              <w:rPr>
                <w:rFonts w:ascii="Arial" w:eastAsia="Calibri" w:hAnsi="Arial" w:cs="Arial"/>
                <w:sz w:val="20"/>
                <w:szCs w:val="20"/>
                <w:lang w:val="en-US"/>
              </w:rPr>
              <w:t>Human rights and gender considerations (cross-cutting)</w:t>
            </w:r>
          </w:p>
        </w:tc>
        <w:tc>
          <w:tcPr>
            <w:tcW w:w="4406" w:type="dxa"/>
          </w:tcPr>
          <w:p w14:paraId="5D0B8AA5" w14:textId="5E66D691" w:rsidR="00AA4C85" w:rsidRPr="00805737" w:rsidRDefault="00AA4C85" w:rsidP="00AA4C85">
            <w:pPr>
              <w:tabs>
                <w:tab w:val="left" w:pos="360"/>
              </w:tabs>
              <w:spacing w:after="0" w:line="276" w:lineRule="auto"/>
              <w:contextualSpacing/>
              <w:rPr>
                <w:rFonts w:ascii="Arial" w:eastAsia="Calibri" w:hAnsi="Arial" w:cs="Arial"/>
                <w:bCs/>
                <w:iCs/>
                <w:lang w:val="en-US"/>
              </w:rPr>
            </w:pPr>
            <w:r w:rsidRPr="00805737">
              <w:rPr>
                <w:rFonts w:ascii="Arial" w:hAnsi="Arial" w:cs="Arial"/>
              </w:rPr>
              <w:t xml:space="preserve">Operational Guidelines for Gender Equality &amp; Social Inclusion Mainstreaming in the Health Sector, </w:t>
            </w:r>
            <w:proofErr w:type="spellStart"/>
            <w:r w:rsidRPr="00805737">
              <w:rPr>
                <w:rFonts w:ascii="Arial" w:hAnsi="Arial" w:cs="Arial"/>
              </w:rPr>
              <w:t>MoH</w:t>
            </w:r>
            <w:proofErr w:type="spellEnd"/>
            <w:r w:rsidRPr="00805737">
              <w:rPr>
                <w:rFonts w:ascii="Arial" w:hAnsi="Arial" w:cs="Arial"/>
              </w:rPr>
              <w:t>, 2013</w:t>
            </w:r>
            <w:r>
              <w:rPr>
                <w:rFonts w:ascii="Arial" w:hAnsi="Arial" w:cs="Arial"/>
              </w:rPr>
              <w:t xml:space="preserve"> (Annex-5)</w:t>
            </w:r>
          </w:p>
        </w:tc>
        <w:tc>
          <w:tcPr>
            <w:tcW w:w="1406" w:type="dxa"/>
            <w:vAlign w:val="center"/>
          </w:tcPr>
          <w:p w14:paraId="3F8FCA60" w14:textId="77777777" w:rsidR="004E7CB3" w:rsidRDefault="00AA4C85" w:rsidP="00AA4C85">
            <w:pPr>
              <w:spacing w:after="0" w:line="240" w:lineRule="auto"/>
              <w:jc w:val="center"/>
              <w:rPr>
                <w:rFonts w:ascii="Arial" w:hAnsi="Arial" w:cs="Arial"/>
                <w:iCs/>
                <w:lang w:val="fr-CH"/>
              </w:rPr>
            </w:pPr>
            <w:r>
              <w:rPr>
                <w:rFonts w:ascii="Arial" w:hAnsi="Arial" w:cs="Arial"/>
                <w:iCs/>
                <w:lang w:val="fr-CH"/>
              </w:rPr>
              <w:t>Page</w:t>
            </w:r>
            <w:r w:rsidR="006D3463">
              <w:rPr>
                <w:rFonts w:ascii="Arial" w:hAnsi="Arial" w:cs="Arial"/>
                <w:iCs/>
                <w:lang w:val="fr-CH"/>
              </w:rPr>
              <w:t>-</w:t>
            </w:r>
            <w:r>
              <w:rPr>
                <w:rFonts w:ascii="Arial" w:hAnsi="Arial" w:cs="Arial"/>
                <w:iCs/>
                <w:lang w:val="fr-CH"/>
              </w:rPr>
              <w:t xml:space="preserve"> </w:t>
            </w:r>
            <w:r w:rsidR="006D3463">
              <w:rPr>
                <w:rFonts w:ascii="Arial" w:hAnsi="Arial" w:cs="Arial"/>
                <w:iCs/>
                <w:lang w:val="fr-CH"/>
              </w:rPr>
              <w:t>4,</w:t>
            </w:r>
          </w:p>
          <w:p w14:paraId="5299BA02" w14:textId="660DEED2" w:rsidR="00AA4C85" w:rsidRPr="00D57C02" w:rsidRDefault="006D3463" w:rsidP="00AA4C85">
            <w:pPr>
              <w:spacing w:after="0" w:line="240" w:lineRule="auto"/>
              <w:jc w:val="center"/>
              <w:rPr>
                <w:rFonts w:ascii="Arial" w:hAnsi="Arial" w:cs="Arial"/>
                <w:iCs/>
                <w:lang w:val="fr-CH"/>
              </w:rPr>
            </w:pPr>
            <w:r>
              <w:rPr>
                <w:rFonts w:ascii="Arial" w:hAnsi="Arial" w:cs="Arial"/>
                <w:iCs/>
                <w:lang w:val="fr-CH"/>
              </w:rPr>
              <w:t xml:space="preserve"> </w:t>
            </w:r>
            <w:r w:rsidR="00AA4C85" w:rsidRPr="00D57C02">
              <w:rPr>
                <w:rFonts w:ascii="Arial" w:hAnsi="Arial" w:cs="Arial"/>
                <w:iCs/>
                <w:lang w:val="fr-CH"/>
              </w:rPr>
              <w:t>9-13</w:t>
            </w:r>
          </w:p>
          <w:p w14:paraId="5D0B8AA7" w14:textId="77777777" w:rsidR="00AA4C85" w:rsidRPr="00D57C02" w:rsidRDefault="00AA4C85" w:rsidP="00AA4C85">
            <w:pPr>
              <w:spacing w:before="120" w:after="0" w:line="276" w:lineRule="auto"/>
              <w:jc w:val="center"/>
              <w:rPr>
                <w:rFonts w:ascii="Arial" w:eastAsia="Calibri" w:hAnsi="Arial" w:cs="Arial"/>
                <w:bCs/>
                <w:iCs/>
                <w:sz w:val="20"/>
                <w:szCs w:val="20"/>
                <w:lang w:val="en-US"/>
              </w:rPr>
            </w:pPr>
          </w:p>
        </w:tc>
        <w:tc>
          <w:tcPr>
            <w:tcW w:w="868" w:type="dxa"/>
            <w:gridSpan w:val="2"/>
            <w:vAlign w:val="center"/>
          </w:tcPr>
          <w:p w14:paraId="5D0B8AA8" w14:textId="72E0609B" w:rsidR="00AA4C85" w:rsidRPr="00D57C02" w:rsidRDefault="00EB1D26" w:rsidP="00AA4C85">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79487682"/>
                <w14:checkbox>
                  <w14:checked w14:val="0"/>
                  <w14:checkedState w14:val="2612" w14:font="MS Gothic"/>
                  <w14:uncheckedState w14:val="2610" w14:font="MS Gothic"/>
                </w14:checkbox>
              </w:sdtPr>
              <w:sdtEndPr/>
              <w:sdtContent>
                <w:r w:rsidR="00E30362">
                  <w:rPr>
                    <w:rFonts w:ascii="MS Gothic" w:eastAsia="MS Gothic" w:hAnsi="MS Gothic" w:cs="Arial" w:hint="eastAsia"/>
                    <w:bCs/>
                    <w:iCs/>
                    <w:sz w:val="20"/>
                    <w:szCs w:val="20"/>
                    <w:lang w:val="en-US"/>
                  </w:rPr>
                  <w:t>☐</w:t>
                </w:r>
              </w:sdtContent>
            </w:sdt>
          </w:p>
        </w:tc>
      </w:tr>
      <w:tr w:rsidR="00AA4C85" w:rsidRPr="00D57C02" w14:paraId="5D0B8AAB" w14:textId="77777777" w:rsidTr="006563C4">
        <w:tblPrEx>
          <w:jc w:val="left"/>
        </w:tblPrEx>
        <w:trPr>
          <w:trHeight w:val="457"/>
        </w:trPr>
        <w:tc>
          <w:tcPr>
            <w:tcW w:w="9085" w:type="dxa"/>
            <w:gridSpan w:val="5"/>
            <w:shd w:val="clear" w:color="auto" w:fill="F2F2F2" w:themeFill="background1" w:themeFillShade="F2"/>
            <w:vAlign w:val="center"/>
          </w:tcPr>
          <w:p w14:paraId="5D0B8AAA" w14:textId="0F8AB6DB" w:rsidR="00AA4C85" w:rsidRPr="00D57C02" w:rsidRDefault="00AA4C85" w:rsidP="00AA4C85">
            <w:pPr>
              <w:spacing w:after="0" w:line="240" w:lineRule="auto"/>
              <w:rPr>
                <w:rFonts w:ascii="Arial" w:eastAsia="Calibri" w:hAnsi="Arial" w:cs="Arial"/>
                <w:bCs/>
                <w:iCs/>
                <w:lang w:val="en-US"/>
              </w:rPr>
            </w:pPr>
            <w:r w:rsidRPr="00D57C02">
              <w:rPr>
                <w:rFonts w:ascii="Arial" w:eastAsia="Calibri" w:hAnsi="Arial" w:cs="Arial"/>
                <w:b/>
                <w:lang w:val="en-US"/>
              </w:rPr>
              <w:t>Disease-specific</w:t>
            </w:r>
          </w:p>
        </w:tc>
      </w:tr>
      <w:tr w:rsidR="00AA4C85" w:rsidRPr="00D57C02" w14:paraId="0BFA40F8" w14:textId="77777777" w:rsidTr="006563C4">
        <w:tblPrEx>
          <w:jc w:val="left"/>
        </w:tblPrEx>
        <w:trPr>
          <w:trHeight w:val="677"/>
        </w:trPr>
        <w:tc>
          <w:tcPr>
            <w:tcW w:w="2405" w:type="dxa"/>
            <w:shd w:val="clear" w:color="auto" w:fill="F2F2F2" w:themeFill="background1" w:themeFillShade="F2"/>
            <w:vAlign w:val="center"/>
          </w:tcPr>
          <w:p w14:paraId="3E342800" w14:textId="0353D7B1"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r w:rsidRPr="00D57C02">
              <w:rPr>
                <w:rFonts w:ascii="Arial" w:eastAsia="Calibri" w:hAnsi="Arial" w:cs="Arial"/>
                <w:sz w:val="20"/>
                <w:szCs w:val="20"/>
                <w:lang w:val="en-US"/>
              </w:rPr>
              <w:t>Epidemiological profile (including interventions for key and vulnerable populations, as relevant)</w:t>
            </w:r>
          </w:p>
        </w:tc>
        <w:tc>
          <w:tcPr>
            <w:tcW w:w="4406" w:type="dxa"/>
          </w:tcPr>
          <w:p w14:paraId="71EF57A5" w14:textId="48A710FF" w:rsidR="00AA4C85" w:rsidRPr="00805737" w:rsidRDefault="00AA4C85" w:rsidP="00AA4C85">
            <w:pPr>
              <w:tabs>
                <w:tab w:val="left" w:pos="338"/>
              </w:tabs>
              <w:spacing w:after="0" w:line="276" w:lineRule="auto"/>
              <w:contextualSpacing/>
              <w:rPr>
                <w:rFonts w:ascii="Arial" w:hAnsi="Arial" w:cs="Arial"/>
              </w:rPr>
            </w:pPr>
            <w:r w:rsidRPr="00805737">
              <w:rPr>
                <w:rFonts w:ascii="Arial" w:hAnsi="Arial" w:cs="Arial"/>
              </w:rPr>
              <w:t>Epidemiological Review of TB Disease in Nepal, 2014</w:t>
            </w:r>
            <w:r>
              <w:rPr>
                <w:rFonts w:ascii="Arial" w:hAnsi="Arial" w:cs="Arial"/>
              </w:rPr>
              <w:t xml:space="preserve"> (Annex-21)</w:t>
            </w:r>
          </w:p>
        </w:tc>
        <w:tc>
          <w:tcPr>
            <w:tcW w:w="1406" w:type="dxa"/>
            <w:vAlign w:val="center"/>
          </w:tcPr>
          <w:p w14:paraId="0602585F" w14:textId="1FCD6FBB" w:rsidR="00AA4C85" w:rsidRPr="00D57C02" w:rsidRDefault="00AA4C85" w:rsidP="00AA4C85">
            <w:pPr>
              <w:spacing w:after="0" w:line="276" w:lineRule="auto"/>
              <w:jc w:val="center"/>
              <w:rPr>
                <w:rFonts w:ascii="Arial" w:eastAsia="Calibri" w:hAnsi="Arial" w:cs="Arial"/>
                <w:bCs/>
                <w:iCs/>
                <w:lang w:val="en-US"/>
              </w:rPr>
            </w:pPr>
            <w:r w:rsidRPr="00D57C02">
              <w:rPr>
                <w:rFonts w:ascii="Arial" w:eastAsia="Calibri" w:hAnsi="Arial" w:cs="Arial"/>
                <w:bCs/>
                <w:iCs/>
                <w:lang w:val="en-US"/>
              </w:rPr>
              <w:t>Pages 4-5; 18-2</w:t>
            </w:r>
            <w:r w:rsidR="00F756CB">
              <w:rPr>
                <w:rFonts w:ascii="Arial" w:eastAsia="Calibri" w:hAnsi="Arial" w:cs="Arial"/>
                <w:bCs/>
                <w:iCs/>
                <w:lang w:val="en-US"/>
              </w:rPr>
              <w:t>5</w:t>
            </w:r>
          </w:p>
        </w:tc>
        <w:tc>
          <w:tcPr>
            <w:tcW w:w="868" w:type="dxa"/>
            <w:gridSpan w:val="2"/>
            <w:vAlign w:val="center"/>
          </w:tcPr>
          <w:p w14:paraId="2304D8B4" w14:textId="1B666731" w:rsidR="00AA4C85" w:rsidRPr="00D57C02"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2061318473"/>
                <w14:checkbox>
                  <w14:checked w14:val="0"/>
                  <w14:checkedState w14:val="2612" w14:font="MS Gothic"/>
                  <w14:uncheckedState w14:val="2610" w14:font="MS Gothic"/>
                </w14:checkbox>
              </w:sdtPr>
              <w:sdtEndPr/>
              <w:sdtContent>
                <w:r w:rsidR="00AA4C85" w:rsidRPr="00D57C02">
                  <w:rPr>
                    <w:rFonts w:ascii="Segoe UI Symbol" w:eastAsia="Calibri" w:hAnsi="Segoe UI Symbol" w:cs="Segoe UI Symbol"/>
                    <w:bCs/>
                    <w:iCs/>
                    <w:lang w:val="en-US"/>
                  </w:rPr>
                  <w:t>☐</w:t>
                </w:r>
              </w:sdtContent>
            </w:sdt>
          </w:p>
        </w:tc>
      </w:tr>
      <w:tr w:rsidR="00AA4C85" w:rsidRPr="00D57C02" w14:paraId="5D0B8AB7" w14:textId="77777777" w:rsidTr="006563C4">
        <w:tblPrEx>
          <w:jc w:val="left"/>
        </w:tblPrEx>
        <w:trPr>
          <w:trHeight w:val="677"/>
        </w:trPr>
        <w:tc>
          <w:tcPr>
            <w:tcW w:w="2405" w:type="dxa"/>
            <w:shd w:val="clear" w:color="auto" w:fill="F2F2F2" w:themeFill="background1" w:themeFillShade="F2"/>
            <w:vAlign w:val="center"/>
          </w:tcPr>
          <w:p w14:paraId="5D0B8AB2" w14:textId="067DDC7A" w:rsidR="00AA4C85" w:rsidRPr="00D57C02" w:rsidRDefault="00AA4C85" w:rsidP="00AA4C85">
            <w:pPr>
              <w:tabs>
                <w:tab w:val="left" w:pos="338"/>
              </w:tabs>
              <w:spacing w:after="0" w:line="276" w:lineRule="auto"/>
              <w:contextualSpacing/>
              <w:rPr>
                <w:rFonts w:ascii="Arial" w:eastAsia="Calibri" w:hAnsi="Arial" w:cs="Arial"/>
                <w:bCs/>
                <w:iCs/>
                <w:sz w:val="20"/>
                <w:szCs w:val="20"/>
                <w:lang w:val="en-US"/>
              </w:rPr>
            </w:pPr>
            <w:r w:rsidRPr="00D57C02">
              <w:rPr>
                <w:rFonts w:ascii="Arial" w:eastAsia="Calibri" w:hAnsi="Arial" w:cs="Arial"/>
                <w:sz w:val="20"/>
                <w:szCs w:val="20"/>
                <w:lang w:val="en-US"/>
              </w:rPr>
              <w:t>Disease strategy (including interventions for key and vulnerable populations, as relevant)</w:t>
            </w:r>
          </w:p>
        </w:tc>
        <w:tc>
          <w:tcPr>
            <w:tcW w:w="4406" w:type="dxa"/>
          </w:tcPr>
          <w:p w14:paraId="6588BB87" w14:textId="7785A1DF" w:rsidR="00AA4C85" w:rsidRDefault="00AA4C85" w:rsidP="00AA4C85">
            <w:pPr>
              <w:tabs>
                <w:tab w:val="left" w:pos="338"/>
              </w:tabs>
              <w:spacing w:after="0" w:line="276" w:lineRule="auto"/>
              <w:contextualSpacing/>
              <w:rPr>
                <w:rFonts w:ascii="Arial" w:hAnsi="Arial" w:cs="Arial"/>
              </w:rPr>
            </w:pPr>
            <w:r w:rsidRPr="00805737">
              <w:rPr>
                <w:rFonts w:ascii="Arial" w:hAnsi="Arial" w:cs="Arial"/>
              </w:rPr>
              <w:t>National Strategic Plan for TB prevention, c</w:t>
            </w:r>
            <w:r w:rsidR="006328C5">
              <w:rPr>
                <w:rFonts w:ascii="Arial" w:hAnsi="Arial" w:cs="Arial"/>
              </w:rPr>
              <w:t>a</w:t>
            </w:r>
            <w:r w:rsidRPr="00805737">
              <w:rPr>
                <w:rFonts w:ascii="Arial" w:hAnsi="Arial" w:cs="Arial"/>
              </w:rPr>
              <w:t xml:space="preserve">re and control, 2016-2021 </w:t>
            </w:r>
            <w:r>
              <w:rPr>
                <w:rFonts w:ascii="Arial" w:hAnsi="Arial" w:cs="Arial"/>
              </w:rPr>
              <w:t>(Annex-7)</w:t>
            </w:r>
          </w:p>
          <w:p w14:paraId="70FE2561" w14:textId="77777777" w:rsidR="00F756CB" w:rsidRDefault="00F756CB" w:rsidP="00AA4C85">
            <w:pPr>
              <w:tabs>
                <w:tab w:val="left" w:pos="338"/>
              </w:tabs>
              <w:spacing w:after="0" w:line="276" w:lineRule="auto"/>
              <w:contextualSpacing/>
              <w:rPr>
                <w:rFonts w:ascii="Arial" w:hAnsi="Arial" w:cs="Arial"/>
              </w:rPr>
            </w:pPr>
          </w:p>
          <w:p w14:paraId="5D0B8AB3" w14:textId="07AFDF8E" w:rsidR="00AA4C85" w:rsidRPr="00805737" w:rsidRDefault="00F756CB" w:rsidP="00F756CB">
            <w:pPr>
              <w:tabs>
                <w:tab w:val="left" w:pos="338"/>
              </w:tabs>
              <w:spacing w:after="0" w:line="276" w:lineRule="auto"/>
              <w:contextualSpacing/>
              <w:rPr>
                <w:rFonts w:ascii="Arial" w:eastAsia="Calibri" w:hAnsi="Arial" w:cs="Arial"/>
                <w:bCs/>
                <w:iCs/>
                <w:lang w:val="en-US"/>
              </w:rPr>
            </w:pPr>
            <w:r w:rsidRPr="003966DD">
              <w:rPr>
                <w:rFonts w:ascii="Arial" w:hAnsi="Arial" w:cs="Arial"/>
              </w:rPr>
              <w:t>NSP Monitoring and Evaluation Plan, 2016-2021</w:t>
            </w:r>
            <w:r>
              <w:rPr>
                <w:rFonts w:ascii="Arial" w:hAnsi="Arial" w:cs="Arial"/>
              </w:rPr>
              <w:t xml:space="preserve"> </w:t>
            </w:r>
          </w:p>
        </w:tc>
        <w:tc>
          <w:tcPr>
            <w:tcW w:w="1406" w:type="dxa"/>
            <w:vAlign w:val="center"/>
          </w:tcPr>
          <w:p w14:paraId="224986C9" w14:textId="12F4468B" w:rsidR="00AA4C85" w:rsidRDefault="00AA4C85" w:rsidP="00AA4C85">
            <w:pPr>
              <w:spacing w:after="0" w:line="276" w:lineRule="auto"/>
              <w:jc w:val="center"/>
              <w:rPr>
                <w:rFonts w:ascii="Arial" w:eastAsia="Calibri" w:hAnsi="Arial" w:cs="Arial"/>
                <w:bCs/>
                <w:iCs/>
                <w:lang w:val="en-US"/>
              </w:rPr>
            </w:pPr>
            <w:r>
              <w:rPr>
                <w:rFonts w:ascii="Arial" w:eastAsia="Calibri" w:hAnsi="Arial" w:cs="Arial"/>
                <w:bCs/>
                <w:iCs/>
                <w:lang w:val="en-US"/>
              </w:rPr>
              <w:t>Pages 4, 51, 55, 58, 65, 68-69</w:t>
            </w:r>
          </w:p>
          <w:p w14:paraId="30BE5067" w14:textId="275FF06D" w:rsidR="00F756CB" w:rsidRDefault="00F756CB" w:rsidP="00AA4C85">
            <w:pPr>
              <w:spacing w:after="0" w:line="276" w:lineRule="auto"/>
              <w:jc w:val="center"/>
              <w:rPr>
                <w:rFonts w:ascii="Arial" w:eastAsia="Calibri" w:hAnsi="Arial" w:cs="Arial"/>
                <w:bCs/>
                <w:iCs/>
                <w:lang w:val="en-US"/>
              </w:rPr>
            </w:pPr>
            <w:r>
              <w:rPr>
                <w:rFonts w:ascii="Arial" w:eastAsia="Calibri" w:hAnsi="Arial" w:cs="Arial"/>
                <w:bCs/>
                <w:iCs/>
                <w:lang w:val="en-US"/>
              </w:rPr>
              <w:t>Full</w:t>
            </w:r>
          </w:p>
          <w:p w14:paraId="5D0B8AB5" w14:textId="61FC8D1C" w:rsidR="00F756CB" w:rsidRPr="00D57C02" w:rsidRDefault="00F756CB" w:rsidP="00AA4C85">
            <w:pPr>
              <w:spacing w:after="0" w:line="276" w:lineRule="auto"/>
              <w:jc w:val="center"/>
              <w:rPr>
                <w:rFonts w:ascii="Arial" w:eastAsia="Calibri" w:hAnsi="Arial" w:cs="Arial"/>
                <w:bCs/>
                <w:iCs/>
                <w:lang w:val="en-US"/>
              </w:rPr>
            </w:pPr>
          </w:p>
        </w:tc>
        <w:tc>
          <w:tcPr>
            <w:tcW w:w="868" w:type="dxa"/>
            <w:gridSpan w:val="2"/>
            <w:vAlign w:val="center"/>
          </w:tcPr>
          <w:p w14:paraId="5D0B8AB6" w14:textId="77777777" w:rsidR="00AA4C85" w:rsidRPr="00D57C02"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1507287556"/>
                <w14:checkbox>
                  <w14:checked w14:val="0"/>
                  <w14:checkedState w14:val="2612" w14:font="MS Gothic"/>
                  <w14:uncheckedState w14:val="2610" w14:font="MS Gothic"/>
                </w14:checkbox>
              </w:sdtPr>
              <w:sdtEndPr/>
              <w:sdtContent>
                <w:r w:rsidR="00AA4C85" w:rsidRPr="00D57C02">
                  <w:rPr>
                    <w:rFonts w:ascii="Segoe UI Symbol" w:eastAsia="Calibri" w:hAnsi="Segoe UI Symbol" w:cs="Segoe UI Symbol"/>
                    <w:bCs/>
                    <w:iCs/>
                    <w:lang w:val="en-US"/>
                  </w:rPr>
                  <w:t>☐</w:t>
                </w:r>
              </w:sdtContent>
            </w:sdt>
          </w:p>
        </w:tc>
      </w:tr>
      <w:tr w:rsidR="00AA4C85" w:rsidRPr="00D57C02" w14:paraId="4BCC44CE" w14:textId="77777777" w:rsidTr="006563C4">
        <w:tblPrEx>
          <w:jc w:val="left"/>
        </w:tblPrEx>
        <w:trPr>
          <w:trHeight w:val="305"/>
        </w:trPr>
        <w:tc>
          <w:tcPr>
            <w:tcW w:w="2405" w:type="dxa"/>
            <w:shd w:val="clear" w:color="auto" w:fill="F2F2F2" w:themeFill="background1" w:themeFillShade="F2"/>
            <w:vAlign w:val="center"/>
          </w:tcPr>
          <w:p w14:paraId="271A6C54" w14:textId="77777777"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p>
        </w:tc>
        <w:tc>
          <w:tcPr>
            <w:tcW w:w="4406" w:type="dxa"/>
          </w:tcPr>
          <w:p w14:paraId="3BBA9008" w14:textId="564D7166" w:rsidR="00AA4C85" w:rsidRPr="00805737" w:rsidRDefault="00AA4C85" w:rsidP="00AA4C85">
            <w:pPr>
              <w:tabs>
                <w:tab w:val="left" w:pos="338"/>
              </w:tabs>
              <w:spacing w:after="0" w:line="276" w:lineRule="auto"/>
              <w:contextualSpacing/>
              <w:rPr>
                <w:rFonts w:ascii="Arial" w:hAnsi="Arial" w:cs="Arial"/>
              </w:rPr>
            </w:pPr>
            <w:r w:rsidRPr="00805737">
              <w:rPr>
                <w:rFonts w:ascii="Arial" w:hAnsi="Arial" w:cs="Arial"/>
              </w:rPr>
              <w:t>National Tuberculosis Programme: Clinical Manual, 2017</w:t>
            </w:r>
            <w:r>
              <w:rPr>
                <w:rFonts w:ascii="Arial" w:hAnsi="Arial" w:cs="Arial"/>
              </w:rPr>
              <w:t xml:space="preserve"> (Annex-16)</w:t>
            </w:r>
          </w:p>
        </w:tc>
        <w:tc>
          <w:tcPr>
            <w:tcW w:w="1406" w:type="dxa"/>
            <w:vAlign w:val="center"/>
          </w:tcPr>
          <w:p w14:paraId="7F34619D" w14:textId="5D3B143C" w:rsidR="00AA4C85" w:rsidRPr="00D57C02" w:rsidRDefault="00AA4C85" w:rsidP="00AA4C85">
            <w:pPr>
              <w:spacing w:after="0" w:line="276" w:lineRule="auto"/>
              <w:jc w:val="center"/>
              <w:rPr>
                <w:rFonts w:ascii="Arial" w:eastAsia="Calibri" w:hAnsi="Arial" w:cs="Arial"/>
                <w:bCs/>
                <w:iCs/>
                <w:lang w:val="en-US"/>
              </w:rPr>
            </w:pPr>
            <w:r>
              <w:rPr>
                <w:rFonts w:ascii="Arial" w:eastAsia="Calibri" w:hAnsi="Arial" w:cs="Arial"/>
                <w:bCs/>
                <w:iCs/>
                <w:lang w:val="en-US"/>
              </w:rPr>
              <w:t>Pages 7, 45, 98, 99</w:t>
            </w:r>
          </w:p>
        </w:tc>
        <w:tc>
          <w:tcPr>
            <w:tcW w:w="868" w:type="dxa"/>
            <w:gridSpan w:val="2"/>
            <w:vAlign w:val="center"/>
          </w:tcPr>
          <w:p w14:paraId="1791B4A8" w14:textId="333D2C9D" w:rsidR="00AA4C85"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844205011"/>
                <w14:checkbox>
                  <w14:checked w14:val="0"/>
                  <w14:checkedState w14:val="2612" w14:font="MS Gothic"/>
                  <w14:uncheckedState w14:val="2610" w14:font="MS Gothic"/>
                </w14:checkbox>
              </w:sdtPr>
              <w:sdtEndPr/>
              <w:sdtContent>
                <w:r w:rsidR="00AA4C85">
                  <w:rPr>
                    <w:rFonts w:ascii="MS Gothic" w:eastAsia="MS Gothic" w:hAnsi="MS Gothic" w:cs="Arial" w:hint="eastAsia"/>
                    <w:bCs/>
                    <w:iCs/>
                    <w:lang w:val="en-US"/>
                  </w:rPr>
                  <w:t>☐</w:t>
                </w:r>
              </w:sdtContent>
            </w:sdt>
          </w:p>
        </w:tc>
      </w:tr>
      <w:tr w:rsidR="00AA4C85" w:rsidRPr="00D57C02" w14:paraId="19CCEF1E" w14:textId="77777777" w:rsidTr="006563C4">
        <w:tblPrEx>
          <w:jc w:val="left"/>
        </w:tblPrEx>
        <w:trPr>
          <w:trHeight w:val="305"/>
        </w:trPr>
        <w:tc>
          <w:tcPr>
            <w:tcW w:w="2405" w:type="dxa"/>
            <w:shd w:val="clear" w:color="auto" w:fill="F2F2F2" w:themeFill="background1" w:themeFillShade="F2"/>
            <w:vAlign w:val="center"/>
          </w:tcPr>
          <w:p w14:paraId="5BF901B6" w14:textId="77777777"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p>
        </w:tc>
        <w:tc>
          <w:tcPr>
            <w:tcW w:w="4406" w:type="dxa"/>
          </w:tcPr>
          <w:p w14:paraId="7AC37B01" w14:textId="593A5A98" w:rsidR="00AA4C85" w:rsidRPr="003966DD" w:rsidRDefault="00AA4C85" w:rsidP="00AA4C85">
            <w:pPr>
              <w:tabs>
                <w:tab w:val="left" w:pos="338"/>
              </w:tabs>
              <w:spacing w:after="0" w:line="276" w:lineRule="auto"/>
              <w:contextualSpacing/>
              <w:rPr>
                <w:rFonts w:ascii="Arial" w:hAnsi="Arial" w:cs="Arial"/>
              </w:rPr>
            </w:pPr>
            <w:r w:rsidRPr="003966DD">
              <w:rPr>
                <w:rFonts w:ascii="Arial" w:hAnsi="Arial" w:cs="Arial"/>
              </w:rPr>
              <w:t xml:space="preserve">National Childhood TB Management </w:t>
            </w:r>
            <w:r w:rsidRPr="003966DD">
              <w:rPr>
                <w:rFonts w:ascii="Arial" w:hAnsi="Arial" w:cs="Arial"/>
              </w:rPr>
              <w:lastRenderedPageBreak/>
              <w:t>Guideline_2017</w:t>
            </w:r>
            <w:r>
              <w:rPr>
                <w:rFonts w:ascii="Arial" w:hAnsi="Arial" w:cs="Arial"/>
              </w:rPr>
              <w:t xml:space="preserve"> (Annex-17)</w:t>
            </w:r>
          </w:p>
        </w:tc>
        <w:tc>
          <w:tcPr>
            <w:tcW w:w="1406" w:type="dxa"/>
            <w:vAlign w:val="center"/>
          </w:tcPr>
          <w:p w14:paraId="3852D80A" w14:textId="52111C49" w:rsidR="00AA4C85" w:rsidRPr="003966DD" w:rsidRDefault="00AA4C85" w:rsidP="00AA4C85">
            <w:pPr>
              <w:spacing w:after="0" w:line="276" w:lineRule="auto"/>
              <w:jc w:val="center"/>
              <w:rPr>
                <w:rFonts w:ascii="Arial" w:eastAsia="Calibri" w:hAnsi="Arial" w:cs="Arial"/>
                <w:bCs/>
                <w:iCs/>
                <w:lang w:val="en-US"/>
              </w:rPr>
            </w:pPr>
            <w:r w:rsidRPr="003966DD">
              <w:rPr>
                <w:rFonts w:ascii="Arial" w:eastAsia="Calibri" w:hAnsi="Arial" w:cs="Arial"/>
                <w:bCs/>
                <w:iCs/>
                <w:lang w:val="en-US"/>
              </w:rPr>
              <w:lastRenderedPageBreak/>
              <w:t>Pages</w:t>
            </w:r>
            <w:r>
              <w:rPr>
                <w:rFonts w:ascii="Arial" w:eastAsia="Calibri" w:hAnsi="Arial" w:cs="Arial"/>
                <w:bCs/>
                <w:iCs/>
                <w:lang w:val="en-US"/>
              </w:rPr>
              <w:t xml:space="preserve"> </w:t>
            </w:r>
            <w:r w:rsidRPr="003966DD">
              <w:rPr>
                <w:rFonts w:ascii="Arial" w:eastAsia="Calibri" w:hAnsi="Arial" w:cs="Arial"/>
                <w:bCs/>
                <w:iCs/>
                <w:lang w:val="en-US"/>
              </w:rPr>
              <w:t>2-3</w:t>
            </w:r>
          </w:p>
        </w:tc>
        <w:tc>
          <w:tcPr>
            <w:tcW w:w="868" w:type="dxa"/>
            <w:gridSpan w:val="2"/>
            <w:vAlign w:val="center"/>
          </w:tcPr>
          <w:p w14:paraId="5D36C914" w14:textId="3123B9D7" w:rsidR="00AA4C85"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725304644"/>
                <w14:checkbox>
                  <w14:checked w14:val="0"/>
                  <w14:checkedState w14:val="2612" w14:font="MS Gothic"/>
                  <w14:uncheckedState w14:val="2610" w14:font="MS Gothic"/>
                </w14:checkbox>
              </w:sdtPr>
              <w:sdtEndPr/>
              <w:sdtContent>
                <w:r w:rsidR="00AA4C85">
                  <w:rPr>
                    <w:rFonts w:ascii="MS Gothic" w:eastAsia="MS Gothic" w:hAnsi="MS Gothic" w:cs="Arial" w:hint="eastAsia"/>
                    <w:bCs/>
                    <w:iCs/>
                    <w:lang w:val="en-US"/>
                  </w:rPr>
                  <w:t>☐</w:t>
                </w:r>
              </w:sdtContent>
            </w:sdt>
          </w:p>
        </w:tc>
      </w:tr>
      <w:tr w:rsidR="00AA4C85" w:rsidRPr="00D57C02" w14:paraId="2B3218E4" w14:textId="77777777" w:rsidTr="006563C4">
        <w:tblPrEx>
          <w:jc w:val="left"/>
        </w:tblPrEx>
        <w:trPr>
          <w:trHeight w:val="305"/>
        </w:trPr>
        <w:tc>
          <w:tcPr>
            <w:tcW w:w="2405" w:type="dxa"/>
            <w:shd w:val="clear" w:color="auto" w:fill="F2F2F2" w:themeFill="background1" w:themeFillShade="F2"/>
            <w:vAlign w:val="center"/>
          </w:tcPr>
          <w:p w14:paraId="7DA5A438" w14:textId="77777777"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p>
        </w:tc>
        <w:tc>
          <w:tcPr>
            <w:tcW w:w="4406" w:type="dxa"/>
          </w:tcPr>
          <w:p w14:paraId="5699EA02" w14:textId="2F6C0169" w:rsidR="00AA4C85" w:rsidRPr="00805737" w:rsidRDefault="00AA4C85" w:rsidP="00AA4C85">
            <w:pPr>
              <w:tabs>
                <w:tab w:val="left" w:pos="338"/>
              </w:tabs>
              <w:spacing w:after="0" w:line="276" w:lineRule="auto"/>
              <w:contextualSpacing/>
              <w:rPr>
                <w:rFonts w:ascii="Arial" w:hAnsi="Arial" w:cs="Arial"/>
              </w:rPr>
            </w:pPr>
            <w:r w:rsidRPr="00805737">
              <w:rPr>
                <w:rFonts w:ascii="Arial" w:hAnsi="Arial" w:cs="Arial"/>
              </w:rPr>
              <w:t>Identification and Mapping of Outreach and Vulnerable Tuberculosis Populations in Six Districts of Nepal, 2016</w:t>
            </w:r>
            <w:r>
              <w:rPr>
                <w:rFonts w:ascii="Arial" w:hAnsi="Arial" w:cs="Arial"/>
              </w:rPr>
              <w:t xml:space="preserve"> (Annex-15)</w:t>
            </w:r>
          </w:p>
        </w:tc>
        <w:tc>
          <w:tcPr>
            <w:tcW w:w="1406" w:type="dxa"/>
            <w:vAlign w:val="center"/>
          </w:tcPr>
          <w:p w14:paraId="69B33DB1" w14:textId="472DAC5C" w:rsidR="00AA4C85" w:rsidRPr="00D57C02" w:rsidRDefault="00AA4C85" w:rsidP="00AA4C85">
            <w:pPr>
              <w:spacing w:after="0" w:line="276" w:lineRule="auto"/>
              <w:jc w:val="center"/>
              <w:rPr>
                <w:rFonts w:ascii="Arial" w:eastAsia="Calibri" w:hAnsi="Arial" w:cs="Arial"/>
                <w:bCs/>
                <w:iCs/>
                <w:lang w:val="en-US"/>
              </w:rPr>
            </w:pPr>
            <w:r w:rsidRPr="00D57C02">
              <w:rPr>
                <w:rFonts w:ascii="Arial" w:eastAsia="Calibri" w:hAnsi="Arial" w:cs="Arial"/>
                <w:bCs/>
                <w:iCs/>
                <w:lang w:val="en-US"/>
              </w:rPr>
              <w:t>Pages 1-8</w:t>
            </w:r>
          </w:p>
        </w:tc>
        <w:tc>
          <w:tcPr>
            <w:tcW w:w="868" w:type="dxa"/>
            <w:gridSpan w:val="2"/>
            <w:vAlign w:val="center"/>
          </w:tcPr>
          <w:p w14:paraId="1C52AFE1" w14:textId="3D9CD918" w:rsidR="00AA4C85" w:rsidRPr="00D57C02"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1127049429"/>
                <w14:checkbox>
                  <w14:checked w14:val="0"/>
                  <w14:checkedState w14:val="2612" w14:font="MS Gothic"/>
                  <w14:uncheckedState w14:val="2610" w14:font="MS Gothic"/>
                </w14:checkbox>
              </w:sdtPr>
              <w:sdtEndPr/>
              <w:sdtContent>
                <w:r w:rsidR="00AA4C85">
                  <w:rPr>
                    <w:rFonts w:ascii="MS Gothic" w:eastAsia="MS Gothic" w:hAnsi="MS Gothic" w:cs="Arial" w:hint="eastAsia"/>
                    <w:bCs/>
                    <w:iCs/>
                    <w:lang w:val="en-US"/>
                  </w:rPr>
                  <w:t>☐</w:t>
                </w:r>
              </w:sdtContent>
            </w:sdt>
          </w:p>
        </w:tc>
      </w:tr>
      <w:tr w:rsidR="00AA4C85" w:rsidRPr="00D57C02" w14:paraId="74357648" w14:textId="77777777" w:rsidTr="006563C4">
        <w:tblPrEx>
          <w:jc w:val="left"/>
        </w:tblPrEx>
        <w:trPr>
          <w:trHeight w:val="305"/>
        </w:trPr>
        <w:tc>
          <w:tcPr>
            <w:tcW w:w="2405" w:type="dxa"/>
            <w:shd w:val="clear" w:color="auto" w:fill="F2F2F2" w:themeFill="background1" w:themeFillShade="F2"/>
            <w:vAlign w:val="center"/>
          </w:tcPr>
          <w:p w14:paraId="1C6F9D88" w14:textId="77777777"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p>
        </w:tc>
        <w:tc>
          <w:tcPr>
            <w:tcW w:w="4406" w:type="dxa"/>
          </w:tcPr>
          <w:p w14:paraId="6D6C37CC" w14:textId="77777777" w:rsidR="00AA4C85" w:rsidRDefault="00AA4C85" w:rsidP="00AA4C85">
            <w:pPr>
              <w:tabs>
                <w:tab w:val="left" w:pos="338"/>
              </w:tabs>
              <w:spacing w:after="0" w:line="276" w:lineRule="auto"/>
              <w:contextualSpacing/>
              <w:rPr>
                <w:rFonts w:ascii="Arial" w:hAnsi="Arial" w:cs="Arial"/>
              </w:rPr>
            </w:pPr>
            <w:r w:rsidRPr="00805737">
              <w:rPr>
                <w:rFonts w:ascii="Arial" w:hAnsi="Arial" w:cs="Arial"/>
              </w:rPr>
              <w:t xml:space="preserve">Nepal </w:t>
            </w:r>
            <w:proofErr w:type="spellStart"/>
            <w:r w:rsidRPr="00805737">
              <w:rPr>
                <w:rFonts w:ascii="Arial" w:hAnsi="Arial" w:cs="Arial"/>
              </w:rPr>
              <w:t>HIVision</w:t>
            </w:r>
            <w:proofErr w:type="spellEnd"/>
            <w:r w:rsidRPr="00805737">
              <w:rPr>
                <w:rFonts w:ascii="Arial" w:hAnsi="Arial" w:cs="Arial"/>
              </w:rPr>
              <w:t>: 2020</w:t>
            </w:r>
            <w:r>
              <w:rPr>
                <w:rFonts w:ascii="Arial" w:hAnsi="Arial" w:cs="Arial"/>
              </w:rPr>
              <w:t xml:space="preserve"> (Annex-19)</w:t>
            </w:r>
          </w:p>
          <w:p w14:paraId="00FB3929" w14:textId="50F54BDD" w:rsidR="00AA4C85" w:rsidRPr="00805737" w:rsidRDefault="00AA4C85" w:rsidP="00AA4C85">
            <w:pPr>
              <w:tabs>
                <w:tab w:val="left" w:pos="338"/>
              </w:tabs>
              <w:spacing w:after="0" w:line="276" w:lineRule="auto"/>
              <w:contextualSpacing/>
              <w:rPr>
                <w:rFonts w:ascii="Arial" w:hAnsi="Arial" w:cs="Arial"/>
              </w:rPr>
            </w:pPr>
          </w:p>
        </w:tc>
        <w:tc>
          <w:tcPr>
            <w:tcW w:w="1406" w:type="dxa"/>
            <w:vAlign w:val="center"/>
          </w:tcPr>
          <w:p w14:paraId="40CC89B3" w14:textId="282DAC9E" w:rsidR="00AA4C85" w:rsidRPr="00D57C02" w:rsidRDefault="00AA4C85" w:rsidP="00AA4C85">
            <w:pPr>
              <w:spacing w:after="0" w:line="276" w:lineRule="auto"/>
              <w:jc w:val="center"/>
              <w:rPr>
                <w:rFonts w:ascii="Arial" w:eastAsia="Calibri" w:hAnsi="Arial" w:cs="Arial"/>
                <w:bCs/>
                <w:iCs/>
                <w:lang w:val="en-US"/>
              </w:rPr>
            </w:pPr>
            <w:r w:rsidRPr="00D57C02">
              <w:rPr>
                <w:rFonts w:ascii="Arial" w:eastAsia="Calibri" w:hAnsi="Arial" w:cs="Arial"/>
                <w:bCs/>
                <w:iCs/>
                <w:lang w:val="en-US"/>
              </w:rPr>
              <w:t>Page-10</w:t>
            </w:r>
          </w:p>
        </w:tc>
        <w:tc>
          <w:tcPr>
            <w:tcW w:w="868" w:type="dxa"/>
            <w:gridSpan w:val="2"/>
            <w:vAlign w:val="center"/>
          </w:tcPr>
          <w:p w14:paraId="01CB6D87" w14:textId="0E608B81" w:rsidR="00AA4C85" w:rsidRPr="00D57C02"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1370027961"/>
                <w14:checkbox>
                  <w14:checked w14:val="0"/>
                  <w14:checkedState w14:val="2612" w14:font="MS Gothic"/>
                  <w14:uncheckedState w14:val="2610" w14:font="MS Gothic"/>
                </w14:checkbox>
              </w:sdtPr>
              <w:sdtEndPr/>
              <w:sdtContent>
                <w:r w:rsidR="00AA4C85" w:rsidRPr="00D57C02">
                  <w:rPr>
                    <w:rFonts w:ascii="Segoe UI Symbol" w:eastAsia="Calibri" w:hAnsi="Segoe UI Symbol" w:cs="Segoe UI Symbol"/>
                    <w:bCs/>
                    <w:iCs/>
                    <w:lang w:val="en-US"/>
                  </w:rPr>
                  <w:t>☐</w:t>
                </w:r>
              </w:sdtContent>
            </w:sdt>
          </w:p>
        </w:tc>
      </w:tr>
      <w:tr w:rsidR="00AA4C85" w:rsidRPr="00D57C02" w14:paraId="62537FFD" w14:textId="77777777" w:rsidTr="006563C4">
        <w:tblPrEx>
          <w:jc w:val="left"/>
        </w:tblPrEx>
        <w:trPr>
          <w:trHeight w:val="305"/>
        </w:trPr>
        <w:tc>
          <w:tcPr>
            <w:tcW w:w="2405" w:type="dxa"/>
            <w:shd w:val="clear" w:color="auto" w:fill="F2F2F2" w:themeFill="background1" w:themeFillShade="F2"/>
            <w:vAlign w:val="center"/>
          </w:tcPr>
          <w:p w14:paraId="5B1A9788" w14:textId="77777777" w:rsidR="00AA4C85" w:rsidRPr="00D57C02" w:rsidRDefault="00AA4C85" w:rsidP="00AA4C85">
            <w:pPr>
              <w:tabs>
                <w:tab w:val="left" w:pos="338"/>
              </w:tabs>
              <w:spacing w:after="0" w:line="276" w:lineRule="auto"/>
              <w:contextualSpacing/>
              <w:rPr>
                <w:rFonts w:ascii="Arial" w:eastAsia="Calibri" w:hAnsi="Arial" w:cs="Arial"/>
                <w:sz w:val="20"/>
                <w:szCs w:val="20"/>
                <w:lang w:val="en-US"/>
              </w:rPr>
            </w:pPr>
          </w:p>
        </w:tc>
        <w:tc>
          <w:tcPr>
            <w:tcW w:w="4406" w:type="dxa"/>
          </w:tcPr>
          <w:p w14:paraId="26341533" w14:textId="3A698380" w:rsidR="00AA4C85" w:rsidRPr="00805737" w:rsidRDefault="00AA4C85" w:rsidP="00AA4C85">
            <w:pPr>
              <w:tabs>
                <w:tab w:val="left" w:pos="338"/>
              </w:tabs>
              <w:spacing w:after="0" w:line="276" w:lineRule="auto"/>
              <w:contextualSpacing/>
              <w:rPr>
                <w:rFonts w:ascii="Arial" w:hAnsi="Arial" w:cs="Arial"/>
              </w:rPr>
            </w:pPr>
            <w:r w:rsidRPr="003A50EB">
              <w:rPr>
                <w:rFonts w:ascii="Arial" w:hAnsi="Arial" w:cs="Arial"/>
              </w:rPr>
              <w:t xml:space="preserve">PPM </w:t>
            </w:r>
            <w:r>
              <w:rPr>
                <w:rFonts w:ascii="Arial" w:hAnsi="Arial" w:cs="Arial"/>
              </w:rPr>
              <w:t xml:space="preserve">Strategy and </w:t>
            </w:r>
            <w:r w:rsidRPr="003A50EB">
              <w:rPr>
                <w:rFonts w:ascii="Arial" w:hAnsi="Arial" w:cs="Arial"/>
              </w:rPr>
              <w:t>Guideline</w:t>
            </w:r>
            <w:r>
              <w:rPr>
                <w:rFonts w:ascii="Arial" w:hAnsi="Arial" w:cs="Arial"/>
              </w:rPr>
              <w:t>s for TB control</w:t>
            </w:r>
            <w:r w:rsidRPr="003A50EB">
              <w:rPr>
                <w:rFonts w:ascii="Arial" w:hAnsi="Arial" w:cs="Arial"/>
              </w:rPr>
              <w:t>, 2017</w:t>
            </w:r>
            <w:r>
              <w:rPr>
                <w:rFonts w:ascii="Arial" w:hAnsi="Arial" w:cs="Arial"/>
              </w:rPr>
              <w:t xml:space="preserve"> (Draft) (Annex-22)</w:t>
            </w:r>
          </w:p>
        </w:tc>
        <w:tc>
          <w:tcPr>
            <w:tcW w:w="1406" w:type="dxa"/>
            <w:vAlign w:val="center"/>
          </w:tcPr>
          <w:p w14:paraId="1E6B161D" w14:textId="69D10A0D" w:rsidR="00AA4C85" w:rsidRPr="00D57C02" w:rsidRDefault="00AA4C85" w:rsidP="00AA4C85">
            <w:pPr>
              <w:spacing w:after="0" w:line="276" w:lineRule="auto"/>
              <w:jc w:val="center"/>
              <w:rPr>
                <w:rFonts w:ascii="Arial" w:eastAsia="Calibri" w:hAnsi="Arial" w:cs="Arial"/>
                <w:bCs/>
                <w:iCs/>
                <w:lang w:val="en-US"/>
              </w:rPr>
            </w:pPr>
            <w:r>
              <w:rPr>
                <w:rFonts w:ascii="Arial" w:eastAsia="Calibri" w:hAnsi="Arial" w:cs="Arial"/>
                <w:bCs/>
                <w:iCs/>
                <w:lang w:val="en-US"/>
              </w:rPr>
              <w:t>Page-</w:t>
            </w:r>
            <w:r w:rsidR="00F756CB">
              <w:rPr>
                <w:rFonts w:ascii="Arial" w:eastAsia="Calibri" w:hAnsi="Arial" w:cs="Arial"/>
                <w:bCs/>
                <w:iCs/>
                <w:lang w:val="en-US"/>
              </w:rPr>
              <w:t>6-11</w:t>
            </w:r>
            <w:r>
              <w:rPr>
                <w:rFonts w:ascii="Arial" w:eastAsia="Calibri" w:hAnsi="Arial" w:cs="Arial"/>
                <w:bCs/>
                <w:iCs/>
                <w:lang w:val="en-US"/>
              </w:rPr>
              <w:t>,</w:t>
            </w:r>
          </w:p>
          <w:p w14:paraId="371E025F" w14:textId="77777777" w:rsidR="00AA4C85" w:rsidRPr="00D57C02" w:rsidRDefault="00AA4C85" w:rsidP="00AA4C85">
            <w:pPr>
              <w:spacing w:after="0" w:line="276" w:lineRule="auto"/>
              <w:jc w:val="center"/>
              <w:rPr>
                <w:rFonts w:ascii="Arial" w:eastAsia="Calibri" w:hAnsi="Arial" w:cs="Arial"/>
                <w:bCs/>
                <w:iCs/>
                <w:lang w:val="en-US"/>
              </w:rPr>
            </w:pPr>
          </w:p>
        </w:tc>
        <w:tc>
          <w:tcPr>
            <w:tcW w:w="868" w:type="dxa"/>
            <w:gridSpan w:val="2"/>
            <w:vAlign w:val="center"/>
          </w:tcPr>
          <w:p w14:paraId="154DBCDF" w14:textId="0D3C1D1F" w:rsidR="00AA4C85" w:rsidRDefault="00EB1D26" w:rsidP="00AA4C85">
            <w:pPr>
              <w:spacing w:after="0" w:line="240" w:lineRule="auto"/>
              <w:jc w:val="center"/>
              <w:rPr>
                <w:rFonts w:ascii="Arial" w:eastAsia="Calibri" w:hAnsi="Arial" w:cs="Arial"/>
                <w:bCs/>
                <w:iCs/>
                <w:lang w:val="en-US"/>
              </w:rPr>
            </w:pPr>
            <w:sdt>
              <w:sdtPr>
                <w:rPr>
                  <w:rFonts w:ascii="Arial" w:eastAsia="Calibri" w:hAnsi="Arial" w:cs="Arial"/>
                  <w:bCs/>
                  <w:iCs/>
                  <w:lang w:val="en-US"/>
                </w:rPr>
                <w:id w:val="2001381811"/>
                <w14:checkbox>
                  <w14:checked w14:val="0"/>
                  <w14:checkedState w14:val="2612" w14:font="MS Gothic"/>
                  <w14:uncheckedState w14:val="2610" w14:font="MS Gothic"/>
                </w14:checkbox>
              </w:sdtPr>
              <w:sdtEndPr/>
              <w:sdtContent>
                <w:r w:rsidR="00AA4C85" w:rsidRPr="00D57C02">
                  <w:rPr>
                    <w:rFonts w:ascii="MS Gothic" w:eastAsia="MS Gothic" w:hAnsi="MS Gothic" w:cs="Arial" w:hint="eastAsia"/>
                    <w:bCs/>
                    <w:iCs/>
                    <w:lang w:val="en-US"/>
                  </w:rPr>
                  <w:t>☐</w:t>
                </w:r>
              </w:sdtContent>
            </w:sdt>
          </w:p>
        </w:tc>
      </w:tr>
      <w:tr w:rsidR="00F756CB" w:rsidRPr="00D57C02" w14:paraId="5D0B8ABD" w14:textId="77777777" w:rsidTr="006563C4">
        <w:tblPrEx>
          <w:jc w:val="left"/>
        </w:tblPrEx>
        <w:trPr>
          <w:trHeight w:val="677"/>
        </w:trPr>
        <w:tc>
          <w:tcPr>
            <w:tcW w:w="2405" w:type="dxa"/>
            <w:shd w:val="clear" w:color="auto" w:fill="F2F2F2" w:themeFill="background1" w:themeFillShade="F2"/>
            <w:vAlign w:val="center"/>
          </w:tcPr>
          <w:p w14:paraId="5D0B8AB8" w14:textId="77777777" w:rsidR="00F756CB" w:rsidRPr="00D57C02" w:rsidRDefault="00F756CB" w:rsidP="00F756CB">
            <w:pPr>
              <w:tabs>
                <w:tab w:val="left" w:pos="338"/>
              </w:tabs>
              <w:spacing w:after="0" w:line="276" w:lineRule="auto"/>
              <w:contextualSpacing/>
              <w:rPr>
                <w:rFonts w:ascii="Arial" w:eastAsia="Calibri" w:hAnsi="Arial" w:cs="Arial"/>
                <w:bCs/>
                <w:iCs/>
                <w:sz w:val="20"/>
                <w:szCs w:val="20"/>
                <w:lang w:val="en-US"/>
              </w:rPr>
            </w:pPr>
            <w:r w:rsidRPr="00D57C02">
              <w:rPr>
                <w:rFonts w:ascii="Arial" w:eastAsia="Calibri" w:hAnsi="Arial" w:cs="Arial"/>
                <w:sz w:val="20"/>
                <w:szCs w:val="20"/>
                <w:lang w:val="en-US"/>
              </w:rPr>
              <w:t>Operational plan, including budgetary framework</w:t>
            </w:r>
          </w:p>
        </w:tc>
        <w:tc>
          <w:tcPr>
            <w:tcW w:w="4406" w:type="dxa"/>
          </w:tcPr>
          <w:p w14:paraId="5D0B8AB9" w14:textId="13FE77C9" w:rsidR="00F756CB" w:rsidRPr="003966DD" w:rsidRDefault="00F756CB" w:rsidP="00F756CB">
            <w:pPr>
              <w:spacing w:before="120" w:after="0" w:line="276" w:lineRule="auto"/>
              <w:rPr>
                <w:rFonts w:ascii="Arial" w:eastAsia="Calibri" w:hAnsi="Arial" w:cs="Arial"/>
                <w:bCs/>
                <w:iCs/>
                <w:lang w:val="en-US"/>
              </w:rPr>
            </w:pPr>
            <w:r w:rsidRPr="003966DD">
              <w:rPr>
                <w:rFonts w:ascii="Arial" w:hAnsi="Arial" w:cs="Arial"/>
              </w:rPr>
              <w:t>Operationalizing the Community Systems Strengthening (CSS) components within the NSP for Nepal, 2016-2021</w:t>
            </w:r>
            <w:r>
              <w:rPr>
                <w:rFonts w:ascii="Arial" w:hAnsi="Arial" w:cs="Arial"/>
              </w:rPr>
              <w:t xml:space="preserve"> (Annex-25)</w:t>
            </w:r>
          </w:p>
        </w:tc>
        <w:tc>
          <w:tcPr>
            <w:tcW w:w="1406" w:type="dxa"/>
            <w:vAlign w:val="center"/>
          </w:tcPr>
          <w:p w14:paraId="7DB833BE" w14:textId="77777777" w:rsidR="0031371C"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 xml:space="preserve">Pages </w:t>
            </w:r>
          </w:p>
          <w:p w14:paraId="5D0B8ABB" w14:textId="2B729E7F"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16-2</w:t>
            </w:r>
            <w:r w:rsidR="0031371C">
              <w:rPr>
                <w:rFonts w:ascii="Arial" w:eastAsia="Calibri" w:hAnsi="Arial" w:cs="Arial"/>
                <w:bCs/>
                <w:iCs/>
                <w:lang w:val="en-US"/>
              </w:rPr>
              <w:t>1</w:t>
            </w:r>
          </w:p>
        </w:tc>
        <w:tc>
          <w:tcPr>
            <w:tcW w:w="868" w:type="dxa"/>
            <w:gridSpan w:val="2"/>
            <w:vAlign w:val="center"/>
          </w:tcPr>
          <w:p w14:paraId="5D0B8ABC" w14:textId="38C8950E"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608425111"/>
                <w14:checkbox>
                  <w14:checked w14:val="0"/>
                  <w14:checkedState w14:val="2612" w14:font="MS Gothic"/>
                  <w14:uncheckedState w14:val="2610" w14:font="MS Gothic"/>
                </w14:checkbox>
              </w:sdtPr>
              <w:sdtEndPr/>
              <w:sdtContent>
                <w:r w:rsidR="00F756CB" w:rsidRPr="00D57C02">
                  <w:rPr>
                    <w:rFonts w:ascii="Segoe UI Symbol" w:eastAsia="MS Gothic" w:hAnsi="Segoe UI Symbol" w:cs="Segoe UI Symbol"/>
                    <w:bCs/>
                    <w:iCs/>
                    <w:lang w:val="en-US"/>
                  </w:rPr>
                  <w:t>☐</w:t>
                </w:r>
              </w:sdtContent>
            </w:sdt>
          </w:p>
        </w:tc>
      </w:tr>
      <w:tr w:rsidR="00F756CB" w:rsidRPr="00D57C02" w14:paraId="5D0B8AC3" w14:textId="77777777" w:rsidTr="006563C4">
        <w:tblPrEx>
          <w:jc w:val="left"/>
        </w:tblPrEx>
        <w:trPr>
          <w:trHeight w:val="764"/>
        </w:trPr>
        <w:tc>
          <w:tcPr>
            <w:tcW w:w="2405" w:type="dxa"/>
            <w:shd w:val="clear" w:color="auto" w:fill="F2F2F2" w:themeFill="background1" w:themeFillShade="F2"/>
            <w:vAlign w:val="center"/>
          </w:tcPr>
          <w:p w14:paraId="5D0B8ABE" w14:textId="77777777" w:rsidR="00F756CB" w:rsidRPr="00D57C02" w:rsidRDefault="00F756CB" w:rsidP="00F756CB">
            <w:pPr>
              <w:tabs>
                <w:tab w:val="left" w:pos="338"/>
              </w:tabs>
              <w:spacing w:after="0" w:line="276" w:lineRule="auto"/>
              <w:contextualSpacing/>
              <w:rPr>
                <w:rFonts w:ascii="Arial" w:eastAsia="Calibri" w:hAnsi="Arial" w:cs="Arial"/>
                <w:bCs/>
                <w:iCs/>
                <w:sz w:val="20"/>
                <w:szCs w:val="20"/>
                <w:lang w:val="en-US"/>
              </w:rPr>
            </w:pPr>
            <w:r w:rsidRPr="00D57C02">
              <w:rPr>
                <w:rFonts w:ascii="Arial" w:eastAsia="Calibri" w:hAnsi="Arial" w:cs="Arial"/>
                <w:sz w:val="20"/>
                <w:szCs w:val="20"/>
                <w:lang w:val="en-US"/>
              </w:rPr>
              <w:t>Program reviews and/or evaluations</w:t>
            </w:r>
          </w:p>
        </w:tc>
        <w:tc>
          <w:tcPr>
            <w:tcW w:w="4406" w:type="dxa"/>
          </w:tcPr>
          <w:p w14:paraId="5D0B8ABF" w14:textId="7FAABA4C" w:rsidR="00F756CB" w:rsidRPr="00805737" w:rsidRDefault="00F756CB" w:rsidP="00F756CB">
            <w:pPr>
              <w:spacing w:before="120" w:after="0" w:line="276" w:lineRule="auto"/>
              <w:rPr>
                <w:rFonts w:ascii="Arial" w:eastAsia="Calibri" w:hAnsi="Arial" w:cs="Arial"/>
                <w:bCs/>
                <w:iCs/>
                <w:lang w:val="en-US"/>
              </w:rPr>
            </w:pPr>
            <w:r w:rsidRPr="00805737">
              <w:rPr>
                <w:rFonts w:ascii="Arial" w:hAnsi="Arial" w:cs="Arial"/>
              </w:rPr>
              <w:t>Annual</w:t>
            </w:r>
            <w:r w:rsidRPr="00805737">
              <w:rPr>
                <w:rFonts w:ascii="Arial" w:hAnsi="Arial" w:cs="Arial"/>
              </w:rPr>
              <w:tab/>
              <w:t xml:space="preserve">Review of the NTP, </w:t>
            </w:r>
            <w:proofErr w:type="spellStart"/>
            <w:r w:rsidRPr="00805737">
              <w:rPr>
                <w:rFonts w:ascii="Arial" w:hAnsi="Arial" w:cs="Arial"/>
              </w:rPr>
              <w:t>MoH</w:t>
            </w:r>
            <w:proofErr w:type="spellEnd"/>
            <w:r w:rsidRPr="00805737">
              <w:rPr>
                <w:rFonts w:ascii="Arial" w:hAnsi="Arial" w:cs="Arial"/>
              </w:rPr>
              <w:t xml:space="preserve">, Nepal, 2016 </w:t>
            </w:r>
            <w:r>
              <w:rPr>
                <w:rFonts w:ascii="Arial" w:hAnsi="Arial" w:cs="Arial"/>
              </w:rPr>
              <w:t>(Annex-2)</w:t>
            </w:r>
          </w:p>
        </w:tc>
        <w:tc>
          <w:tcPr>
            <w:tcW w:w="1406" w:type="dxa"/>
            <w:vAlign w:val="center"/>
          </w:tcPr>
          <w:p w14:paraId="5D0B8AC1" w14:textId="11B6127C"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Section-1</w:t>
            </w:r>
          </w:p>
        </w:tc>
        <w:tc>
          <w:tcPr>
            <w:tcW w:w="868" w:type="dxa"/>
            <w:gridSpan w:val="2"/>
            <w:vAlign w:val="center"/>
          </w:tcPr>
          <w:p w14:paraId="5D0B8AC2" w14:textId="7FB078A0"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515295290"/>
                <w14:checkbox>
                  <w14:checked w14:val="0"/>
                  <w14:checkedState w14:val="2612" w14:font="MS Gothic"/>
                  <w14:uncheckedState w14:val="2610" w14:font="MS Gothic"/>
                </w14:checkbox>
              </w:sdtPr>
              <w:sdtEndPr/>
              <w:sdtContent>
                <w:r w:rsidR="00F756CB" w:rsidRPr="00D57C02">
                  <w:rPr>
                    <w:rFonts w:ascii="Segoe UI Symbol" w:eastAsia="MS Gothic" w:hAnsi="Segoe UI Symbol" w:cs="Segoe UI Symbol"/>
                    <w:bCs/>
                    <w:iCs/>
                    <w:lang w:val="en-US"/>
                  </w:rPr>
                  <w:t>☐</w:t>
                </w:r>
              </w:sdtContent>
            </w:sdt>
          </w:p>
        </w:tc>
      </w:tr>
      <w:tr w:rsidR="00F756CB" w:rsidRPr="00D57C02" w14:paraId="6B033670" w14:textId="77777777" w:rsidTr="006563C4">
        <w:tblPrEx>
          <w:jc w:val="left"/>
        </w:tblPrEx>
        <w:trPr>
          <w:trHeight w:val="314"/>
        </w:trPr>
        <w:tc>
          <w:tcPr>
            <w:tcW w:w="2405" w:type="dxa"/>
            <w:shd w:val="clear" w:color="auto" w:fill="F2F2F2" w:themeFill="background1" w:themeFillShade="F2"/>
            <w:vAlign w:val="center"/>
          </w:tcPr>
          <w:p w14:paraId="4920CC4C"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0A4A490B" w14:textId="6DFB0F1C" w:rsidR="00F756CB" w:rsidRPr="00805737" w:rsidRDefault="00F756CB" w:rsidP="00F756CB">
            <w:pPr>
              <w:tabs>
                <w:tab w:val="left" w:pos="338"/>
              </w:tabs>
              <w:spacing w:after="0" w:line="276" w:lineRule="auto"/>
              <w:contextualSpacing/>
              <w:rPr>
                <w:rFonts w:ascii="Arial" w:hAnsi="Arial" w:cs="Arial"/>
              </w:rPr>
            </w:pPr>
            <w:r w:rsidRPr="00805737">
              <w:rPr>
                <w:rFonts w:ascii="Arial" w:hAnsi="Arial" w:cs="Arial"/>
              </w:rPr>
              <w:t>Annual NTP Report, 2016</w:t>
            </w:r>
            <w:r>
              <w:rPr>
                <w:rFonts w:ascii="Arial" w:hAnsi="Arial" w:cs="Arial"/>
              </w:rPr>
              <w:t xml:space="preserve"> (Annex-8)</w:t>
            </w:r>
          </w:p>
        </w:tc>
        <w:tc>
          <w:tcPr>
            <w:tcW w:w="1406" w:type="dxa"/>
            <w:vAlign w:val="center"/>
          </w:tcPr>
          <w:p w14:paraId="5EE0DEC5" w14:textId="080EB2FD"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Page-</w:t>
            </w:r>
            <w:r w:rsidR="0031371C">
              <w:rPr>
                <w:rFonts w:ascii="Arial" w:eastAsia="Calibri" w:hAnsi="Arial" w:cs="Arial"/>
                <w:bCs/>
                <w:iCs/>
                <w:lang w:val="en-US"/>
              </w:rPr>
              <w:t xml:space="preserve">14, </w:t>
            </w:r>
            <w:r w:rsidRPr="00D57C02">
              <w:rPr>
                <w:rFonts w:ascii="Arial" w:eastAsia="Calibri" w:hAnsi="Arial" w:cs="Arial"/>
                <w:bCs/>
                <w:iCs/>
                <w:lang w:val="en-US"/>
              </w:rPr>
              <w:t>19</w:t>
            </w:r>
            <w:r w:rsidR="0031371C">
              <w:rPr>
                <w:rFonts w:ascii="Arial" w:eastAsia="Calibri" w:hAnsi="Arial" w:cs="Arial"/>
                <w:bCs/>
                <w:iCs/>
                <w:lang w:val="en-US"/>
              </w:rPr>
              <w:t>,23,31</w:t>
            </w:r>
          </w:p>
        </w:tc>
        <w:tc>
          <w:tcPr>
            <w:tcW w:w="868" w:type="dxa"/>
            <w:gridSpan w:val="2"/>
            <w:vAlign w:val="center"/>
          </w:tcPr>
          <w:p w14:paraId="73CF191C" w14:textId="1C8BE69D"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990334526"/>
                <w14:checkbox>
                  <w14:checked w14:val="0"/>
                  <w14:checkedState w14:val="2612" w14:font="MS Gothic"/>
                  <w14:uncheckedState w14:val="2610" w14:font="MS Gothic"/>
                </w14:checkbox>
              </w:sdtPr>
              <w:sdtEndPr/>
              <w:sdtContent>
                <w:r w:rsidR="00F756CB">
                  <w:rPr>
                    <w:rFonts w:ascii="MS Gothic" w:eastAsia="MS Gothic" w:hAnsi="MS Gothic" w:cs="Arial" w:hint="eastAsia"/>
                    <w:bCs/>
                    <w:iCs/>
                    <w:lang w:val="en-US"/>
                  </w:rPr>
                  <w:t>☐</w:t>
                </w:r>
              </w:sdtContent>
            </w:sdt>
          </w:p>
        </w:tc>
      </w:tr>
      <w:tr w:rsidR="00F756CB" w:rsidRPr="00D57C02" w14:paraId="130B442F" w14:textId="77777777" w:rsidTr="006563C4">
        <w:tblPrEx>
          <w:jc w:val="left"/>
        </w:tblPrEx>
        <w:trPr>
          <w:trHeight w:val="314"/>
        </w:trPr>
        <w:tc>
          <w:tcPr>
            <w:tcW w:w="2405" w:type="dxa"/>
            <w:shd w:val="clear" w:color="auto" w:fill="F2F2F2" w:themeFill="background1" w:themeFillShade="F2"/>
            <w:vAlign w:val="center"/>
          </w:tcPr>
          <w:p w14:paraId="678E4A7A"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58CC0E6C" w14:textId="6761EF49" w:rsidR="00F756CB" w:rsidRPr="00805737" w:rsidRDefault="00F756CB" w:rsidP="00F756CB">
            <w:pPr>
              <w:tabs>
                <w:tab w:val="left" w:pos="338"/>
              </w:tabs>
              <w:spacing w:after="0" w:line="276" w:lineRule="auto"/>
              <w:contextualSpacing/>
              <w:rPr>
                <w:rFonts w:ascii="Arial" w:hAnsi="Arial" w:cs="Arial"/>
              </w:rPr>
            </w:pPr>
            <w:r w:rsidRPr="00805737">
              <w:rPr>
                <w:rFonts w:ascii="Arial" w:hAnsi="Arial" w:cs="Arial"/>
              </w:rPr>
              <w:t>Assessment of Laboratory Support to HIV, TB &amp; Malaria Programmes in Nepal, 2017</w:t>
            </w:r>
            <w:r>
              <w:rPr>
                <w:rFonts w:ascii="Arial" w:hAnsi="Arial" w:cs="Arial"/>
              </w:rPr>
              <w:t xml:space="preserve"> (Annex-20)</w:t>
            </w:r>
          </w:p>
        </w:tc>
        <w:tc>
          <w:tcPr>
            <w:tcW w:w="1406" w:type="dxa"/>
            <w:vAlign w:val="center"/>
          </w:tcPr>
          <w:p w14:paraId="275238DA" w14:textId="1810248F"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Section 3.4, Page-10, 21-28</w:t>
            </w:r>
          </w:p>
        </w:tc>
        <w:tc>
          <w:tcPr>
            <w:tcW w:w="868" w:type="dxa"/>
            <w:gridSpan w:val="2"/>
            <w:vAlign w:val="center"/>
          </w:tcPr>
          <w:p w14:paraId="185BC117" w14:textId="4BAB5588"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909348143"/>
                <w14:checkbox>
                  <w14:checked w14:val="0"/>
                  <w14:checkedState w14:val="2612" w14:font="MS Gothic"/>
                  <w14:uncheckedState w14:val="2610" w14:font="MS Gothic"/>
                </w14:checkbox>
              </w:sdtPr>
              <w:sdtEndPr/>
              <w:sdtContent>
                <w:r w:rsidR="00F756CB" w:rsidRPr="00D57C02">
                  <w:rPr>
                    <w:rFonts w:ascii="MS Gothic" w:eastAsia="MS Gothic" w:hAnsi="MS Gothic" w:cs="Arial" w:hint="eastAsia"/>
                    <w:bCs/>
                    <w:iCs/>
                    <w:lang w:val="en-US"/>
                  </w:rPr>
                  <w:t>☐</w:t>
                </w:r>
              </w:sdtContent>
            </w:sdt>
          </w:p>
        </w:tc>
      </w:tr>
      <w:tr w:rsidR="00F756CB" w:rsidRPr="00D57C02" w14:paraId="1738E373" w14:textId="77777777" w:rsidTr="006563C4">
        <w:tblPrEx>
          <w:jc w:val="left"/>
        </w:tblPrEx>
        <w:trPr>
          <w:trHeight w:val="656"/>
        </w:trPr>
        <w:tc>
          <w:tcPr>
            <w:tcW w:w="2405" w:type="dxa"/>
            <w:shd w:val="clear" w:color="auto" w:fill="F2F2F2" w:themeFill="background1" w:themeFillShade="F2"/>
            <w:vAlign w:val="center"/>
          </w:tcPr>
          <w:p w14:paraId="670510F1"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4867DA32" w14:textId="0A1AF057" w:rsidR="00F756CB" w:rsidRPr="00805737" w:rsidRDefault="00F756CB" w:rsidP="00F756CB">
            <w:pPr>
              <w:tabs>
                <w:tab w:val="left" w:pos="338"/>
              </w:tabs>
              <w:spacing w:after="0" w:line="276" w:lineRule="auto"/>
              <w:contextualSpacing/>
              <w:rPr>
                <w:rFonts w:ascii="Arial" w:hAnsi="Arial" w:cs="Arial"/>
              </w:rPr>
            </w:pPr>
            <w:r w:rsidRPr="00805737">
              <w:rPr>
                <w:rFonts w:ascii="Arial" w:hAnsi="Arial" w:cs="Arial"/>
              </w:rPr>
              <w:t xml:space="preserve">PMDT Mission Report, 2016 by the </w:t>
            </w:r>
            <w:proofErr w:type="spellStart"/>
            <w:r w:rsidRPr="00805737">
              <w:rPr>
                <w:rFonts w:ascii="Arial" w:hAnsi="Arial" w:cs="Arial"/>
              </w:rPr>
              <w:t>rGLC</w:t>
            </w:r>
            <w:proofErr w:type="spellEnd"/>
            <w:r w:rsidRPr="00805737">
              <w:rPr>
                <w:rFonts w:ascii="Arial" w:hAnsi="Arial" w:cs="Arial"/>
              </w:rPr>
              <w:t xml:space="preserve"> Secretariat, WHO</w:t>
            </w:r>
            <w:r w:rsidR="00FB0570">
              <w:rPr>
                <w:rFonts w:ascii="Arial" w:hAnsi="Arial" w:cs="Arial"/>
              </w:rPr>
              <w:t>/</w:t>
            </w:r>
            <w:r w:rsidRPr="00805737">
              <w:rPr>
                <w:rFonts w:ascii="Arial" w:hAnsi="Arial" w:cs="Arial"/>
              </w:rPr>
              <w:t xml:space="preserve"> SEARO</w:t>
            </w:r>
            <w:r>
              <w:rPr>
                <w:rFonts w:ascii="Arial" w:hAnsi="Arial" w:cs="Arial"/>
              </w:rPr>
              <w:t xml:space="preserve"> (Annex-6)</w:t>
            </w:r>
          </w:p>
        </w:tc>
        <w:tc>
          <w:tcPr>
            <w:tcW w:w="1406" w:type="dxa"/>
            <w:vAlign w:val="center"/>
          </w:tcPr>
          <w:p w14:paraId="076AFF57" w14:textId="77777777" w:rsidR="00F756CB" w:rsidRPr="006D3463" w:rsidRDefault="00F756CB" w:rsidP="00F756CB">
            <w:pPr>
              <w:spacing w:after="0" w:line="276" w:lineRule="auto"/>
              <w:jc w:val="center"/>
              <w:rPr>
                <w:rFonts w:ascii="Arial" w:eastAsia="Calibri" w:hAnsi="Arial" w:cs="Arial"/>
                <w:bCs/>
                <w:iCs/>
                <w:lang w:val="en-US"/>
              </w:rPr>
            </w:pPr>
            <w:r w:rsidRPr="006D3463">
              <w:rPr>
                <w:rFonts w:ascii="Arial" w:eastAsia="Calibri" w:hAnsi="Arial" w:cs="Arial"/>
                <w:bCs/>
                <w:iCs/>
                <w:lang w:val="en-US"/>
              </w:rPr>
              <w:t>Pages 7-19</w:t>
            </w:r>
          </w:p>
          <w:p w14:paraId="532A988A" w14:textId="687C663C" w:rsidR="00F756CB" w:rsidRPr="006D3463" w:rsidRDefault="00F756CB" w:rsidP="00F756CB">
            <w:pPr>
              <w:spacing w:after="0" w:line="276" w:lineRule="auto"/>
              <w:jc w:val="center"/>
              <w:rPr>
                <w:rFonts w:ascii="Arial" w:eastAsia="Calibri" w:hAnsi="Arial" w:cs="Arial"/>
                <w:bCs/>
                <w:iCs/>
                <w:lang w:val="en-US"/>
              </w:rPr>
            </w:pPr>
          </w:p>
        </w:tc>
        <w:tc>
          <w:tcPr>
            <w:tcW w:w="868" w:type="dxa"/>
            <w:gridSpan w:val="2"/>
            <w:vAlign w:val="center"/>
          </w:tcPr>
          <w:p w14:paraId="242AC0F3" w14:textId="6030977A"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2040576286"/>
                <w14:checkbox>
                  <w14:checked w14:val="0"/>
                  <w14:checkedState w14:val="2612" w14:font="MS Gothic"/>
                  <w14:uncheckedState w14:val="2610" w14:font="MS Gothic"/>
                </w14:checkbox>
              </w:sdtPr>
              <w:sdtEndPr/>
              <w:sdtContent>
                <w:r w:rsidR="00F756CB" w:rsidRPr="00D57C02">
                  <w:rPr>
                    <w:rFonts w:ascii="Segoe UI Symbol" w:eastAsia="MS Gothic" w:hAnsi="Segoe UI Symbol" w:cs="Segoe UI Symbol"/>
                    <w:bCs/>
                    <w:iCs/>
                    <w:lang w:val="en-US"/>
                  </w:rPr>
                  <w:t>☐</w:t>
                </w:r>
              </w:sdtContent>
            </w:sdt>
          </w:p>
        </w:tc>
      </w:tr>
      <w:tr w:rsidR="00F756CB" w:rsidRPr="00D57C02" w14:paraId="252C4206" w14:textId="77777777" w:rsidTr="006563C4">
        <w:tblPrEx>
          <w:jc w:val="left"/>
        </w:tblPrEx>
        <w:trPr>
          <w:trHeight w:val="350"/>
        </w:trPr>
        <w:tc>
          <w:tcPr>
            <w:tcW w:w="2405" w:type="dxa"/>
            <w:shd w:val="clear" w:color="auto" w:fill="F2F2F2" w:themeFill="background1" w:themeFillShade="F2"/>
            <w:vAlign w:val="center"/>
          </w:tcPr>
          <w:p w14:paraId="6FB4741C"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78D75180" w14:textId="4E9CA17A" w:rsidR="00F756CB" w:rsidRPr="00805737" w:rsidRDefault="00F756CB" w:rsidP="00F756CB">
            <w:pPr>
              <w:rPr>
                <w:rFonts w:ascii="Arial" w:hAnsi="Arial" w:cs="Arial"/>
              </w:rPr>
            </w:pPr>
            <w:r w:rsidRPr="00805737">
              <w:rPr>
                <w:rFonts w:ascii="Arial" w:hAnsi="Arial" w:cs="Arial"/>
              </w:rPr>
              <w:t>Mission Report, Nepal, 2016 Supranational Reference Laboratory Munich-</w:t>
            </w:r>
            <w:proofErr w:type="spellStart"/>
            <w:r w:rsidRPr="00805737">
              <w:rPr>
                <w:rFonts w:ascii="Arial" w:hAnsi="Arial" w:cs="Arial"/>
              </w:rPr>
              <w:t>Gauting</w:t>
            </w:r>
            <w:proofErr w:type="spellEnd"/>
            <w:r>
              <w:rPr>
                <w:rFonts w:ascii="Arial" w:hAnsi="Arial" w:cs="Arial"/>
              </w:rPr>
              <w:t xml:space="preserve"> (Annex- 23)</w:t>
            </w:r>
          </w:p>
        </w:tc>
        <w:tc>
          <w:tcPr>
            <w:tcW w:w="1406" w:type="dxa"/>
            <w:vAlign w:val="center"/>
          </w:tcPr>
          <w:p w14:paraId="228916FE" w14:textId="77777777"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5.2.2. pg13</w:t>
            </w:r>
          </w:p>
          <w:p w14:paraId="775E9B1A" w14:textId="7998E598"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5.3.2. pg14</w:t>
            </w:r>
          </w:p>
        </w:tc>
        <w:tc>
          <w:tcPr>
            <w:tcW w:w="868" w:type="dxa"/>
            <w:gridSpan w:val="2"/>
            <w:vAlign w:val="center"/>
          </w:tcPr>
          <w:p w14:paraId="03711B2D" w14:textId="76CA8DF2"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486316741"/>
                <w14:checkbox>
                  <w14:checked w14:val="0"/>
                  <w14:checkedState w14:val="2612" w14:font="MS Gothic"/>
                  <w14:uncheckedState w14:val="2610" w14:font="MS Gothic"/>
                </w14:checkbox>
              </w:sdtPr>
              <w:sdtEndPr/>
              <w:sdtContent>
                <w:r w:rsidR="00F756CB" w:rsidRPr="00D57C02">
                  <w:rPr>
                    <w:rFonts w:ascii="Segoe UI Symbol" w:eastAsia="MS Gothic" w:hAnsi="Segoe UI Symbol" w:cs="Segoe UI Symbol"/>
                    <w:bCs/>
                    <w:iCs/>
                    <w:lang w:val="en-US"/>
                  </w:rPr>
                  <w:t>☐</w:t>
                </w:r>
              </w:sdtContent>
            </w:sdt>
          </w:p>
        </w:tc>
      </w:tr>
      <w:tr w:rsidR="00F756CB" w:rsidRPr="00D57C02" w14:paraId="4CEBE626" w14:textId="77777777" w:rsidTr="006563C4">
        <w:tblPrEx>
          <w:jc w:val="left"/>
        </w:tblPrEx>
        <w:trPr>
          <w:trHeight w:val="566"/>
        </w:trPr>
        <w:tc>
          <w:tcPr>
            <w:tcW w:w="2405" w:type="dxa"/>
            <w:shd w:val="clear" w:color="auto" w:fill="F2F2F2" w:themeFill="background1" w:themeFillShade="F2"/>
            <w:vAlign w:val="center"/>
          </w:tcPr>
          <w:p w14:paraId="6D4E0AFB"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660837E4" w14:textId="3E6D918B" w:rsidR="00F756CB" w:rsidRPr="00805737" w:rsidRDefault="00F756CB" w:rsidP="00F756CB">
            <w:pPr>
              <w:tabs>
                <w:tab w:val="left" w:pos="338"/>
              </w:tabs>
              <w:spacing w:after="0" w:line="276" w:lineRule="auto"/>
              <w:contextualSpacing/>
              <w:rPr>
                <w:rFonts w:ascii="Arial" w:hAnsi="Arial" w:cs="Arial"/>
              </w:rPr>
            </w:pPr>
            <w:r w:rsidRPr="00805737">
              <w:rPr>
                <w:rFonts w:ascii="Arial" w:hAnsi="Arial" w:cs="Arial"/>
              </w:rPr>
              <w:t>GDF Mission Observations, Nepal, 2016</w:t>
            </w:r>
            <w:r>
              <w:rPr>
                <w:rFonts w:ascii="Arial" w:hAnsi="Arial" w:cs="Arial"/>
              </w:rPr>
              <w:t xml:space="preserve"> (Annex-18)</w:t>
            </w:r>
          </w:p>
        </w:tc>
        <w:tc>
          <w:tcPr>
            <w:tcW w:w="1406" w:type="dxa"/>
            <w:vAlign w:val="center"/>
          </w:tcPr>
          <w:p w14:paraId="645517A4" w14:textId="24DFF19D"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Pages 4-5, 8-11</w:t>
            </w:r>
          </w:p>
        </w:tc>
        <w:tc>
          <w:tcPr>
            <w:tcW w:w="868" w:type="dxa"/>
            <w:gridSpan w:val="2"/>
            <w:vAlign w:val="center"/>
          </w:tcPr>
          <w:p w14:paraId="2F78EB69" w14:textId="6053B2FF"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202217796"/>
                <w14:checkbox>
                  <w14:checked w14:val="0"/>
                  <w14:checkedState w14:val="2612" w14:font="MS Gothic"/>
                  <w14:uncheckedState w14:val="2610" w14:font="MS Gothic"/>
                </w14:checkbox>
              </w:sdtPr>
              <w:sdtEndPr/>
              <w:sdtContent>
                <w:r w:rsidR="00F756CB" w:rsidRPr="00D57C02">
                  <w:rPr>
                    <w:rFonts w:ascii="Segoe UI Symbol" w:eastAsia="MS Gothic" w:hAnsi="Segoe UI Symbol" w:cs="Segoe UI Symbol"/>
                    <w:bCs/>
                    <w:iCs/>
                    <w:lang w:val="en-US"/>
                  </w:rPr>
                  <w:t>☐</w:t>
                </w:r>
              </w:sdtContent>
            </w:sdt>
          </w:p>
        </w:tc>
      </w:tr>
      <w:tr w:rsidR="00F756CB" w:rsidRPr="00D57C02" w14:paraId="5D0B8AC9" w14:textId="77777777" w:rsidTr="006563C4">
        <w:tblPrEx>
          <w:jc w:val="left"/>
        </w:tblPrEx>
        <w:trPr>
          <w:trHeight w:val="962"/>
        </w:trPr>
        <w:tc>
          <w:tcPr>
            <w:tcW w:w="2405" w:type="dxa"/>
            <w:shd w:val="clear" w:color="auto" w:fill="F2F2F2" w:themeFill="background1" w:themeFillShade="F2"/>
            <w:vAlign w:val="center"/>
          </w:tcPr>
          <w:p w14:paraId="5D0B8AC4"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r w:rsidRPr="00D57C02">
              <w:rPr>
                <w:rFonts w:ascii="Arial" w:eastAsia="Calibri" w:hAnsi="Arial" w:cs="Arial"/>
                <w:sz w:val="20"/>
                <w:szCs w:val="20"/>
                <w:lang w:val="en-US"/>
              </w:rPr>
              <w:t>Human rights and gender considerations (disease-specific)</w:t>
            </w:r>
          </w:p>
        </w:tc>
        <w:tc>
          <w:tcPr>
            <w:tcW w:w="4406" w:type="dxa"/>
          </w:tcPr>
          <w:p w14:paraId="5D0B8AC5" w14:textId="4CA83B93" w:rsidR="00F756CB" w:rsidRPr="005D320E" w:rsidRDefault="00F756CB" w:rsidP="00F756CB">
            <w:pPr>
              <w:spacing w:before="120" w:after="0" w:line="276" w:lineRule="auto"/>
              <w:rPr>
                <w:rFonts w:ascii="Arial" w:hAnsi="Arial" w:cs="Arial"/>
              </w:rPr>
            </w:pPr>
            <w:r w:rsidRPr="00805737">
              <w:rPr>
                <w:rFonts w:ascii="Arial" w:hAnsi="Arial" w:cs="Arial"/>
              </w:rPr>
              <w:t xml:space="preserve">Report of the Focus Group Discussions with key and vulnerable populations, Country Dialogue, Nepal, 2017 </w:t>
            </w:r>
            <w:r>
              <w:rPr>
                <w:rFonts w:ascii="Arial" w:hAnsi="Arial" w:cs="Arial"/>
              </w:rPr>
              <w:t>(Annex-11)</w:t>
            </w:r>
          </w:p>
        </w:tc>
        <w:tc>
          <w:tcPr>
            <w:tcW w:w="1406" w:type="dxa"/>
            <w:vAlign w:val="center"/>
          </w:tcPr>
          <w:p w14:paraId="5D0B8AC7" w14:textId="06B94F08"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Full</w:t>
            </w:r>
          </w:p>
        </w:tc>
        <w:tc>
          <w:tcPr>
            <w:tcW w:w="868" w:type="dxa"/>
            <w:gridSpan w:val="2"/>
            <w:vAlign w:val="center"/>
          </w:tcPr>
          <w:p w14:paraId="5D0B8AC8" w14:textId="77777777"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606494358"/>
                <w14:checkbox>
                  <w14:checked w14:val="0"/>
                  <w14:checkedState w14:val="2612" w14:font="MS Gothic"/>
                  <w14:uncheckedState w14:val="2610" w14:font="MS Gothic"/>
                </w14:checkbox>
              </w:sdtPr>
              <w:sdtEndPr/>
              <w:sdtContent>
                <w:r w:rsidR="00F756CB" w:rsidRPr="00D57C02">
                  <w:rPr>
                    <w:rFonts w:ascii="Segoe UI Symbol" w:eastAsia="Calibri" w:hAnsi="Segoe UI Symbol" w:cs="Segoe UI Symbol"/>
                    <w:bCs/>
                    <w:iCs/>
                    <w:lang w:val="en-US"/>
                  </w:rPr>
                  <w:t>☐</w:t>
                </w:r>
              </w:sdtContent>
            </w:sdt>
          </w:p>
        </w:tc>
      </w:tr>
      <w:tr w:rsidR="00F756CB" w:rsidRPr="00D57C02" w14:paraId="48384244" w14:textId="77777777" w:rsidTr="006563C4">
        <w:tblPrEx>
          <w:jc w:val="left"/>
        </w:tblPrEx>
        <w:trPr>
          <w:trHeight w:val="677"/>
        </w:trPr>
        <w:tc>
          <w:tcPr>
            <w:tcW w:w="2405" w:type="dxa"/>
            <w:shd w:val="clear" w:color="auto" w:fill="F2F2F2" w:themeFill="background1" w:themeFillShade="F2"/>
            <w:vAlign w:val="center"/>
          </w:tcPr>
          <w:p w14:paraId="030401E7" w14:textId="5BA98980"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r w:rsidRPr="00D57C02">
              <w:rPr>
                <w:rFonts w:ascii="Arial" w:eastAsia="Calibri" w:hAnsi="Arial" w:cs="Arial"/>
                <w:sz w:val="20"/>
                <w:szCs w:val="20"/>
                <w:lang w:val="en-US"/>
              </w:rPr>
              <w:t>Other documents</w:t>
            </w:r>
          </w:p>
        </w:tc>
        <w:tc>
          <w:tcPr>
            <w:tcW w:w="4406" w:type="dxa"/>
          </w:tcPr>
          <w:p w14:paraId="4BC9B3B7" w14:textId="5D0ADF60" w:rsidR="00F756CB" w:rsidRPr="00805737" w:rsidRDefault="00F756CB" w:rsidP="00F756CB">
            <w:pPr>
              <w:spacing w:before="120" w:after="0" w:line="276" w:lineRule="auto"/>
              <w:rPr>
                <w:rFonts w:ascii="Arial" w:hAnsi="Arial" w:cs="Arial"/>
              </w:rPr>
            </w:pPr>
            <w:r w:rsidRPr="00805737">
              <w:rPr>
                <w:rFonts w:ascii="Arial" w:hAnsi="Arial" w:cs="Arial"/>
              </w:rPr>
              <w:t>WHO Country Cooperation Strategy, Nepal, 2013–2017</w:t>
            </w:r>
            <w:r>
              <w:rPr>
                <w:rFonts w:ascii="Arial" w:hAnsi="Arial" w:cs="Arial"/>
              </w:rPr>
              <w:t xml:space="preserve"> (Annex-3)</w:t>
            </w:r>
          </w:p>
        </w:tc>
        <w:tc>
          <w:tcPr>
            <w:tcW w:w="1406" w:type="dxa"/>
            <w:vAlign w:val="center"/>
          </w:tcPr>
          <w:p w14:paraId="6AAA421A" w14:textId="2F4E21F2" w:rsidR="00F756CB" w:rsidRPr="00D57C02" w:rsidRDefault="00F756CB" w:rsidP="00F756CB">
            <w:pPr>
              <w:spacing w:after="0" w:line="276" w:lineRule="auto"/>
              <w:jc w:val="center"/>
              <w:rPr>
                <w:rFonts w:ascii="Arial" w:eastAsia="Calibri" w:hAnsi="Arial" w:cs="Arial"/>
                <w:bCs/>
                <w:iCs/>
                <w:lang w:val="en-US"/>
              </w:rPr>
            </w:pPr>
            <w:r w:rsidRPr="00D57C02">
              <w:rPr>
                <w:rFonts w:ascii="Arial" w:eastAsia="Calibri" w:hAnsi="Arial" w:cs="Arial"/>
                <w:bCs/>
                <w:iCs/>
                <w:lang w:val="en-US"/>
              </w:rPr>
              <w:t>Page</w:t>
            </w:r>
            <w:r w:rsidR="0031371C">
              <w:rPr>
                <w:rFonts w:ascii="Arial" w:eastAsia="Calibri" w:hAnsi="Arial" w:cs="Arial"/>
                <w:bCs/>
                <w:iCs/>
                <w:lang w:val="en-US"/>
              </w:rPr>
              <w:t>-</w:t>
            </w:r>
            <w:r w:rsidRPr="00D57C02">
              <w:rPr>
                <w:rFonts w:ascii="Arial" w:eastAsia="Calibri" w:hAnsi="Arial" w:cs="Arial"/>
                <w:bCs/>
                <w:iCs/>
                <w:lang w:val="en-US"/>
              </w:rPr>
              <w:t>19</w:t>
            </w:r>
          </w:p>
          <w:p w14:paraId="14004130" w14:textId="1D874D39" w:rsidR="00F756CB" w:rsidRPr="00D57C02" w:rsidRDefault="00F756CB" w:rsidP="00F756CB">
            <w:pPr>
              <w:spacing w:after="0" w:line="276" w:lineRule="auto"/>
              <w:jc w:val="center"/>
              <w:rPr>
                <w:rFonts w:ascii="Arial" w:eastAsia="Calibri" w:hAnsi="Arial" w:cs="Arial"/>
                <w:bCs/>
                <w:iCs/>
                <w:lang w:val="en-US"/>
              </w:rPr>
            </w:pPr>
          </w:p>
        </w:tc>
        <w:tc>
          <w:tcPr>
            <w:tcW w:w="868" w:type="dxa"/>
            <w:gridSpan w:val="2"/>
            <w:vAlign w:val="center"/>
          </w:tcPr>
          <w:p w14:paraId="68D1806A" w14:textId="1A16C042"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727643264"/>
                <w14:checkbox>
                  <w14:checked w14:val="0"/>
                  <w14:checkedState w14:val="2612" w14:font="MS Gothic"/>
                  <w14:uncheckedState w14:val="2610" w14:font="MS Gothic"/>
                </w14:checkbox>
              </w:sdtPr>
              <w:sdtEndPr/>
              <w:sdtContent>
                <w:r w:rsidR="00F756CB" w:rsidRPr="00D57C02">
                  <w:rPr>
                    <w:rFonts w:ascii="Segoe UI Symbol" w:eastAsia="Calibri" w:hAnsi="Segoe UI Symbol" w:cs="Segoe UI Symbol"/>
                    <w:bCs/>
                    <w:iCs/>
                    <w:lang w:val="en-US"/>
                  </w:rPr>
                  <w:t>☐</w:t>
                </w:r>
              </w:sdtContent>
            </w:sdt>
          </w:p>
        </w:tc>
      </w:tr>
      <w:tr w:rsidR="00F756CB" w:rsidRPr="00D57C02" w14:paraId="65D81A6D" w14:textId="77777777" w:rsidTr="006563C4">
        <w:tblPrEx>
          <w:jc w:val="left"/>
        </w:tblPrEx>
        <w:trPr>
          <w:trHeight w:val="677"/>
        </w:trPr>
        <w:tc>
          <w:tcPr>
            <w:tcW w:w="2405" w:type="dxa"/>
            <w:shd w:val="clear" w:color="auto" w:fill="F2F2F2" w:themeFill="background1" w:themeFillShade="F2"/>
            <w:vAlign w:val="center"/>
          </w:tcPr>
          <w:p w14:paraId="4E73E729"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4F77E324" w14:textId="47037F79" w:rsidR="00F756CB" w:rsidRPr="00D57C02" w:rsidRDefault="00F756CB" w:rsidP="00F756CB">
            <w:pPr>
              <w:spacing w:before="120" w:after="0" w:line="276" w:lineRule="auto"/>
              <w:rPr>
                <w:rFonts w:ascii="Arial" w:hAnsi="Arial" w:cs="Arial"/>
              </w:rPr>
            </w:pPr>
            <w:r>
              <w:rPr>
                <w:rFonts w:ascii="Arial" w:hAnsi="Arial" w:cs="Arial"/>
              </w:rPr>
              <w:t>Systematic Screening for Active TB: An Operational Guide, WHO</w:t>
            </w:r>
            <w:r w:rsidR="00FC159F">
              <w:rPr>
                <w:rFonts w:ascii="Arial" w:hAnsi="Arial" w:cs="Arial"/>
              </w:rPr>
              <w:t>, 2015</w:t>
            </w:r>
            <w:r>
              <w:rPr>
                <w:rFonts w:ascii="Arial" w:hAnsi="Arial" w:cs="Arial"/>
              </w:rPr>
              <w:t xml:space="preserve"> (Annex-13)</w:t>
            </w:r>
          </w:p>
        </w:tc>
        <w:tc>
          <w:tcPr>
            <w:tcW w:w="1406" w:type="dxa"/>
            <w:vAlign w:val="center"/>
          </w:tcPr>
          <w:p w14:paraId="4551AE59" w14:textId="71ED5A68" w:rsidR="00F756CB" w:rsidRPr="00D57C02" w:rsidRDefault="00F756CB" w:rsidP="00F756CB">
            <w:pPr>
              <w:spacing w:after="0" w:line="276" w:lineRule="auto"/>
              <w:jc w:val="center"/>
              <w:rPr>
                <w:rFonts w:ascii="Arial" w:eastAsia="Calibri" w:hAnsi="Arial" w:cs="Arial"/>
                <w:bCs/>
                <w:iCs/>
                <w:lang w:val="en-US"/>
              </w:rPr>
            </w:pPr>
            <w:r>
              <w:rPr>
                <w:rFonts w:ascii="Arial" w:eastAsia="Calibri" w:hAnsi="Arial" w:cs="Arial"/>
                <w:bCs/>
                <w:iCs/>
                <w:lang w:val="en-US"/>
              </w:rPr>
              <w:t>Page</w:t>
            </w:r>
            <w:r w:rsidR="0031371C">
              <w:rPr>
                <w:rFonts w:ascii="Arial" w:eastAsia="Calibri" w:hAnsi="Arial" w:cs="Arial"/>
                <w:bCs/>
                <w:iCs/>
                <w:lang w:val="en-US"/>
              </w:rPr>
              <w:t xml:space="preserve">-12, </w:t>
            </w:r>
            <w:r>
              <w:rPr>
                <w:rFonts w:ascii="Arial" w:eastAsia="Calibri" w:hAnsi="Arial" w:cs="Arial"/>
                <w:bCs/>
                <w:iCs/>
                <w:lang w:val="en-US"/>
              </w:rPr>
              <w:t>25-27</w:t>
            </w:r>
          </w:p>
        </w:tc>
        <w:tc>
          <w:tcPr>
            <w:tcW w:w="868" w:type="dxa"/>
            <w:gridSpan w:val="2"/>
            <w:vAlign w:val="center"/>
          </w:tcPr>
          <w:p w14:paraId="699A771A" w14:textId="5EE6CA0B" w:rsidR="00F756CB" w:rsidRPr="00D57C02"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32171268"/>
                <w14:checkbox>
                  <w14:checked w14:val="0"/>
                  <w14:checkedState w14:val="2612" w14:font="MS Gothic"/>
                  <w14:uncheckedState w14:val="2610" w14:font="MS Gothic"/>
                </w14:checkbox>
              </w:sdtPr>
              <w:sdtEndPr/>
              <w:sdtContent>
                <w:r w:rsidR="00F756CB">
                  <w:rPr>
                    <w:rFonts w:ascii="MS Gothic" w:eastAsia="MS Gothic" w:hAnsi="MS Gothic" w:cs="Arial" w:hint="eastAsia"/>
                    <w:bCs/>
                    <w:iCs/>
                    <w:lang w:val="en-US"/>
                  </w:rPr>
                  <w:t>☐</w:t>
                </w:r>
              </w:sdtContent>
            </w:sdt>
          </w:p>
        </w:tc>
      </w:tr>
      <w:tr w:rsidR="00F756CB" w:rsidRPr="00D57C02" w14:paraId="4F73B747" w14:textId="77777777" w:rsidTr="006563C4">
        <w:tblPrEx>
          <w:jc w:val="left"/>
        </w:tblPrEx>
        <w:trPr>
          <w:trHeight w:val="677"/>
        </w:trPr>
        <w:tc>
          <w:tcPr>
            <w:tcW w:w="2405" w:type="dxa"/>
            <w:shd w:val="clear" w:color="auto" w:fill="F2F2F2" w:themeFill="background1" w:themeFillShade="F2"/>
            <w:vAlign w:val="center"/>
          </w:tcPr>
          <w:p w14:paraId="1F129F5C"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28784A50" w14:textId="77061B97" w:rsidR="00F756CB" w:rsidRDefault="00F756CB" w:rsidP="00F756CB">
            <w:pPr>
              <w:spacing w:before="120" w:after="0" w:line="276" w:lineRule="auto"/>
              <w:rPr>
                <w:rFonts w:ascii="Arial" w:hAnsi="Arial" w:cs="Arial"/>
              </w:rPr>
            </w:pPr>
            <w:r>
              <w:rPr>
                <w:rFonts w:ascii="Arial" w:hAnsi="Arial" w:cs="Arial"/>
              </w:rPr>
              <w:t>Portfolio analysis and guidance for setting priority for GF investment (Annex-10)</w:t>
            </w:r>
          </w:p>
        </w:tc>
        <w:tc>
          <w:tcPr>
            <w:tcW w:w="1406" w:type="dxa"/>
            <w:vAlign w:val="center"/>
          </w:tcPr>
          <w:p w14:paraId="29C7BA40" w14:textId="495157FE" w:rsidR="00F756CB" w:rsidRDefault="00F756CB" w:rsidP="00F756CB">
            <w:pPr>
              <w:spacing w:after="0" w:line="276" w:lineRule="auto"/>
              <w:jc w:val="center"/>
              <w:rPr>
                <w:rFonts w:ascii="Arial" w:eastAsia="Calibri" w:hAnsi="Arial" w:cs="Arial"/>
                <w:bCs/>
                <w:iCs/>
                <w:lang w:val="en-US"/>
              </w:rPr>
            </w:pPr>
            <w:r>
              <w:rPr>
                <w:rFonts w:ascii="Arial" w:eastAsia="Calibri" w:hAnsi="Arial" w:cs="Arial"/>
                <w:bCs/>
                <w:iCs/>
                <w:lang w:val="en-US"/>
              </w:rPr>
              <w:t>Pages 1-4</w:t>
            </w:r>
          </w:p>
        </w:tc>
        <w:tc>
          <w:tcPr>
            <w:tcW w:w="868" w:type="dxa"/>
            <w:gridSpan w:val="2"/>
            <w:vAlign w:val="center"/>
          </w:tcPr>
          <w:p w14:paraId="6E410542" w14:textId="3053FF72" w:rsidR="00F756CB"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123431585"/>
                <w14:checkbox>
                  <w14:checked w14:val="0"/>
                  <w14:checkedState w14:val="2612" w14:font="MS Gothic"/>
                  <w14:uncheckedState w14:val="2610" w14:font="MS Gothic"/>
                </w14:checkbox>
              </w:sdtPr>
              <w:sdtEndPr/>
              <w:sdtContent>
                <w:r w:rsidR="00F756CB">
                  <w:rPr>
                    <w:rFonts w:ascii="MS Gothic" w:eastAsia="MS Gothic" w:hAnsi="MS Gothic" w:cs="Arial" w:hint="eastAsia"/>
                    <w:bCs/>
                    <w:iCs/>
                    <w:lang w:val="en-US"/>
                  </w:rPr>
                  <w:t>☐</w:t>
                </w:r>
              </w:sdtContent>
            </w:sdt>
          </w:p>
        </w:tc>
      </w:tr>
      <w:tr w:rsidR="00F756CB" w:rsidRPr="00D57C02" w14:paraId="6057F938" w14:textId="77777777" w:rsidTr="006563C4">
        <w:tblPrEx>
          <w:jc w:val="left"/>
        </w:tblPrEx>
        <w:trPr>
          <w:trHeight w:val="677"/>
        </w:trPr>
        <w:tc>
          <w:tcPr>
            <w:tcW w:w="2405" w:type="dxa"/>
            <w:shd w:val="clear" w:color="auto" w:fill="F2F2F2" w:themeFill="background1" w:themeFillShade="F2"/>
            <w:vAlign w:val="center"/>
          </w:tcPr>
          <w:p w14:paraId="7FE2CD92"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3AF54E8E" w14:textId="4DE29FDA" w:rsidR="00F756CB" w:rsidRDefault="00F756CB" w:rsidP="00F756CB">
            <w:pPr>
              <w:spacing w:before="120" w:after="0" w:line="276" w:lineRule="auto"/>
              <w:rPr>
                <w:rFonts w:ascii="Arial" w:hAnsi="Arial" w:cs="Arial"/>
              </w:rPr>
            </w:pPr>
            <w:r>
              <w:rPr>
                <w:rFonts w:ascii="Arial" w:hAnsi="Arial" w:cs="Arial"/>
              </w:rPr>
              <w:t>Report on Thematic Group Meetings (Annex-14)</w:t>
            </w:r>
          </w:p>
        </w:tc>
        <w:tc>
          <w:tcPr>
            <w:tcW w:w="1406" w:type="dxa"/>
            <w:vAlign w:val="center"/>
          </w:tcPr>
          <w:p w14:paraId="6FD36271" w14:textId="71A82BB4" w:rsidR="00F756CB" w:rsidRDefault="00F756CB" w:rsidP="00F756CB">
            <w:pPr>
              <w:spacing w:after="0" w:line="276" w:lineRule="auto"/>
              <w:jc w:val="center"/>
              <w:rPr>
                <w:rFonts w:ascii="Arial" w:eastAsia="Calibri" w:hAnsi="Arial" w:cs="Arial"/>
                <w:bCs/>
                <w:iCs/>
                <w:lang w:val="en-US"/>
              </w:rPr>
            </w:pPr>
            <w:r>
              <w:rPr>
                <w:rFonts w:ascii="Arial" w:eastAsia="Calibri" w:hAnsi="Arial" w:cs="Arial"/>
                <w:bCs/>
                <w:iCs/>
                <w:lang w:val="en-US"/>
              </w:rPr>
              <w:t>Full</w:t>
            </w:r>
          </w:p>
        </w:tc>
        <w:tc>
          <w:tcPr>
            <w:tcW w:w="868" w:type="dxa"/>
            <w:gridSpan w:val="2"/>
            <w:vAlign w:val="center"/>
          </w:tcPr>
          <w:p w14:paraId="1B74867C" w14:textId="7BB914A3" w:rsidR="00F756CB"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213087376"/>
                <w14:checkbox>
                  <w14:checked w14:val="0"/>
                  <w14:checkedState w14:val="2612" w14:font="MS Gothic"/>
                  <w14:uncheckedState w14:val="2610" w14:font="MS Gothic"/>
                </w14:checkbox>
              </w:sdtPr>
              <w:sdtEndPr/>
              <w:sdtContent>
                <w:r w:rsidR="00F756CB">
                  <w:rPr>
                    <w:rFonts w:ascii="MS Gothic" w:eastAsia="MS Gothic" w:hAnsi="MS Gothic" w:cs="Arial" w:hint="eastAsia"/>
                    <w:bCs/>
                    <w:iCs/>
                    <w:lang w:val="en-US"/>
                  </w:rPr>
                  <w:t>☐</w:t>
                </w:r>
              </w:sdtContent>
            </w:sdt>
          </w:p>
        </w:tc>
      </w:tr>
      <w:tr w:rsidR="00F756CB" w:rsidRPr="00D57C02" w14:paraId="07084527" w14:textId="77777777" w:rsidTr="006563C4">
        <w:tblPrEx>
          <w:jc w:val="left"/>
        </w:tblPrEx>
        <w:trPr>
          <w:trHeight w:val="677"/>
        </w:trPr>
        <w:tc>
          <w:tcPr>
            <w:tcW w:w="2405" w:type="dxa"/>
            <w:shd w:val="clear" w:color="auto" w:fill="F2F2F2" w:themeFill="background1" w:themeFillShade="F2"/>
            <w:vAlign w:val="center"/>
          </w:tcPr>
          <w:p w14:paraId="43525C18" w14:textId="77777777" w:rsidR="00F756CB" w:rsidRPr="00D57C02" w:rsidRDefault="00F756CB" w:rsidP="00F756CB">
            <w:pPr>
              <w:tabs>
                <w:tab w:val="left" w:pos="338"/>
              </w:tabs>
              <w:spacing w:after="0" w:line="276" w:lineRule="auto"/>
              <w:contextualSpacing/>
              <w:rPr>
                <w:rFonts w:ascii="Arial" w:eastAsia="Calibri" w:hAnsi="Arial" w:cs="Arial"/>
                <w:sz w:val="20"/>
                <w:szCs w:val="20"/>
                <w:lang w:val="en-US"/>
              </w:rPr>
            </w:pPr>
          </w:p>
        </w:tc>
        <w:tc>
          <w:tcPr>
            <w:tcW w:w="4406" w:type="dxa"/>
          </w:tcPr>
          <w:p w14:paraId="098DA115" w14:textId="25B50317" w:rsidR="0031371C" w:rsidRDefault="00F756CB" w:rsidP="00F756CB">
            <w:pPr>
              <w:spacing w:before="120" w:after="0" w:line="276" w:lineRule="auto"/>
              <w:rPr>
                <w:rFonts w:ascii="Arial" w:hAnsi="Arial" w:cs="Arial"/>
              </w:rPr>
            </w:pPr>
            <w:r>
              <w:rPr>
                <w:rFonts w:ascii="Arial" w:hAnsi="Arial" w:cs="Arial"/>
              </w:rPr>
              <w:t xml:space="preserve">National Guidelines for Cervical Cancer Screening &amp; Prevention Nepal, 2016, (Annex-27) </w:t>
            </w:r>
          </w:p>
          <w:p w14:paraId="49A3ED9E" w14:textId="7959EAB2" w:rsidR="0031371C" w:rsidRDefault="0031371C" w:rsidP="00F756CB">
            <w:pPr>
              <w:spacing w:before="120" w:after="0" w:line="276" w:lineRule="auto"/>
              <w:rPr>
                <w:rFonts w:ascii="Arial" w:hAnsi="Arial" w:cs="Arial"/>
              </w:rPr>
            </w:pPr>
          </w:p>
        </w:tc>
        <w:tc>
          <w:tcPr>
            <w:tcW w:w="1406" w:type="dxa"/>
            <w:vAlign w:val="center"/>
          </w:tcPr>
          <w:p w14:paraId="30DFABA1" w14:textId="1FBDFE2F" w:rsidR="00F756CB" w:rsidRDefault="00F756CB" w:rsidP="00F756CB">
            <w:pPr>
              <w:spacing w:after="0" w:line="276" w:lineRule="auto"/>
              <w:jc w:val="center"/>
              <w:rPr>
                <w:rFonts w:ascii="Arial" w:eastAsia="Calibri" w:hAnsi="Arial" w:cs="Arial"/>
                <w:bCs/>
                <w:iCs/>
                <w:lang w:val="en-US"/>
              </w:rPr>
            </w:pPr>
            <w:r>
              <w:rPr>
                <w:rFonts w:ascii="Arial" w:eastAsia="Calibri" w:hAnsi="Arial" w:cs="Arial"/>
                <w:bCs/>
                <w:iCs/>
                <w:lang w:val="en-US"/>
              </w:rPr>
              <w:t>Page</w:t>
            </w:r>
            <w:r w:rsidR="0031371C">
              <w:rPr>
                <w:rFonts w:ascii="Arial" w:eastAsia="Calibri" w:hAnsi="Arial" w:cs="Arial"/>
                <w:bCs/>
                <w:iCs/>
                <w:lang w:val="en-US"/>
              </w:rPr>
              <w:t>-</w:t>
            </w:r>
            <w:r>
              <w:rPr>
                <w:rFonts w:ascii="Arial" w:eastAsia="Calibri" w:hAnsi="Arial" w:cs="Arial"/>
                <w:bCs/>
                <w:iCs/>
                <w:lang w:val="en-US"/>
              </w:rPr>
              <w:t>14</w:t>
            </w:r>
          </w:p>
        </w:tc>
        <w:tc>
          <w:tcPr>
            <w:tcW w:w="868" w:type="dxa"/>
            <w:gridSpan w:val="2"/>
            <w:vAlign w:val="center"/>
          </w:tcPr>
          <w:p w14:paraId="0FC8022D" w14:textId="61BDFFD4" w:rsidR="00F756CB" w:rsidRDefault="00EB1D26" w:rsidP="00F756CB">
            <w:pPr>
              <w:spacing w:after="0" w:line="240" w:lineRule="auto"/>
              <w:jc w:val="center"/>
              <w:rPr>
                <w:rFonts w:ascii="Arial" w:eastAsia="Calibri" w:hAnsi="Arial" w:cs="Arial"/>
                <w:bCs/>
                <w:iCs/>
                <w:lang w:val="en-US"/>
              </w:rPr>
            </w:pPr>
            <w:sdt>
              <w:sdtPr>
                <w:rPr>
                  <w:rFonts w:ascii="Arial" w:eastAsia="Calibri" w:hAnsi="Arial" w:cs="Arial"/>
                  <w:bCs/>
                  <w:iCs/>
                  <w:lang w:val="en-US"/>
                </w:rPr>
                <w:id w:val="-1575501873"/>
                <w14:checkbox>
                  <w14:checked w14:val="0"/>
                  <w14:checkedState w14:val="2612" w14:font="MS Gothic"/>
                  <w14:uncheckedState w14:val="2610" w14:font="MS Gothic"/>
                </w14:checkbox>
              </w:sdtPr>
              <w:sdtEndPr/>
              <w:sdtContent>
                <w:r w:rsidR="00F756CB">
                  <w:rPr>
                    <w:rFonts w:ascii="MS Gothic" w:eastAsia="MS Gothic" w:hAnsi="MS Gothic" w:cs="Arial" w:hint="eastAsia"/>
                    <w:bCs/>
                    <w:iCs/>
                    <w:lang w:val="en-US"/>
                  </w:rPr>
                  <w:t>☐</w:t>
                </w:r>
              </w:sdtContent>
            </w:sdt>
          </w:p>
        </w:tc>
      </w:tr>
      <w:tr w:rsidR="00F756CB" w:rsidRPr="00D57C02" w14:paraId="5D0B8AD2" w14:textId="77777777" w:rsidTr="006563C4">
        <w:trPr>
          <w:gridAfter w:val="1"/>
          <w:wAfter w:w="18" w:type="dxa"/>
          <w:trHeight w:val="448"/>
          <w:jc w:val="center"/>
        </w:trPr>
        <w:tc>
          <w:tcPr>
            <w:tcW w:w="9067" w:type="dxa"/>
            <w:gridSpan w:val="4"/>
            <w:shd w:val="clear" w:color="auto" w:fill="C6D9F1"/>
            <w:vAlign w:val="center"/>
          </w:tcPr>
          <w:p w14:paraId="5D0B8AD1" w14:textId="36A65880" w:rsidR="00F756CB" w:rsidRPr="00D57C02" w:rsidRDefault="00F756CB" w:rsidP="00F756CB">
            <w:pPr>
              <w:spacing w:after="0" w:line="276" w:lineRule="auto"/>
              <w:rPr>
                <w:rFonts w:ascii="Arial" w:eastAsia="Calibri" w:hAnsi="Arial" w:cs="Arial"/>
                <w:sz w:val="20"/>
                <w:szCs w:val="20"/>
                <w:lang w:val="en-US"/>
              </w:rPr>
            </w:pPr>
            <w:r w:rsidRPr="00D57C02">
              <w:rPr>
                <w:rFonts w:ascii="Arial" w:hAnsi="Arial" w:cs="Arial"/>
                <w:sz w:val="20"/>
                <w:szCs w:val="20"/>
              </w:rPr>
              <w:br w:type="page"/>
            </w:r>
            <w:r w:rsidRPr="00D57C02">
              <w:rPr>
                <w:rFonts w:ascii="Arial" w:eastAsia="Calibri" w:hAnsi="Arial" w:cs="Arial"/>
                <w:b/>
                <w:bCs/>
                <w:sz w:val="20"/>
                <w:szCs w:val="20"/>
                <w:lang w:val="en-US"/>
              </w:rPr>
              <w:t>1</w:t>
            </w:r>
            <w:r w:rsidRPr="00D57C02">
              <w:rPr>
                <w:rFonts w:ascii="Arial" w:eastAsia="Calibri" w:hAnsi="Arial" w:cs="Arial"/>
                <w:b/>
                <w:bCs/>
                <w:sz w:val="20"/>
                <w:szCs w:val="20"/>
                <w:shd w:val="clear" w:color="auto" w:fill="C6D9F1"/>
                <w:lang w:val="en-US"/>
              </w:rPr>
              <w:t>.2 Summary of country context</w:t>
            </w:r>
          </w:p>
        </w:tc>
      </w:tr>
      <w:tr w:rsidR="00F756CB" w:rsidRPr="00D57C02" w14:paraId="5D0B8AD8" w14:textId="77777777" w:rsidTr="006563C4">
        <w:trPr>
          <w:gridAfter w:val="1"/>
          <w:wAfter w:w="18" w:type="dxa"/>
          <w:trHeight w:val="1790"/>
          <w:jc w:val="center"/>
        </w:trPr>
        <w:tc>
          <w:tcPr>
            <w:tcW w:w="9067" w:type="dxa"/>
            <w:gridSpan w:val="4"/>
            <w:shd w:val="clear" w:color="auto" w:fill="F2F2F2" w:themeFill="background1" w:themeFillShade="F2"/>
            <w:vAlign w:val="center"/>
          </w:tcPr>
          <w:p w14:paraId="5BACB665" w14:textId="0388F25E" w:rsidR="00F756CB" w:rsidRPr="00D57C02" w:rsidRDefault="00F756CB" w:rsidP="00F756CB">
            <w:p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lastRenderedPageBreak/>
              <w:t>To complement the reference documents listed in Section 1.1 above, provide a summary of the critical elements within the context that informed the development of the funding request. The brief description of the context should cover disease-specific and RSSH components, as appropriate, as well as human rights and gender-related considerations.</w:t>
            </w:r>
          </w:p>
          <w:p w14:paraId="5D0B8AD7" w14:textId="49EBE5BF" w:rsidR="00F756CB" w:rsidRPr="00D57C02" w:rsidRDefault="00F756CB" w:rsidP="00F756CB">
            <w:pPr>
              <w:spacing w:after="0"/>
              <w:rPr>
                <w:rFonts w:ascii="Arial" w:eastAsia="Calibri" w:hAnsi="Arial" w:cs="Arial"/>
                <w:sz w:val="20"/>
                <w:szCs w:val="20"/>
                <w:lang w:val="fr-CH"/>
              </w:rPr>
            </w:pPr>
            <w:r w:rsidRPr="00D57C02">
              <w:rPr>
                <w:rFonts w:ascii="Arial" w:eastAsia="Calibri" w:hAnsi="Arial" w:cs="Arial"/>
                <w:b/>
                <w:bCs/>
                <w:sz w:val="20"/>
                <w:szCs w:val="20"/>
                <w:lang w:val="en-US"/>
              </w:rPr>
              <w:t>(maximum 2 pages per component)</w:t>
            </w:r>
          </w:p>
        </w:tc>
      </w:tr>
    </w:tbl>
    <w:p w14:paraId="248F4C15" w14:textId="4BED84E9" w:rsidR="00882413" w:rsidRPr="00D57C02" w:rsidRDefault="00B20DC3" w:rsidP="0007237B">
      <w:pPr>
        <w:spacing w:line="240" w:lineRule="auto"/>
        <w:jc w:val="both"/>
        <w:rPr>
          <w:rFonts w:ascii="Arial" w:hAnsi="Arial" w:cs="Arial"/>
        </w:rPr>
      </w:pPr>
      <w:r w:rsidRPr="00D57C02">
        <w:rPr>
          <w:rFonts w:ascii="Arial" w:hAnsi="Arial" w:cs="Arial"/>
        </w:rPr>
        <w:t xml:space="preserve">Nepal is a low-income </w:t>
      </w:r>
      <w:r w:rsidR="002E5839" w:rsidRPr="00D57C02">
        <w:rPr>
          <w:rFonts w:ascii="Arial" w:hAnsi="Arial" w:cs="Arial"/>
        </w:rPr>
        <w:t xml:space="preserve">sovereign </w:t>
      </w:r>
      <w:r w:rsidRPr="00D57C02">
        <w:rPr>
          <w:rFonts w:ascii="Arial" w:hAnsi="Arial" w:cs="Arial"/>
        </w:rPr>
        <w:t>country</w:t>
      </w:r>
      <w:r w:rsidR="0022250C" w:rsidRPr="00D57C02">
        <w:rPr>
          <w:rFonts w:ascii="Arial" w:hAnsi="Arial" w:cs="Arial"/>
        </w:rPr>
        <w:t>,</w:t>
      </w:r>
      <w:r w:rsidRPr="00D57C02">
        <w:rPr>
          <w:rFonts w:ascii="Arial" w:hAnsi="Arial" w:cs="Arial"/>
        </w:rPr>
        <w:t xml:space="preserve"> </w:t>
      </w:r>
      <w:r w:rsidR="00D15A41" w:rsidRPr="00D57C02">
        <w:rPr>
          <w:rFonts w:ascii="Arial" w:hAnsi="Arial" w:cs="Arial"/>
        </w:rPr>
        <w:t xml:space="preserve">located </w:t>
      </w:r>
      <w:r w:rsidRPr="00D57C02">
        <w:rPr>
          <w:rFonts w:ascii="Arial" w:hAnsi="Arial" w:cs="Arial"/>
        </w:rPr>
        <w:t>between India and China, with a population of 2</w:t>
      </w:r>
      <w:r w:rsidR="003C279A" w:rsidRPr="00D57C02">
        <w:rPr>
          <w:rFonts w:ascii="Arial" w:hAnsi="Arial" w:cs="Arial"/>
        </w:rPr>
        <w:t>8</w:t>
      </w:r>
      <w:r w:rsidRPr="00D57C02">
        <w:rPr>
          <w:rFonts w:ascii="Arial" w:hAnsi="Arial" w:cs="Arial"/>
        </w:rPr>
        <w:t>.4 million</w:t>
      </w:r>
      <w:r w:rsidR="003C279A" w:rsidRPr="00D57C02">
        <w:rPr>
          <w:rStyle w:val="EndnoteReference"/>
          <w:rFonts w:ascii="Arial" w:hAnsi="Arial" w:cs="Arial"/>
        </w:rPr>
        <w:endnoteReference w:id="2"/>
      </w:r>
      <w:r w:rsidRPr="00D57C02">
        <w:rPr>
          <w:rFonts w:ascii="Arial" w:hAnsi="Arial" w:cs="Arial"/>
        </w:rPr>
        <w:t xml:space="preserve"> that is scattered over </w:t>
      </w:r>
      <w:r w:rsidRPr="00D57C02">
        <w:rPr>
          <w:rFonts w:ascii="Arial" w:hAnsi="Arial" w:cs="Arial"/>
          <w:shd w:val="clear" w:color="auto" w:fill="FFFFFF"/>
        </w:rPr>
        <w:t>147,181km</w:t>
      </w:r>
      <w:r w:rsidRPr="00D57C02">
        <w:rPr>
          <w:rFonts w:ascii="Arial" w:hAnsi="Arial" w:cs="Arial"/>
          <w:shd w:val="clear" w:color="auto" w:fill="FFFFFF"/>
          <w:vertAlign w:val="superscript"/>
        </w:rPr>
        <w:t>2</w:t>
      </w:r>
      <w:r w:rsidRPr="00D57C02">
        <w:rPr>
          <w:rFonts w:ascii="Arial" w:hAnsi="Arial" w:cs="Arial"/>
          <w:shd w:val="clear" w:color="auto" w:fill="FFFFFF"/>
        </w:rPr>
        <w:t xml:space="preserve">, </w:t>
      </w:r>
      <w:r w:rsidRPr="00D57C02">
        <w:rPr>
          <w:rFonts w:ascii="Arial" w:hAnsi="Arial" w:cs="Arial"/>
        </w:rPr>
        <w:t>across three geographically diverse regions</w:t>
      </w:r>
      <w:r w:rsidR="00D3645F" w:rsidRPr="00D57C02">
        <w:rPr>
          <w:rFonts w:ascii="Arial" w:hAnsi="Arial" w:cs="Arial"/>
        </w:rPr>
        <w:t xml:space="preserve">: </w:t>
      </w:r>
      <w:r w:rsidRPr="00D57C02">
        <w:rPr>
          <w:rFonts w:ascii="Arial" w:hAnsi="Arial" w:cs="Arial"/>
        </w:rPr>
        <w:t xml:space="preserve">mountains, hills and the </w:t>
      </w:r>
      <w:proofErr w:type="spellStart"/>
      <w:r w:rsidRPr="00E22708">
        <w:rPr>
          <w:rFonts w:ascii="Arial" w:hAnsi="Arial" w:cs="Arial"/>
          <w:i/>
        </w:rPr>
        <w:t>terai</w:t>
      </w:r>
      <w:proofErr w:type="spellEnd"/>
      <w:r w:rsidR="00A520C9" w:rsidRPr="00D57C02">
        <w:rPr>
          <w:rFonts w:ascii="Arial" w:hAnsi="Arial" w:cs="Arial"/>
        </w:rPr>
        <w:t xml:space="preserve"> </w:t>
      </w:r>
      <w:r w:rsidR="00D3645F" w:rsidRPr="00D57C02">
        <w:rPr>
          <w:rFonts w:ascii="Arial" w:hAnsi="Arial" w:cs="Arial"/>
        </w:rPr>
        <w:t>(</w:t>
      </w:r>
      <w:r w:rsidR="00A520C9" w:rsidRPr="00D57C02">
        <w:rPr>
          <w:rFonts w:ascii="Arial" w:hAnsi="Arial" w:cs="Arial"/>
        </w:rPr>
        <w:t>plains</w:t>
      </w:r>
      <w:r w:rsidRPr="00D57C02">
        <w:rPr>
          <w:rFonts w:ascii="Arial" w:hAnsi="Arial" w:cs="Arial"/>
        </w:rPr>
        <w:t>)</w:t>
      </w:r>
      <w:r w:rsidR="00D20BF6" w:rsidRPr="00D57C02">
        <w:rPr>
          <w:rFonts w:ascii="Arial" w:hAnsi="Arial" w:cs="Arial"/>
        </w:rPr>
        <w:t>.</w:t>
      </w:r>
      <w:r w:rsidRPr="00D57C02">
        <w:rPr>
          <w:rFonts w:ascii="Arial" w:hAnsi="Arial" w:cs="Arial"/>
        </w:rPr>
        <w:t xml:space="preserve"> </w:t>
      </w:r>
      <w:r w:rsidR="00F371A9" w:rsidRPr="00D57C02">
        <w:rPr>
          <w:rFonts w:ascii="Arial" w:hAnsi="Arial" w:cs="Arial"/>
        </w:rPr>
        <w:t xml:space="preserve">The complex topographical terrain widens the equity gap in availability, access and utilization of health services </w:t>
      </w:r>
      <w:r w:rsidR="00F371A9" w:rsidRPr="0050364E">
        <w:rPr>
          <w:rFonts w:ascii="Arial" w:hAnsi="Arial" w:cs="Arial"/>
        </w:rPr>
        <w:t>(</w:t>
      </w:r>
      <w:r w:rsidR="00F371A9" w:rsidRPr="0050364E">
        <w:rPr>
          <w:rFonts w:ascii="Arial" w:hAnsi="Arial" w:cs="Arial"/>
          <w:i/>
        </w:rPr>
        <w:t>Annex-1, p</w:t>
      </w:r>
      <w:r w:rsidR="00CF3E03">
        <w:rPr>
          <w:rFonts w:ascii="Arial" w:hAnsi="Arial" w:cs="Arial"/>
          <w:i/>
        </w:rPr>
        <w:t>6-</w:t>
      </w:r>
      <w:r w:rsidR="00F371A9" w:rsidRPr="0050364E">
        <w:rPr>
          <w:rFonts w:ascii="Arial" w:hAnsi="Arial" w:cs="Arial"/>
          <w:i/>
        </w:rPr>
        <w:t>7</w:t>
      </w:r>
      <w:r w:rsidR="00F371A9" w:rsidRPr="0050364E">
        <w:rPr>
          <w:rFonts w:ascii="Arial" w:hAnsi="Arial" w:cs="Arial"/>
        </w:rPr>
        <w:t>)</w:t>
      </w:r>
      <w:r w:rsidR="00F371A9" w:rsidRPr="00D57C02">
        <w:rPr>
          <w:rFonts w:ascii="Arial" w:hAnsi="Arial" w:cs="Arial"/>
        </w:rPr>
        <w:t xml:space="preserve">. </w:t>
      </w:r>
      <w:r w:rsidR="008743BB" w:rsidRPr="00D57C02">
        <w:rPr>
          <w:rFonts w:ascii="Arial" w:hAnsi="Arial" w:cs="Arial"/>
        </w:rPr>
        <w:t xml:space="preserve">The </w:t>
      </w:r>
      <w:proofErr w:type="spellStart"/>
      <w:r w:rsidR="008743BB" w:rsidRPr="00D57C02">
        <w:rPr>
          <w:rFonts w:ascii="Arial" w:hAnsi="Arial" w:cs="Arial"/>
        </w:rPr>
        <w:t>terai</w:t>
      </w:r>
      <w:proofErr w:type="spellEnd"/>
      <w:r w:rsidR="008743BB" w:rsidRPr="00D57C02">
        <w:rPr>
          <w:rFonts w:ascii="Arial" w:hAnsi="Arial" w:cs="Arial"/>
        </w:rPr>
        <w:t xml:space="preserve"> occupies about 23% of the country but is densely populated (48%); the hill</w:t>
      </w:r>
      <w:r w:rsidR="00F779A5" w:rsidRPr="00D57C02">
        <w:rPr>
          <w:rFonts w:ascii="Arial" w:hAnsi="Arial" w:cs="Arial"/>
        </w:rPr>
        <w:t>s</w:t>
      </w:r>
      <w:r w:rsidR="008743BB" w:rsidRPr="00D57C02">
        <w:rPr>
          <w:rFonts w:ascii="Arial" w:hAnsi="Arial" w:cs="Arial"/>
        </w:rPr>
        <w:t xml:space="preserve"> </w:t>
      </w:r>
      <w:r w:rsidR="00F779A5" w:rsidRPr="00D57C02">
        <w:rPr>
          <w:rFonts w:ascii="Arial" w:hAnsi="Arial" w:cs="Arial"/>
        </w:rPr>
        <w:t>cover</w:t>
      </w:r>
      <w:r w:rsidR="008743BB" w:rsidRPr="00D57C02">
        <w:rPr>
          <w:rFonts w:ascii="Arial" w:hAnsi="Arial" w:cs="Arial"/>
        </w:rPr>
        <w:t xml:space="preserve"> 42% </w:t>
      </w:r>
      <w:r w:rsidR="00F779A5" w:rsidRPr="00D57C02">
        <w:rPr>
          <w:rFonts w:ascii="Arial" w:hAnsi="Arial" w:cs="Arial"/>
        </w:rPr>
        <w:t>with</w:t>
      </w:r>
      <w:r w:rsidR="008743BB" w:rsidRPr="00D57C02">
        <w:rPr>
          <w:rFonts w:ascii="Arial" w:hAnsi="Arial" w:cs="Arial"/>
        </w:rPr>
        <w:t xml:space="preserve"> 44% of the population and the mountain zone accounts for 35%, </w:t>
      </w:r>
      <w:r w:rsidR="00F779A5" w:rsidRPr="00D57C02">
        <w:rPr>
          <w:rFonts w:ascii="Arial" w:hAnsi="Arial" w:cs="Arial"/>
        </w:rPr>
        <w:t xml:space="preserve">with about 8% of </w:t>
      </w:r>
      <w:r w:rsidR="004E7CB3">
        <w:rPr>
          <w:rFonts w:ascii="Arial" w:hAnsi="Arial" w:cs="Arial"/>
        </w:rPr>
        <w:t xml:space="preserve">the </w:t>
      </w:r>
      <w:r w:rsidR="008743BB" w:rsidRPr="00D57C02">
        <w:rPr>
          <w:rFonts w:ascii="Arial" w:hAnsi="Arial" w:cs="Arial"/>
        </w:rPr>
        <w:t xml:space="preserve">population </w:t>
      </w:r>
      <w:r w:rsidR="008743BB" w:rsidRPr="0050364E">
        <w:rPr>
          <w:rFonts w:ascii="Arial" w:hAnsi="Arial" w:cs="Arial"/>
        </w:rPr>
        <w:t>(</w:t>
      </w:r>
      <w:r w:rsidR="0085019B" w:rsidRPr="0050364E">
        <w:rPr>
          <w:rFonts w:ascii="Arial" w:hAnsi="Arial" w:cs="Arial"/>
          <w:i/>
        </w:rPr>
        <w:t>Annex-2</w:t>
      </w:r>
      <w:r w:rsidR="008743BB" w:rsidRPr="0050364E">
        <w:rPr>
          <w:rFonts w:ascii="Arial" w:hAnsi="Arial" w:cs="Arial"/>
          <w:i/>
        </w:rPr>
        <w:t>,</w:t>
      </w:r>
      <w:r w:rsidR="00607C5E">
        <w:rPr>
          <w:rFonts w:ascii="Arial" w:hAnsi="Arial" w:cs="Arial"/>
          <w:i/>
        </w:rPr>
        <w:t xml:space="preserve"> </w:t>
      </w:r>
      <w:r w:rsidR="00DA2BE5">
        <w:rPr>
          <w:rFonts w:ascii="Arial" w:hAnsi="Arial" w:cs="Arial"/>
          <w:i/>
        </w:rPr>
        <w:t>sec</w:t>
      </w:r>
      <w:r w:rsidR="003033EA">
        <w:rPr>
          <w:rFonts w:ascii="Arial" w:hAnsi="Arial" w:cs="Arial"/>
          <w:i/>
        </w:rPr>
        <w:t>tion</w:t>
      </w:r>
      <w:r w:rsidR="00B22F60" w:rsidRPr="0050364E">
        <w:rPr>
          <w:rFonts w:ascii="Arial" w:hAnsi="Arial" w:cs="Arial"/>
          <w:i/>
        </w:rPr>
        <w:t>1</w:t>
      </w:r>
      <w:r w:rsidR="008743BB" w:rsidRPr="0050364E">
        <w:rPr>
          <w:rFonts w:ascii="Arial" w:hAnsi="Arial" w:cs="Arial"/>
        </w:rPr>
        <w:t>).</w:t>
      </w:r>
      <w:r w:rsidR="008743BB" w:rsidRPr="00D57C02">
        <w:rPr>
          <w:rFonts w:ascii="Arial" w:hAnsi="Arial" w:cs="Arial"/>
        </w:rPr>
        <w:t xml:space="preserve"> </w:t>
      </w:r>
      <w:r w:rsidR="00326D64">
        <w:rPr>
          <w:rFonts w:ascii="Arial" w:hAnsi="Arial" w:cs="Arial"/>
        </w:rPr>
        <w:t>Nepal</w:t>
      </w:r>
      <w:r w:rsidR="00607C5E">
        <w:rPr>
          <w:rFonts w:ascii="Arial" w:hAnsi="Arial" w:cs="Arial"/>
        </w:rPr>
        <w:t xml:space="preserve"> </w:t>
      </w:r>
      <w:r w:rsidR="005503A8">
        <w:rPr>
          <w:rFonts w:ascii="Arial" w:hAnsi="Arial" w:cs="Arial"/>
        </w:rPr>
        <w:t>under</w:t>
      </w:r>
      <w:r w:rsidR="00607C5E">
        <w:rPr>
          <w:rFonts w:ascii="Arial" w:hAnsi="Arial" w:cs="Arial"/>
        </w:rPr>
        <w:t xml:space="preserve"> a federal </w:t>
      </w:r>
      <w:proofErr w:type="gramStart"/>
      <w:r w:rsidR="00607C5E">
        <w:rPr>
          <w:rFonts w:ascii="Arial" w:hAnsi="Arial" w:cs="Arial"/>
        </w:rPr>
        <w:t>structure,</w:t>
      </w:r>
      <w:proofErr w:type="gramEnd"/>
      <w:r w:rsidR="00764BC7">
        <w:rPr>
          <w:rFonts w:ascii="Arial" w:hAnsi="Arial" w:cs="Arial"/>
        </w:rPr>
        <w:t xml:space="preserve"> is divided into 7 provinces</w:t>
      </w:r>
      <w:r w:rsidR="00DA2BE5">
        <w:rPr>
          <w:rFonts w:ascii="Arial" w:hAnsi="Arial" w:cs="Arial"/>
        </w:rPr>
        <w:t xml:space="preserve"> (Fig</w:t>
      </w:r>
      <w:r w:rsidR="003033EA">
        <w:rPr>
          <w:rFonts w:ascii="Arial" w:hAnsi="Arial" w:cs="Arial"/>
        </w:rPr>
        <w:t>ure</w:t>
      </w:r>
      <w:r w:rsidR="00CF27D8">
        <w:rPr>
          <w:rFonts w:ascii="Arial" w:hAnsi="Arial" w:cs="Arial"/>
        </w:rPr>
        <w:t>-1)</w:t>
      </w:r>
      <w:r w:rsidR="00764BC7">
        <w:rPr>
          <w:rFonts w:ascii="Arial" w:hAnsi="Arial" w:cs="Arial"/>
        </w:rPr>
        <w:t>.</w:t>
      </w:r>
    </w:p>
    <w:p w14:paraId="6D19DAE7" w14:textId="553DA768" w:rsidR="00C60A29" w:rsidRPr="00E94946" w:rsidRDefault="00DE6CA3" w:rsidP="00C60A29">
      <w:pPr>
        <w:spacing w:line="240" w:lineRule="auto"/>
        <w:jc w:val="center"/>
        <w:rPr>
          <w:rFonts w:ascii="Arial" w:hAnsi="Arial" w:cs="Arial"/>
          <w:b/>
          <w:sz w:val="20"/>
          <w:szCs w:val="20"/>
        </w:rPr>
      </w:pPr>
      <w:r w:rsidRPr="00E94946">
        <w:rPr>
          <w:b/>
          <w:noProof/>
          <w:lang w:eastAsia="en-GB"/>
        </w:rPr>
        <w:drawing>
          <wp:anchor distT="0" distB="0" distL="114300" distR="114300" simplePos="0" relativeHeight="251683842" behindDoc="0" locked="0" layoutInCell="1" allowOverlap="1" wp14:anchorId="3F333A8B" wp14:editId="4F1C5A57">
            <wp:simplePos x="0" y="0"/>
            <wp:positionH relativeFrom="column">
              <wp:posOffset>775970</wp:posOffset>
            </wp:positionH>
            <wp:positionV relativeFrom="paragraph">
              <wp:posOffset>422910</wp:posOffset>
            </wp:positionV>
            <wp:extent cx="4185285" cy="2246630"/>
            <wp:effectExtent l="19050" t="19050" r="24765" b="20320"/>
            <wp:wrapSquare wrapText="bothSides"/>
            <wp:docPr id="5" name="Picture 5" descr="C:\Users\Pratap\AppData\Local\Microsoft\Windows\INetCache\Content.Word\Federal States of Nepal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ap\AppData\Local\Microsoft\Windows\INetCache\Content.Word\Federal States of Nepal_2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5285" cy="2246630"/>
                    </a:xfrm>
                    <a:prstGeom prst="rect">
                      <a:avLst/>
                    </a:prstGeom>
                    <a:noFill/>
                    <a:ln w="9525">
                      <a:solidFill>
                        <a:schemeClr val="tx1"/>
                      </a:solidFill>
                    </a:ln>
                  </pic:spPr>
                </pic:pic>
              </a:graphicData>
            </a:graphic>
          </wp:anchor>
        </w:drawing>
      </w:r>
      <w:r w:rsidR="00C60A29" w:rsidRPr="00E94946">
        <w:rPr>
          <w:rFonts w:ascii="Arial" w:hAnsi="Arial" w:cs="Arial"/>
          <w:b/>
          <w:sz w:val="20"/>
          <w:szCs w:val="20"/>
        </w:rPr>
        <w:t xml:space="preserve">Figure-1: Map of the 7 Federal </w:t>
      </w:r>
      <w:r w:rsidR="00764BC7" w:rsidRPr="00E94946">
        <w:rPr>
          <w:rFonts w:ascii="Arial" w:hAnsi="Arial" w:cs="Arial"/>
          <w:b/>
          <w:sz w:val="20"/>
          <w:szCs w:val="20"/>
        </w:rPr>
        <w:t>Provinces</w:t>
      </w:r>
      <w:r w:rsidR="00C60A29" w:rsidRPr="00E94946">
        <w:rPr>
          <w:rFonts w:ascii="Arial" w:hAnsi="Arial" w:cs="Arial"/>
          <w:b/>
          <w:sz w:val="20"/>
          <w:szCs w:val="20"/>
        </w:rPr>
        <w:t xml:space="preserve"> based on the Constitution of Nepal, 2015</w:t>
      </w:r>
    </w:p>
    <w:p w14:paraId="0DC2A88E" w14:textId="77777777" w:rsidR="00E30362" w:rsidRDefault="00E30362" w:rsidP="00DE6CA3">
      <w:pPr>
        <w:spacing w:line="240" w:lineRule="auto"/>
        <w:jc w:val="both"/>
        <w:rPr>
          <w:rFonts w:ascii="Arial" w:hAnsi="Arial" w:cs="Arial"/>
        </w:rPr>
      </w:pPr>
    </w:p>
    <w:p w14:paraId="7FC9071B" w14:textId="77777777" w:rsidR="00E30362" w:rsidRDefault="00E30362" w:rsidP="00DE6CA3">
      <w:pPr>
        <w:spacing w:line="240" w:lineRule="auto"/>
        <w:jc w:val="both"/>
        <w:rPr>
          <w:rFonts w:ascii="Arial" w:hAnsi="Arial" w:cs="Arial"/>
        </w:rPr>
      </w:pPr>
    </w:p>
    <w:p w14:paraId="5E228780" w14:textId="77777777" w:rsidR="00E30362" w:rsidRDefault="00E30362" w:rsidP="00DE6CA3">
      <w:pPr>
        <w:spacing w:line="240" w:lineRule="auto"/>
        <w:jc w:val="both"/>
        <w:rPr>
          <w:rFonts w:ascii="Arial" w:hAnsi="Arial" w:cs="Arial"/>
        </w:rPr>
      </w:pPr>
    </w:p>
    <w:p w14:paraId="6DB51A88" w14:textId="77777777" w:rsidR="00E30362" w:rsidRDefault="00E30362" w:rsidP="00DE6CA3">
      <w:pPr>
        <w:spacing w:line="240" w:lineRule="auto"/>
        <w:jc w:val="both"/>
        <w:rPr>
          <w:rFonts w:ascii="Arial" w:hAnsi="Arial" w:cs="Arial"/>
        </w:rPr>
      </w:pPr>
    </w:p>
    <w:p w14:paraId="57C7B5DC" w14:textId="77777777" w:rsidR="00E30362" w:rsidRDefault="00E30362" w:rsidP="00DE6CA3">
      <w:pPr>
        <w:spacing w:line="240" w:lineRule="auto"/>
        <w:jc w:val="both"/>
        <w:rPr>
          <w:rFonts w:ascii="Arial" w:hAnsi="Arial" w:cs="Arial"/>
        </w:rPr>
      </w:pPr>
    </w:p>
    <w:p w14:paraId="2398ACD7" w14:textId="77777777" w:rsidR="00E30362" w:rsidRDefault="00E30362" w:rsidP="00DE6CA3">
      <w:pPr>
        <w:spacing w:line="240" w:lineRule="auto"/>
        <w:jc w:val="both"/>
        <w:rPr>
          <w:rFonts w:ascii="Arial" w:hAnsi="Arial" w:cs="Arial"/>
        </w:rPr>
      </w:pPr>
    </w:p>
    <w:p w14:paraId="332B6782" w14:textId="77777777" w:rsidR="00E30362" w:rsidRDefault="00E30362" w:rsidP="00DE6CA3">
      <w:pPr>
        <w:spacing w:line="240" w:lineRule="auto"/>
        <w:jc w:val="both"/>
        <w:rPr>
          <w:rFonts w:ascii="Arial" w:hAnsi="Arial" w:cs="Arial"/>
        </w:rPr>
      </w:pPr>
    </w:p>
    <w:p w14:paraId="232EB0EF" w14:textId="77777777" w:rsidR="00E30362" w:rsidRDefault="00E30362" w:rsidP="00DE6CA3">
      <w:pPr>
        <w:spacing w:line="240" w:lineRule="auto"/>
        <w:jc w:val="both"/>
        <w:rPr>
          <w:rFonts w:ascii="Arial" w:hAnsi="Arial" w:cs="Arial"/>
        </w:rPr>
      </w:pPr>
    </w:p>
    <w:p w14:paraId="514677F9" w14:textId="77777777" w:rsidR="00E30362" w:rsidRDefault="00E30362" w:rsidP="00DE6CA3">
      <w:pPr>
        <w:spacing w:line="240" w:lineRule="auto"/>
        <w:jc w:val="both"/>
        <w:rPr>
          <w:rFonts w:ascii="Arial" w:hAnsi="Arial" w:cs="Arial"/>
        </w:rPr>
      </w:pPr>
    </w:p>
    <w:p w14:paraId="1775594F" w14:textId="77777777" w:rsidR="00E30362" w:rsidRDefault="00E30362" w:rsidP="00DE6CA3">
      <w:pPr>
        <w:spacing w:line="240" w:lineRule="auto"/>
        <w:jc w:val="both"/>
        <w:rPr>
          <w:rFonts w:ascii="Arial" w:hAnsi="Arial" w:cs="Arial"/>
        </w:rPr>
      </w:pPr>
    </w:p>
    <w:p w14:paraId="303153F8" w14:textId="0BEFFAFA" w:rsidR="003A30A8" w:rsidRPr="00D57C02" w:rsidRDefault="006245E2" w:rsidP="00DE6CA3">
      <w:pPr>
        <w:spacing w:line="240" w:lineRule="auto"/>
        <w:jc w:val="both"/>
        <w:rPr>
          <w:rFonts w:ascii="Arial" w:hAnsi="Arial" w:cs="Arial"/>
        </w:rPr>
      </w:pPr>
      <w:r>
        <w:rPr>
          <w:rFonts w:ascii="Arial" w:hAnsi="Arial" w:cs="Arial"/>
        </w:rPr>
        <w:t>The country</w:t>
      </w:r>
      <w:r w:rsidR="00551FF0" w:rsidRPr="00D57C02">
        <w:rPr>
          <w:rFonts w:ascii="Arial" w:hAnsi="Arial" w:cs="Arial"/>
        </w:rPr>
        <w:t xml:space="preserve"> is highly susceptible to climate change risks and ranks 11th </w:t>
      </w:r>
      <w:r w:rsidR="0050364E">
        <w:rPr>
          <w:rFonts w:ascii="Arial" w:hAnsi="Arial" w:cs="Arial"/>
        </w:rPr>
        <w:t>globally</w:t>
      </w:r>
      <w:r>
        <w:rPr>
          <w:rFonts w:ascii="Arial" w:hAnsi="Arial" w:cs="Arial"/>
        </w:rPr>
        <w:t>,</w:t>
      </w:r>
      <w:r w:rsidR="00551FF0" w:rsidRPr="00D57C02">
        <w:rPr>
          <w:rFonts w:ascii="Arial" w:hAnsi="Arial" w:cs="Arial"/>
        </w:rPr>
        <w:t xml:space="preserve"> in terms of vulnerability to earthquakes. </w:t>
      </w:r>
      <w:r w:rsidR="00A129EA" w:rsidRPr="00D57C02">
        <w:rPr>
          <w:rFonts w:ascii="Arial" w:hAnsi="Arial" w:cs="Arial"/>
        </w:rPr>
        <w:t>T</w:t>
      </w:r>
      <w:r w:rsidR="000E63E5" w:rsidRPr="00D57C02">
        <w:rPr>
          <w:rFonts w:ascii="Arial" w:hAnsi="Arial" w:cs="Arial"/>
        </w:rPr>
        <w:t xml:space="preserve">he economic growth rate which had slowed down due to the devastating earthquakes in </w:t>
      </w:r>
      <w:proofErr w:type="gramStart"/>
      <w:r w:rsidR="000E63E5" w:rsidRPr="00D57C02">
        <w:rPr>
          <w:rFonts w:ascii="Arial" w:hAnsi="Arial" w:cs="Arial"/>
        </w:rPr>
        <w:t>2015,</w:t>
      </w:r>
      <w:proofErr w:type="gramEnd"/>
      <w:r w:rsidR="000E63E5" w:rsidRPr="00D57C02">
        <w:rPr>
          <w:rFonts w:ascii="Arial" w:hAnsi="Arial" w:cs="Arial"/>
        </w:rPr>
        <w:t xml:space="preserve"> is expected to revive to 5.6% in 2017 and continue into 2018 at 5.4%</w:t>
      </w:r>
      <w:r w:rsidR="00326415" w:rsidRPr="00D57C02">
        <w:rPr>
          <w:rStyle w:val="EndnoteReference"/>
          <w:rFonts w:ascii="Arial" w:hAnsi="Arial" w:cs="Arial"/>
        </w:rPr>
        <w:endnoteReference w:id="3"/>
      </w:r>
      <w:r w:rsidR="000E63E5" w:rsidRPr="00D57C02">
        <w:rPr>
          <w:rFonts w:ascii="Arial" w:hAnsi="Arial" w:cs="Arial"/>
        </w:rPr>
        <w:t xml:space="preserve">. </w:t>
      </w:r>
      <w:r w:rsidR="00551FF0" w:rsidRPr="00D57C02">
        <w:rPr>
          <w:rFonts w:ascii="Arial" w:hAnsi="Arial" w:cs="Arial"/>
        </w:rPr>
        <w:t>In 2016, t</w:t>
      </w:r>
      <w:r w:rsidR="00011F53" w:rsidRPr="00D57C02">
        <w:rPr>
          <w:rFonts w:ascii="Arial" w:hAnsi="Arial" w:cs="Arial"/>
        </w:rPr>
        <w:t xml:space="preserve">he gross domestic product </w:t>
      </w:r>
      <w:r w:rsidR="00583392">
        <w:rPr>
          <w:rFonts w:ascii="Arial" w:hAnsi="Arial" w:cs="Arial"/>
        </w:rPr>
        <w:t xml:space="preserve">(GDP) </w:t>
      </w:r>
      <w:r w:rsidR="00551FF0" w:rsidRPr="00D57C02">
        <w:rPr>
          <w:rFonts w:ascii="Arial" w:hAnsi="Arial" w:cs="Arial"/>
        </w:rPr>
        <w:t>per capita was US</w:t>
      </w:r>
      <w:r w:rsidR="00816347">
        <w:rPr>
          <w:rFonts w:ascii="Arial" w:hAnsi="Arial" w:cs="Arial"/>
        </w:rPr>
        <w:t>D</w:t>
      </w:r>
      <w:r w:rsidR="00551FF0" w:rsidRPr="00D57C02">
        <w:rPr>
          <w:rFonts w:ascii="Arial" w:hAnsi="Arial" w:cs="Arial"/>
        </w:rPr>
        <w:t xml:space="preserve"> 742. </w:t>
      </w:r>
      <w:r w:rsidR="003A30A8" w:rsidRPr="00D57C02">
        <w:rPr>
          <w:rFonts w:ascii="Arial" w:hAnsi="Arial" w:cs="Arial"/>
        </w:rPr>
        <w:t xml:space="preserve">The population below the poverty line </w:t>
      </w:r>
      <w:r w:rsidR="00583392">
        <w:rPr>
          <w:rFonts w:ascii="Arial" w:hAnsi="Arial" w:cs="Arial"/>
        </w:rPr>
        <w:t>wa</w:t>
      </w:r>
      <w:r w:rsidR="003A30A8" w:rsidRPr="00D57C02">
        <w:rPr>
          <w:rFonts w:ascii="Arial" w:hAnsi="Arial" w:cs="Arial"/>
        </w:rPr>
        <w:t>s 15% in urban areas</w:t>
      </w:r>
      <w:r w:rsidR="00011F53" w:rsidRPr="00D57C02">
        <w:rPr>
          <w:rFonts w:ascii="Arial" w:hAnsi="Arial" w:cs="Arial"/>
        </w:rPr>
        <w:t xml:space="preserve"> and 27% in</w:t>
      </w:r>
      <w:r w:rsidR="003A30A8" w:rsidRPr="00D57C02">
        <w:rPr>
          <w:rFonts w:ascii="Arial" w:hAnsi="Arial" w:cs="Arial"/>
        </w:rPr>
        <w:t xml:space="preserve"> rural areas; the mountain region has the highest proportion of the poor (42%) as compared to the hills and the </w:t>
      </w:r>
      <w:proofErr w:type="spellStart"/>
      <w:r w:rsidR="003A30A8" w:rsidRPr="00D57C02">
        <w:rPr>
          <w:rFonts w:ascii="Arial" w:hAnsi="Arial" w:cs="Arial"/>
        </w:rPr>
        <w:t>terai</w:t>
      </w:r>
      <w:proofErr w:type="spellEnd"/>
      <w:r w:rsidR="003A30A8" w:rsidRPr="00D57C02">
        <w:rPr>
          <w:rFonts w:ascii="Arial" w:hAnsi="Arial" w:cs="Arial"/>
        </w:rPr>
        <w:t xml:space="preserve"> (24% each). </w:t>
      </w:r>
      <w:r w:rsidR="00606C98" w:rsidRPr="00D57C02">
        <w:rPr>
          <w:rFonts w:ascii="Arial" w:hAnsi="Arial" w:cs="Arial"/>
        </w:rPr>
        <w:t>T</w:t>
      </w:r>
      <w:r w:rsidR="003A30A8" w:rsidRPr="00D57C02">
        <w:rPr>
          <w:rFonts w:ascii="Arial" w:hAnsi="Arial" w:cs="Arial"/>
        </w:rPr>
        <w:t xml:space="preserve">he country managed to halve the percentage of people living on less than </w:t>
      </w:r>
      <w:r w:rsidR="00263511">
        <w:rPr>
          <w:rFonts w:ascii="Arial" w:hAnsi="Arial" w:cs="Arial"/>
        </w:rPr>
        <w:t>US</w:t>
      </w:r>
      <w:r w:rsidR="00816347">
        <w:rPr>
          <w:rFonts w:ascii="Arial" w:hAnsi="Arial" w:cs="Arial"/>
        </w:rPr>
        <w:t>D</w:t>
      </w:r>
      <w:r w:rsidR="00EF4270">
        <w:rPr>
          <w:rFonts w:ascii="Arial" w:hAnsi="Arial" w:cs="Arial"/>
        </w:rPr>
        <w:t xml:space="preserve"> </w:t>
      </w:r>
      <w:r w:rsidR="003A30A8" w:rsidRPr="00D57C02">
        <w:rPr>
          <w:rFonts w:ascii="Arial" w:hAnsi="Arial" w:cs="Arial"/>
        </w:rPr>
        <w:t>1.25 a day in only seven years, from 53%</w:t>
      </w:r>
      <w:r w:rsidR="00011F53" w:rsidRPr="00D57C02">
        <w:rPr>
          <w:rFonts w:ascii="Arial" w:hAnsi="Arial" w:cs="Arial"/>
        </w:rPr>
        <w:t xml:space="preserve"> (</w:t>
      </w:r>
      <w:r w:rsidR="003A30A8" w:rsidRPr="00D57C02">
        <w:rPr>
          <w:rFonts w:ascii="Arial" w:hAnsi="Arial" w:cs="Arial"/>
        </w:rPr>
        <w:t>2003-04</w:t>
      </w:r>
      <w:r w:rsidR="00011F53" w:rsidRPr="00D57C02">
        <w:rPr>
          <w:rFonts w:ascii="Arial" w:hAnsi="Arial" w:cs="Arial"/>
        </w:rPr>
        <w:t>)</w:t>
      </w:r>
      <w:r w:rsidR="003A30A8" w:rsidRPr="00D57C02">
        <w:rPr>
          <w:rFonts w:ascii="Arial" w:hAnsi="Arial" w:cs="Arial"/>
        </w:rPr>
        <w:t xml:space="preserve"> to 25% </w:t>
      </w:r>
      <w:r w:rsidR="00011F53" w:rsidRPr="00D57C02">
        <w:rPr>
          <w:rFonts w:ascii="Arial" w:hAnsi="Arial" w:cs="Arial"/>
        </w:rPr>
        <w:t>(</w:t>
      </w:r>
      <w:r w:rsidR="003A30A8" w:rsidRPr="00D57C02">
        <w:rPr>
          <w:rFonts w:ascii="Arial" w:hAnsi="Arial" w:cs="Arial"/>
        </w:rPr>
        <w:t>2010-11</w:t>
      </w:r>
      <w:r w:rsidR="00011F53" w:rsidRPr="00D57C02">
        <w:rPr>
          <w:rFonts w:ascii="Arial" w:hAnsi="Arial" w:cs="Arial"/>
        </w:rPr>
        <w:t>)</w:t>
      </w:r>
      <w:r w:rsidR="00326415" w:rsidRPr="00D57C02">
        <w:rPr>
          <w:rStyle w:val="EndnoteReference"/>
          <w:rFonts w:ascii="Arial" w:hAnsi="Arial" w:cs="Arial"/>
        </w:rPr>
        <w:endnoteReference w:id="4"/>
      </w:r>
      <w:r w:rsidR="003A30A8" w:rsidRPr="00D57C02">
        <w:rPr>
          <w:rFonts w:ascii="Arial" w:hAnsi="Arial" w:cs="Arial"/>
        </w:rPr>
        <w:t xml:space="preserve">. </w:t>
      </w:r>
      <w:r w:rsidR="000B25D7">
        <w:rPr>
          <w:rFonts w:ascii="Arial" w:hAnsi="Arial" w:cs="Arial"/>
        </w:rPr>
        <w:t>In 2015, o</w:t>
      </w:r>
      <w:r w:rsidR="000B25D7" w:rsidRPr="00BA62E1">
        <w:rPr>
          <w:rFonts w:ascii="Arial" w:hAnsi="Arial" w:cs="Arial"/>
        </w:rPr>
        <w:t>ut-of-pocket total expenditure on health was 79.9%</w:t>
      </w:r>
      <w:r w:rsidR="000B25D7">
        <w:rPr>
          <w:rStyle w:val="EndnoteReference"/>
          <w:rFonts w:ascii="Arial" w:hAnsi="Arial" w:cs="Arial"/>
        </w:rPr>
        <w:endnoteReference w:id="5"/>
      </w:r>
      <w:r w:rsidR="000B25D7">
        <w:rPr>
          <w:rFonts w:ascii="Arial" w:hAnsi="Arial" w:cs="Arial"/>
        </w:rPr>
        <w:t xml:space="preserve">. </w:t>
      </w:r>
      <w:r w:rsidR="00DD4747" w:rsidRPr="00D57C02">
        <w:rPr>
          <w:rFonts w:ascii="Arial" w:hAnsi="Arial" w:cs="Arial"/>
        </w:rPr>
        <w:t xml:space="preserve">In 2016, Nepal </w:t>
      </w:r>
      <w:r w:rsidR="003A30A8" w:rsidRPr="00D57C02">
        <w:rPr>
          <w:rFonts w:ascii="Arial" w:hAnsi="Arial" w:cs="Arial"/>
        </w:rPr>
        <w:t>improved its ranking on the Human Development Index</w:t>
      </w:r>
      <w:r w:rsidR="00003319">
        <w:rPr>
          <w:rFonts w:ascii="Arial" w:hAnsi="Arial" w:cs="Arial"/>
        </w:rPr>
        <w:t xml:space="preserve"> and was placed </w:t>
      </w:r>
      <w:r w:rsidR="003A30A8" w:rsidRPr="00D57C02">
        <w:rPr>
          <w:rFonts w:ascii="Arial" w:hAnsi="Arial" w:cs="Arial"/>
        </w:rPr>
        <w:t>144</w:t>
      </w:r>
      <w:r w:rsidR="00003319" w:rsidRPr="00003319">
        <w:rPr>
          <w:rFonts w:ascii="Arial" w:hAnsi="Arial" w:cs="Arial"/>
          <w:vertAlign w:val="superscript"/>
        </w:rPr>
        <w:t>th</w:t>
      </w:r>
      <w:r w:rsidR="00003319">
        <w:rPr>
          <w:rFonts w:ascii="Arial" w:hAnsi="Arial" w:cs="Arial"/>
        </w:rPr>
        <w:t xml:space="preserve"> </w:t>
      </w:r>
      <w:r w:rsidR="00DD4747" w:rsidRPr="00D57C02">
        <w:rPr>
          <w:rFonts w:ascii="Arial" w:hAnsi="Arial" w:cs="Arial"/>
        </w:rPr>
        <w:t>out of 188 countries</w:t>
      </w:r>
      <w:r w:rsidR="00326415" w:rsidRPr="00D57C02">
        <w:rPr>
          <w:rStyle w:val="EndnoteReference"/>
          <w:rFonts w:ascii="Arial" w:hAnsi="Arial" w:cs="Arial"/>
        </w:rPr>
        <w:endnoteReference w:id="6"/>
      </w:r>
      <w:r w:rsidR="003A30A8" w:rsidRPr="00D57C02">
        <w:rPr>
          <w:rFonts w:ascii="Arial" w:hAnsi="Arial" w:cs="Arial"/>
        </w:rPr>
        <w:t>.</w:t>
      </w:r>
      <w:r w:rsidR="00BA62E1">
        <w:rPr>
          <w:rFonts w:ascii="Arial" w:hAnsi="Arial" w:cs="Arial"/>
        </w:rPr>
        <w:t xml:space="preserve"> </w:t>
      </w:r>
    </w:p>
    <w:p w14:paraId="6697A6D8" w14:textId="4DAE2F73" w:rsidR="00D20BF6" w:rsidRPr="00D57C02" w:rsidRDefault="00D20BF6" w:rsidP="0007237B">
      <w:pPr>
        <w:spacing w:line="240" w:lineRule="auto"/>
        <w:jc w:val="both"/>
        <w:rPr>
          <w:rFonts w:ascii="Arial" w:hAnsi="Arial" w:cs="Arial"/>
        </w:rPr>
      </w:pPr>
      <w:r w:rsidRPr="00D57C02">
        <w:rPr>
          <w:rFonts w:ascii="Arial" w:hAnsi="Arial" w:cs="Arial"/>
        </w:rPr>
        <w:t xml:space="preserve">Health is enshrined as a fundamental right in the new Constitution and the </w:t>
      </w:r>
      <w:r w:rsidR="00E6423A">
        <w:rPr>
          <w:rFonts w:ascii="Arial" w:hAnsi="Arial" w:cs="Arial"/>
        </w:rPr>
        <w:t xml:space="preserve">investment on health by the </w:t>
      </w:r>
      <w:r w:rsidRPr="00D57C02">
        <w:rPr>
          <w:rFonts w:ascii="Arial" w:hAnsi="Arial" w:cs="Arial"/>
        </w:rPr>
        <w:t>Government of Nepal (</w:t>
      </w:r>
      <w:proofErr w:type="spellStart"/>
      <w:r w:rsidRPr="00D57C02">
        <w:rPr>
          <w:rFonts w:ascii="Arial" w:hAnsi="Arial" w:cs="Arial"/>
        </w:rPr>
        <w:t>GoN</w:t>
      </w:r>
      <w:proofErr w:type="spellEnd"/>
      <w:r w:rsidRPr="00D57C02">
        <w:rPr>
          <w:rFonts w:ascii="Arial" w:hAnsi="Arial" w:cs="Arial"/>
        </w:rPr>
        <w:t>) is relatively high (10.5%</w:t>
      </w:r>
      <w:r w:rsidR="00FD08E1" w:rsidRPr="00D57C02">
        <w:rPr>
          <w:rFonts w:ascii="Arial" w:hAnsi="Arial" w:cs="Arial"/>
        </w:rPr>
        <w:t>)</w:t>
      </w:r>
      <w:r w:rsidRPr="00D57C02">
        <w:rPr>
          <w:rFonts w:ascii="Arial" w:hAnsi="Arial" w:cs="Arial"/>
        </w:rPr>
        <w:t xml:space="preserve"> </w:t>
      </w:r>
      <w:r w:rsidR="00FD08E1" w:rsidRPr="00D57C02">
        <w:rPr>
          <w:rFonts w:ascii="Arial" w:hAnsi="Arial" w:cs="Arial"/>
        </w:rPr>
        <w:t>when</w:t>
      </w:r>
      <w:r w:rsidRPr="00D57C02">
        <w:rPr>
          <w:rFonts w:ascii="Arial" w:hAnsi="Arial" w:cs="Arial"/>
        </w:rPr>
        <w:t xml:space="preserve"> compared with other countries in the Region except Bhutan (13.5%)</w:t>
      </w:r>
      <w:r w:rsidR="00F51014">
        <w:rPr>
          <w:rFonts w:ascii="Arial" w:hAnsi="Arial" w:cs="Arial"/>
        </w:rPr>
        <w:t xml:space="preserve"> </w:t>
      </w:r>
      <w:r w:rsidR="00E6423A">
        <w:rPr>
          <w:rFonts w:ascii="Arial" w:hAnsi="Arial" w:cs="Arial"/>
        </w:rPr>
        <w:t xml:space="preserve">according to </w:t>
      </w:r>
      <w:r w:rsidR="00F51014" w:rsidRPr="00D57C02">
        <w:rPr>
          <w:rFonts w:ascii="Arial" w:hAnsi="Arial" w:cs="Arial"/>
        </w:rPr>
        <w:t xml:space="preserve">WHO </w:t>
      </w:r>
      <w:r w:rsidR="00F51014" w:rsidRPr="0050364E">
        <w:rPr>
          <w:rFonts w:ascii="Arial" w:hAnsi="Arial" w:cs="Arial"/>
        </w:rPr>
        <w:t>(</w:t>
      </w:r>
      <w:r w:rsidR="00F51014" w:rsidRPr="0050364E">
        <w:rPr>
          <w:rFonts w:ascii="Arial" w:hAnsi="Arial" w:cs="Arial"/>
          <w:i/>
        </w:rPr>
        <w:t>Annex-</w:t>
      </w:r>
      <w:r w:rsidR="00A532CC" w:rsidRPr="0050364E">
        <w:rPr>
          <w:rFonts w:ascii="Arial" w:hAnsi="Arial" w:cs="Arial"/>
          <w:i/>
        </w:rPr>
        <w:t>3</w:t>
      </w:r>
      <w:r w:rsidR="00F51014" w:rsidRPr="0050364E">
        <w:rPr>
          <w:rFonts w:ascii="Arial" w:hAnsi="Arial" w:cs="Arial"/>
          <w:i/>
        </w:rPr>
        <w:t>, p19</w:t>
      </w:r>
      <w:r w:rsidR="00F51014" w:rsidRPr="0050364E">
        <w:rPr>
          <w:rFonts w:ascii="Arial" w:hAnsi="Arial" w:cs="Arial"/>
        </w:rPr>
        <w:t>)</w:t>
      </w:r>
      <w:r w:rsidR="0001756C" w:rsidRPr="0050364E">
        <w:rPr>
          <w:rFonts w:ascii="Arial" w:hAnsi="Arial" w:cs="Arial"/>
        </w:rPr>
        <w:t>.</w:t>
      </w:r>
      <w:r w:rsidRPr="00D57C02">
        <w:rPr>
          <w:rFonts w:ascii="Arial" w:hAnsi="Arial" w:cs="Arial"/>
        </w:rPr>
        <w:t xml:space="preserve"> The </w:t>
      </w:r>
      <w:r w:rsidR="00345D55">
        <w:rPr>
          <w:rFonts w:ascii="Arial" w:hAnsi="Arial" w:cs="Arial"/>
        </w:rPr>
        <w:t xml:space="preserve">four pillars of the </w:t>
      </w:r>
      <w:r w:rsidRPr="00D57C02">
        <w:rPr>
          <w:rFonts w:ascii="Arial" w:hAnsi="Arial" w:cs="Arial"/>
        </w:rPr>
        <w:t xml:space="preserve">Nepal Health Sector Strategy (2016-2020) </w:t>
      </w:r>
      <w:r w:rsidR="00345D55">
        <w:rPr>
          <w:rFonts w:ascii="Arial" w:hAnsi="Arial" w:cs="Arial"/>
        </w:rPr>
        <w:t>are</w:t>
      </w:r>
      <w:r w:rsidRPr="00D57C02">
        <w:rPr>
          <w:rFonts w:ascii="Arial" w:hAnsi="Arial" w:cs="Arial"/>
        </w:rPr>
        <w:t>: (</w:t>
      </w:r>
      <w:proofErr w:type="spellStart"/>
      <w:r w:rsidRPr="00D57C02">
        <w:rPr>
          <w:rFonts w:ascii="Arial" w:hAnsi="Arial" w:cs="Arial"/>
        </w:rPr>
        <w:t>i</w:t>
      </w:r>
      <w:proofErr w:type="spellEnd"/>
      <w:r w:rsidRPr="00D57C02">
        <w:rPr>
          <w:rFonts w:ascii="Arial" w:hAnsi="Arial" w:cs="Arial"/>
        </w:rPr>
        <w:t xml:space="preserve">) equitable access to health services; (ii) quality health services; (iii) health systems reform and </w:t>
      </w:r>
      <w:proofErr w:type="gramStart"/>
      <w:r w:rsidRPr="00D57C02">
        <w:rPr>
          <w:rFonts w:ascii="Arial" w:hAnsi="Arial" w:cs="Arial"/>
        </w:rPr>
        <w:t>(iv) mul</w:t>
      </w:r>
      <w:r w:rsidR="0085019B">
        <w:rPr>
          <w:rFonts w:ascii="Arial" w:hAnsi="Arial" w:cs="Arial"/>
        </w:rPr>
        <w:t>ti-sectoral</w:t>
      </w:r>
      <w:proofErr w:type="gramEnd"/>
      <w:r w:rsidR="0085019B">
        <w:rPr>
          <w:rFonts w:ascii="Arial" w:hAnsi="Arial" w:cs="Arial"/>
        </w:rPr>
        <w:t xml:space="preserve"> approach</w:t>
      </w:r>
      <w:r w:rsidRPr="00D57C02">
        <w:rPr>
          <w:rFonts w:ascii="Arial" w:hAnsi="Arial" w:cs="Arial"/>
        </w:rPr>
        <w:t xml:space="preserve">. </w:t>
      </w:r>
    </w:p>
    <w:p w14:paraId="2CE5D1DF" w14:textId="62207E4C" w:rsidR="00146065" w:rsidRPr="00D57C02" w:rsidRDefault="00D41D76" w:rsidP="00146065">
      <w:pPr>
        <w:spacing w:line="240" w:lineRule="auto"/>
        <w:jc w:val="both"/>
        <w:rPr>
          <w:rFonts w:ascii="Arial" w:hAnsi="Arial" w:cs="Arial"/>
        </w:rPr>
      </w:pPr>
      <w:r w:rsidRPr="00D57C02">
        <w:rPr>
          <w:rFonts w:ascii="Arial" w:hAnsi="Arial" w:cs="Arial"/>
        </w:rPr>
        <w:t xml:space="preserve">In May 2017, </w:t>
      </w:r>
      <w:r w:rsidR="006508F8" w:rsidRPr="00D57C02">
        <w:rPr>
          <w:rFonts w:ascii="Arial" w:hAnsi="Arial" w:cs="Arial"/>
        </w:rPr>
        <w:t xml:space="preserve">the Ministry of Health </w:t>
      </w:r>
      <w:r w:rsidR="002A72FF">
        <w:rPr>
          <w:rFonts w:ascii="Arial" w:hAnsi="Arial" w:cs="Arial"/>
        </w:rPr>
        <w:t>(</w:t>
      </w:r>
      <w:proofErr w:type="spellStart"/>
      <w:r w:rsidR="002A72FF">
        <w:rPr>
          <w:rFonts w:ascii="Arial" w:hAnsi="Arial" w:cs="Arial"/>
        </w:rPr>
        <w:t>MoH</w:t>
      </w:r>
      <w:proofErr w:type="spellEnd"/>
      <w:r w:rsidR="002A72FF">
        <w:rPr>
          <w:rFonts w:ascii="Arial" w:hAnsi="Arial" w:cs="Arial"/>
        </w:rPr>
        <w:t xml:space="preserve">) </w:t>
      </w:r>
      <w:r w:rsidR="00E0455E">
        <w:rPr>
          <w:rFonts w:ascii="Arial" w:hAnsi="Arial" w:cs="Arial"/>
        </w:rPr>
        <w:t>presented</w:t>
      </w:r>
      <w:r w:rsidR="006508F8" w:rsidRPr="00D57C02">
        <w:rPr>
          <w:rFonts w:ascii="Arial" w:hAnsi="Arial" w:cs="Arial"/>
        </w:rPr>
        <w:t xml:space="preserve"> an </w:t>
      </w:r>
      <w:r w:rsidR="00882413" w:rsidRPr="00D57C02">
        <w:rPr>
          <w:rFonts w:ascii="Arial" w:hAnsi="Arial" w:cs="Arial"/>
        </w:rPr>
        <w:t>I</w:t>
      </w:r>
      <w:r w:rsidR="006508F8" w:rsidRPr="00D57C02">
        <w:rPr>
          <w:rFonts w:ascii="Arial" w:hAnsi="Arial" w:cs="Arial"/>
        </w:rPr>
        <w:t xml:space="preserve">ntegrated </w:t>
      </w:r>
      <w:r w:rsidR="00882413" w:rsidRPr="00D57C02">
        <w:rPr>
          <w:rFonts w:ascii="Arial" w:hAnsi="Arial" w:cs="Arial"/>
        </w:rPr>
        <w:t>H</w:t>
      </w:r>
      <w:r w:rsidR="006508F8" w:rsidRPr="00D57C02">
        <w:rPr>
          <w:rFonts w:ascii="Arial" w:hAnsi="Arial" w:cs="Arial"/>
        </w:rPr>
        <w:t xml:space="preserve">ealth </w:t>
      </w:r>
      <w:r w:rsidR="00882413" w:rsidRPr="00D57C02">
        <w:rPr>
          <w:rFonts w:ascii="Arial" w:hAnsi="Arial" w:cs="Arial"/>
        </w:rPr>
        <w:t>I</w:t>
      </w:r>
      <w:r w:rsidR="006508F8" w:rsidRPr="00D57C02">
        <w:rPr>
          <w:rFonts w:ascii="Arial" w:hAnsi="Arial" w:cs="Arial"/>
        </w:rPr>
        <w:t xml:space="preserve">nfrastructure </w:t>
      </w:r>
      <w:r w:rsidR="00882413" w:rsidRPr="00D57C02">
        <w:rPr>
          <w:rFonts w:ascii="Arial" w:hAnsi="Arial" w:cs="Arial"/>
        </w:rPr>
        <w:t>D</w:t>
      </w:r>
      <w:r w:rsidR="006508F8" w:rsidRPr="00D57C02">
        <w:rPr>
          <w:rFonts w:ascii="Arial" w:hAnsi="Arial" w:cs="Arial"/>
        </w:rPr>
        <w:t xml:space="preserve">evelopment </w:t>
      </w:r>
      <w:r w:rsidR="00882413" w:rsidRPr="00D57C02">
        <w:rPr>
          <w:rFonts w:ascii="Arial" w:hAnsi="Arial" w:cs="Arial"/>
        </w:rPr>
        <w:t>P</w:t>
      </w:r>
      <w:r w:rsidR="006508F8" w:rsidRPr="00D57C02">
        <w:rPr>
          <w:rFonts w:ascii="Arial" w:hAnsi="Arial" w:cs="Arial"/>
        </w:rPr>
        <w:t xml:space="preserve">lan </w:t>
      </w:r>
      <w:r w:rsidR="00E71FFC" w:rsidRPr="00DA19E2">
        <w:rPr>
          <w:rFonts w:ascii="Arial" w:hAnsi="Arial" w:cs="Arial"/>
        </w:rPr>
        <w:t>(</w:t>
      </w:r>
      <w:r w:rsidR="00E71FFC" w:rsidRPr="00DA19E2">
        <w:rPr>
          <w:rFonts w:ascii="Arial" w:hAnsi="Arial" w:cs="Arial"/>
          <w:i/>
        </w:rPr>
        <w:t>Annex-</w:t>
      </w:r>
      <w:r w:rsidR="007370B3" w:rsidRPr="00DA19E2">
        <w:rPr>
          <w:rFonts w:ascii="Arial" w:hAnsi="Arial" w:cs="Arial"/>
          <w:i/>
        </w:rPr>
        <w:t>4</w:t>
      </w:r>
      <w:r w:rsidR="00E71FFC" w:rsidRPr="00DA19E2">
        <w:rPr>
          <w:rFonts w:ascii="Arial" w:hAnsi="Arial" w:cs="Arial"/>
        </w:rPr>
        <w:t>)</w:t>
      </w:r>
      <w:r w:rsidR="00E0455E">
        <w:rPr>
          <w:rFonts w:ascii="Arial" w:hAnsi="Arial" w:cs="Arial"/>
        </w:rPr>
        <w:t xml:space="preserve"> </w:t>
      </w:r>
      <w:r w:rsidR="006508F8" w:rsidRPr="00D57C02">
        <w:rPr>
          <w:rFonts w:ascii="Arial" w:hAnsi="Arial" w:cs="Arial"/>
        </w:rPr>
        <w:t>to fulfil the constitutional obligations, ensure equitable distribution of health facilities and improve accessibility</w:t>
      </w:r>
      <w:r w:rsidR="00DA2BE5">
        <w:rPr>
          <w:rFonts w:ascii="Arial" w:hAnsi="Arial" w:cs="Arial"/>
        </w:rPr>
        <w:t>.</w:t>
      </w:r>
      <w:r w:rsidR="006508F8" w:rsidRPr="00D57C02">
        <w:rPr>
          <w:rFonts w:ascii="Arial" w:hAnsi="Arial" w:cs="Arial"/>
        </w:rPr>
        <w:t xml:space="preserve"> </w:t>
      </w:r>
      <w:r w:rsidR="00780ABD">
        <w:rPr>
          <w:rFonts w:ascii="Arial" w:hAnsi="Arial" w:cs="Arial"/>
        </w:rPr>
        <w:t xml:space="preserve">The national development efforts are </w:t>
      </w:r>
      <w:r w:rsidR="00FF4E59">
        <w:rPr>
          <w:rFonts w:ascii="Arial" w:hAnsi="Arial" w:cs="Arial"/>
        </w:rPr>
        <w:t xml:space="preserve">also </w:t>
      </w:r>
      <w:r w:rsidR="00780ABD">
        <w:rPr>
          <w:rFonts w:ascii="Arial" w:hAnsi="Arial" w:cs="Arial"/>
        </w:rPr>
        <w:t>shaped by t</w:t>
      </w:r>
      <w:r w:rsidR="004A059D" w:rsidRPr="00D57C02">
        <w:rPr>
          <w:rFonts w:ascii="Arial" w:hAnsi="Arial" w:cs="Arial"/>
        </w:rPr>
        <w:t xml:space="preserve">he operational guidelines for gender equality and social inclusion (GESI) in </w:t>
      </w:r>
      <w:r w:rsidR="004A059D" w:rsidRPr="00D57C02">
        <w:rPr>
          <w:rFonts w:ascii="Arial" w:hAnsi="Arial" w:cs="Arial"/>
        </w:rPr>
        <w:lastRenderedPageBreak/>
        <w:t>the health sector</w:t>
      </w:r>
      <w:r w:rsidR="008A0F74">
        <w:rPr>
          <w:rFonts w:ascii="Arial" w:hAnsi="Arial" w:cs="Arial"/>
        </w:rPr>
        <w:t>.</w:t>
      </w:r>
      <w:r w:rsidR="004A059D" w:rsidRPr="00D57C02">
        <w:rPr>
          <w:rFonts w:ascii="Arial" w:hAnsi="Arial" w:cs="Arial"/>
        </w:rPr>
        <w:t xml:space="preserve"> </w:t>
      </w:r>
      <w:r w:rsidR="004A059D" w:rsidRPr="00E54BF8">
        <w:rPr>
          <w:rFonts w:ascii="Arial" w:hAnsi="Arial" w:cs="Arial"/>
        </w:rPr>
        <w:t>The Local Self-Governance Act (LSGA) has made provisions for inclusive representation in health facility operation management committees (</w:t>
      </w:r>
      <w:r w:rsidR="0085019B" w:rsidRPr="00E54BF8">
        <w:rPr>
          <w:rFonts w:ascii="Arial" w:hAnsi="Arial" w:cs="Arial"/>
          <w:i/>
        </w:rPr>
        <w:t>Annex-</w:t>
      </w:r>
      <w:r w:rsidR="007370B3" w:rsidRPr="00E54BF8">
        <w:rPr>
          <w:rFonts w:ascii="Arial" w:hAnsi="Arial" w:cs="Arial"/>
          <w:i/>
        </w:rPr>
        <w:t>5</w:t>
      </w:r>
      <w:r w:rsidR="004A059D" w:rsidRPr="00E54BF8">
        <w:rPr>
          <w:rFonts w:ascii="Arial" w:hAnsi="Arial" w:cs="Arial"/>
          <w:i/>
        </w:rPr>
        <w:t>, p9</w:t>
      </w:r>
      <w:r w:rsidR="004A059D" w:rsidRPr="00E54BF8">
        <w:rPr>
          <w:rFonts w:ascii="Arial" w:hAnsi="Arial" w:cs="Arial"/>
        </w:rPr>
        <w:t>).</w:t>
      </w:r>
      <w:r w:rsidR="00146065" w:rsidRPr="00E54BF8">
        <w:rPr>
          <w:rFonts w:ascii="Arial" w:hAnsi="Arial" w:cs="Arial"/>
        </w:rPr>
        <w:t xml:space="preserve"> </w:t>
      </w:r>
    </w:p>
    <w:p w14:paraId="27D23164" w14:textId="2A15131C" w:rsidR="00FE0C19" w:rsidRDefault="002E5317" w:rsidP="0007237B">
      <w:pPr>
        <w:spacing w:line="240" w:lineRule="auto"/>
        <w:jc w:val="both"/>
        <w:rPr>
          <w:rFonts w:ascii="Arial" w:hAnsi="Arial" w:cs="Arial"/>
        </w:rPr>
      </w:pPr>
      <w:r w:rsidRPr="00D57C02">
        <w:rPr>
          <w:rFonts w:ascii="Arial" w:hAnsi="Arial" w:cs="Arial"/>
        </w:rPr>
        <w:t xml:space="preserve">Nepal is a medium TB burden country with </w:t>
      </w:r>
      <w:r w:rsidR="008F4E02" w:rsidRPr="00D57C02">
        <w:rPr>
          <w:rFonts w:ascii="Arial" w:hAnsi="Arial" w:cs="Arial"/>
        </w:rPr>
        <w:t xml:space="preserve">estimated rates of </w:t>
      </w:r>
      <w:r w:rsidRPr="00D57C02">
        <w:rPr>
          <w:rFonts w:ascii="Arial" w:hAnsi="Arial" w:cs="Arial"/>
        </w:rPr>
        <w:t xml:space="preserve">incidence </w:t>
      </w:r>
      <w:r w:rsidR="008F4E02" w:rsidRPr="00D57C02">
        <w:rPr>
          <w:rFonts w:ascii="Arial" w:hAnsi="Arial" w:cs="Arial"/>
        </w:rPr>
        <w:t xml:space="preserve">and mortality </w:t>
      </w:r>
      <w:r w:rsidR="00181CB7" w:rsidRPr="00D57C02">
        <w:rPr>
          <w:rFonts w:ascii="Arial" w:hAnsi="Arial" w:cs="Arial"/>
        </w:rPr>
        <w:t>being 156</w:t>
      </w:r>
      <w:r w:rsidR="008F4E02" w:rsidRPr="00D57C02">
        <w:rPr>
          <w:rFonts w:ascii="Arial" w:hAnsi="Arial" w:cs="Arial"/>
        </w:rPr>
        <w:t xml:space="preserve"> and 20 per </w:t>
      </w:r>
      <w:r w:rsidRPr="00D57C02">
        <w:rPr>
          <w:rFonts w:ascii="Arial" w:hAnsi="Arial" w:cs="Arial"/>
        </w:rPr>
        <w:t xml:space="preserve">100,000 </w:t>
      </w:r>
      <w:proofErr w:type="gramStart"/>
      <w:r w:rsidRPr="00D57C02">
        <w:rPr>
          <w:rFonts w:ascii="Arial" w:hAnsi="Arial" w:cs="Arial"/>
        </w:rPr>
        <w:t>population</w:t>
      </w:r>
      <w:proofErr w:type="gramEnd"/>
      <w:r w:rsidR="008F4E02" w:rsidRPr="00D57C02">
        <w:rPr>
          <w:rFonts w:ascii="Arial" w:hAnsi="Arial" w:cs="Arial"/>
        </w:rPr>
        <w:t>, respectively</w:t>
      </w:r>
      <w:r w:rsidR="00274301" w:rsidRPr="00D57C02">
        <w:rPr>
          <w:rStyle w:val="EndnoteReference"/>
          <w:rFonts w:ascii="Arial" w:hAnsi="Arial" w:cs="Arial"/>
        </w:rPr>
        <w:endnoteReference w:id="7"/>
      </w:r>
      <w:r w:rsidR="00CA5E90" w:rsidRPr="00D57C02">
        <w:rPr>
          <w:rFonts w:ascii="Arial" w:hAnsi="Arial" w:cs="Arial"/>
        </w:rPr>
        <w:t xml:space="preserve">. </w:t>
      </w:r>
      <w:r w:rsidR="00FE0C19">
        <w:rPr>
          <w:rFonts w:ascii="Arial" w:hAnsi="Arial" w:cs="Arial"/>
          <w:szCs w:val="24"/>
        </w:rPr>
        <w:t xml:space="preserve">The </w:t>
      </w:r>
      <w:r w:rsidR="00FE0C19" w:rsidRPr="00B75016">
        <w:rPr>
          <w:rFonts w:ascii="Arial" w:hAnsi="Arial" w:cs="Arial"/>
          <w:szCs w:val="24"/>
        </w:rPr>
        <w:t xml:space="preserve">TB prevalence (all forms) declined from 348 </w:t>
      </w:r>
      <w:r w:rsidR="00FE0C19">
        <w:rPr>
          <w:rFonts w:ascii="Arial" w:hAnsi="Arial" w:cs="Arial"/>
          <w:szCs w:val="24"/>
        </w:rPr>
        <w:t xml:space="preserve">in 1990 </w:t>
      </w:r>
      <w:r w:rsidR="00FE0C19" w:rsidRPr="00B75016">
        <w:rPr>
          <w:rFonts w:ascii="Arial" w:hAnsi="Arial" w:cs="Arial"/>
          <w:szCs w:val="24"/>
        </w:rPr>
        <w:t xml:space="preserve">to 211 per 100,000 </w:t>
      </w:r>
      <w:proofErr w:type="gramStart"/>
      <w:r w:rsidR="00FE0C19" w:rsidRPr="00B75016">
        <w:rPr>
          <w:rFonts w:ascii="Arial" w:hAnsi="Arial" w:cs="Arial"/>
          <w:szCs w:val="24"/>
        </w:rPr>
        <w:t>population</w:t>
      </w:r>
      <w:proofErr w:type="gramEnd"/>
      <w:r w:rsidR="00FE0C19" w:rsidRPr="00B75016">
        <w:rPr>
          <w:rFonts w:ascii="Arial" w:hAnsi="Arial" w:cs="Arial"/>
          <w:szCs w:val="24"/>
        </w:rPr>
        <w:t xml:space="preserve"> (</w:t>
      </w:r>
      <w:r w:rsidR="00181CB7">
        <w:rPr>
          <w:rFonts w:ascii="Arial" w:hAnsi="Arial" w:cs="Arial"/>
          <w:szCs w:val="24"/>
        </w:rPr>
        <w:t>55</w:t>
      </w:r>
      <w:r w:rsidR="00FE0C19" w:rsidRPr="00B75016">
        <w:rPr>
          <w:rFonts w:ascii="Arial" w:hAnsi="Arial" w:cs="Arial"/>
          <w:szCs w:val="24"/>
        </w:rPr>
        <w:t>% reduction)</w:t>
      </w:r>
      <w:r w:rsidR="00F41274">
        <w:rPr>
          <w:rFonts w:ascii="Arial" w:hAnsi="Arial" w:cs="Arial"/>
          <w:szCs w:val="24"/>
        </w:rPr>
        <w:t xml:space="preserve"> in 2014</w:t>
      </w:r>
      <w:r w:rsidR="00FE0C19" w:rsidRPr="00B75016">
        <w:rPr>
          <w:rFonts w:ascii="Arial" w:hAnsi="Arial" w:cs="Arial"/>
          <w:szCs w:val="24"/>
        </w:rPr>
        <w:t xml:space="preserve">; TB incidence (all forms) declined from 164 to 156 per 100,000 population and mortality declined from 52 to </w:t>
      </w:r>
      <w:r w:rsidR="00181CB7">
        <w:rPr>
          <w:rFonts w:ascii="Arial" w:hAnsi="Arial" w:cs="Arial"/>
          <w:szCs w:val="24"/>
        </w:rPr>
        <w:t>20</w:t>
      </w:r>
      <w:r w:rsidR="00FE0C19" w:rsidRPr="00B75016">
        <w:rPr>
          <w:rFonts w:ascii="Arial" w:hAnsi="Arial" w:cs="Arial"/>
          <w:szCs w:val="24"/>
        </w:rPr>
        <w:t xml:space="preserve"> per 100,000 population (</w:t>
      </w:r>
      <w:r w:rsidR="00181CB7">
        <w:rPr>
          <w:rFonts w:ascii="Arial" w:hAnsi="Arial" w:cs="Arial"/>
          <w:szCs w:val="24"/>
        </w:rPr>
        <w:t>62</w:t>
      </w:r>
      <w:r w:rsidR="00FE0C19" w:rsidRPr="00B75016">
        <w:rPr>
          <w:rFonts w:ascii="Arial" w:hAnsi="Arial" w:cs="Arial"/>
          <w:szCs w:val="24"/>
        </w:rPr>
        <w:t>% reduction)</w:t>
      </w:r>
      <w:r w:rsidR="002A7F77" w:rsidRPr="00551D19">
        <w:rPr>
          <w:rStyle w:val="EndnoteReference"/>
          <w:rFonts w:ascii="Arial" w:hAnsi="Arial" w:cs="Arial"/>
        </w:rPr>
        <w:endnoteReference w:id="8"/>
      </w:r>
      <w:r w:rsidR="001A192C" w:rsidRPr="00551D19">
        <w:rPr>
          <w:rFonts w:ascii="Arial" w:hAnsi="Arial" w:cs="Arial"/>
        </w:rPr>
        <w:t>.</w:t>
      </w:r>
      <w:r w:rsidR="007F3B2A" w:rsidRPr="00D57C02">
        <w:rPr>
          <w:rFonts w:ascii="Arial" w:hAnsi="Arial" w:cs="Arial"/>
        </w:rPr>
        <w:t xml:space="preserve"> </w:t>
      </w:r>
    </w:p>
    <w:p w14:paraId="3B436B67" w14:textId="7BB1F7EE" w:rsidR="00E96575" w:rsidRDefault="00F61F70" w:rsidP="0007237B">
      <w:pPr>
        <w:spacing w:line="240" w:lineRule="auto"/>
        <w:jc w:val="both"/>
        <w:rPr>
          <w:rFonts w:ascii="Arial" w:hAnsi="Arial" w:cs="Arial"/>
        </w:rPr>
      </w:pPr>
      <w:r w:rsidRPr="00D57C02">
        <w:rPr>
          <w:rFonts w:ascii="Arial" w:hAnsi="Arial" w:cs="Arial"/>
        </w:rPr>
        <w:t xml:space="preserve">Nepal’s true TB incidence and mortality will become clear when the </w:t>
      </w:r>
      <w:r w:rsidR="009F7C6E">
        <w:rPr>
          <w:rFonts w:ascii="Arial" w:hAnsi="Arial" w:cs="Arial"/>
        </w:rPr>
        <w:t xml:space="preserve">planned </w:t>
      </w:r>
      <w:r w:rsidRPr="00D57C02">
        <w:rPr>
          <w:rFonts w:ascii="Arial" w:hAnsi="Arial" w:cs="Arial"/>
        </w:rPr>
        <w:t>TB prevalence survey</w:t>
      </w:r>
      <w:r w:rsidR="00A95CB0">
        <w:rPr>
          <w:rFonts w:ascii="Arial" w:hAnsi="Arial" w:cs="Arial"/>
        </w:rPr>
        <w:t xml:space="preserve"> is completed</w:t>
      </w:r>
      <w:r w:rsidRPr="00D57C02">
        <w:rPr>
          <w:rFonts w:ascii="Arial" w:hAnsi="Arial" w:cs="Arial"/>
        </w:rPr>
        <w:t xml:space="preserve">. </w:t>
      </w:r>
      <w:r w:rsidR="00CA5E90" w:rsidRPr="00D57C02">
        <w:rPr>
          <w:rFonts w:ascii="Arial" w:hAnsi="Arial" w:cs="Arial"/>
        </w:rPr>
        <w:t>In 2016, a total of 3</w:t>
      </w:r>
      <w:r w:rsidR="008F4E02" w:rsidRPr="00D57C02">
        <w:rPr>
          <w:rFonts w:ascii="Arial" w:hAnsi="Arial" w:cs="Arial"/>
        </w:rPr>
        <w:t>2</w:t>
      </w:r>
      <w:r w:rsidR="00CA5E90" w:rsidRPr="00D57C02">
        <w:rPr>
          <w:rFonts w:ascii="Arial" w:hAnsi="Arial" w:cs="Arial"/>
        </w:rPr>
        <w:t>,</w:t>
      </w:r>
      <w:r w:rsidR="008F4E02" w:rsidRPr="00D57C02">
        <w:rPr>
          <w:rFonts w:ascii="Arial" w:hAnsi="Arial" w:cs="Arial"/>
        </w:rPr>
        <w:t>056</w:t>
      </w:r>
      <w:r w:rsidR="00CA5E90" w:rsidRPr="00D57C02">
        <w:rPr>
          <w:rFonts w:ascii="Arial" w:hAnsi="Arial" w:cs="Arial"/>
        </w:rPr>
        <w:t xml:space="preserve"> TB cases were notified</w:t>
      </w:r>
      <w:r w:rsidR="008F4E02" w:rsidRPr="00D57C02">
        <w:rPr>
          <w:rFonts w:ascii="Arial" w:hAnsi="Arial" w:cs="Arial"/>
        </w:rPr>
        <w:t>;</w:t>
      </w:r>
      <w:r w:rsidR="00D3359B" w:rsidRPr="00D57C02">
        <w:rPr>
          <w:rFonts w:ascii="Arial" w:hAnsi="Arial" w:cs="Arial"/>
        </w:rPr>
        <w:t xml:space="preserve"> 64% were males and 36% were females</w:t>
      </w:r>
      <w:r w:rsidR="00345D55">
        <w:rPr>
          <w:rFonts w:ascii="Arial" w:hAnsi="Arial" w:cs="Arial"/>
        </w:rPr>
        <w:t xml:space="preserve"> and </w:t>
      </w:r>
      <w:r w:rsidR="007D38E3" w:rsidRPr="00D57C02">
        <w:rPr>
          <w:rFonts w:ascii="Arial" w:hAnsi="Arial" w:cs="Arial"/>
        </w:rPr>
        <w:t xml:space="preserve">37% of TB patients were in the age group of 15-34 years. The proportion of childhood TB </w:t>
      </w:r>
      <w:r w:rsidR="00304852">
        <w:rPr>
          <w:rFonts w:ascii="Arial" w:hAnsi="Arial" w:cs="Arial"/>
        </w:rPr>
        <w:t>(all forms)</w:t>
      </w:r>
      <w:r w:rsidR="007D38E3" w:rsidRPr="00D57C02">
        <w:rPr>
          <w:rFonts w:ascii="Arial" w:hAnsi="Arial" w:cs="Arial"/>
        </w:rPr>
        <w:t xml:space="preserve"> was </w:t>
      </w:r>
      <w:r w:rsidR="00F76510">
        <w:rPr>
          <w:rFonts w:ascii="Arial" w:hAnsi="Arial" w:cs="Arial"/>
        </w:rPr>
        <w:t xml:space="preserve">around </w:t>
      </w:r>
      <w:r w:rsidR="00F80937">
        <w:rPr>
          <w:rFonts w:ascii="Arial" w:hAnsi="Arial" w:cs="Arial"/>
        </w:rPr>
        <w:t>6%</w:t>
      </w:r>
      <w:r w:rsidR="00F76510">
        <w:rPr>
          <w:rFonts w:ascii="Arial" w:hAnsi="Arial" w:cs="Arial"/>
        </w:rPr>
        <w:t xml:space="preserve"> (</w:t>
      </w:r>
      <w:r w:rsidR="00F76510" w:rsidRPr="00F76510">
        <w:rPr>
          <w:rFonts w:ascii="Arial" w:hAnsi="Arial" w:cs="Arial"/>
          <w:i/>
        </w:rPr>
        <w:t>Annex-8, p14</w:t>
      </w:r>
      <w:r w:rsidR="00F76510">
        <w:rPr>
          <w:rFonts w:ascii="Arial" w:hAnsi="Arial" w:cs="Arial"/>
        </w:rPr>
        <w:t>)</w:t>
      </w:r>
      <w:r w:rsidR="00E96575" w:rsidRPr="00F80937">
        <w:rPr>
          <w:rFonts w:ascii="Arial" w:hAnsi="Arial" w:cs="Arial"/>
        </w:rPr>
        <w:t>.</w:t>
      </w:r>
      <w:r w:rsidR="00E96575" w:rsidRPr="00D57C02">
        <w:rPr>
          <w:rFonts w:ascii="Arial" w:hAnsi="Arial" w:cs="Arial"/>
        </w:rPr>
        <w:t xml:space="preserve"> </w:t>
      </w:r>
    </w:p>
    <w:p w14:paraId="0BF4489A" w14:textId="59F33D46" w:rsidR="00FF231B" w:rsidRDefault="00FF231B" w:rsidP="00FF231B">
      <w:pPr>
        <w:jc w:val="center"/>
        <w:rPr>
          <w:rFonts w:ascii="Arial" w:hAnsi="Arial" w:cs="Arial"/>
        </w:rPr>
      </w:pPr>
      <w:r w:rsidRPr="009416D9">
        <w:rPr>
          <w:rFonts w:ascii="Arial" w:hAnsi="Arial" w:cs="Arial"/>
          <w:b/>
          <w:sz w:val="20"/>
          <w:szCs w:val="20"/>
        </w:rPr>
        <w:t>Figure-2: TB case notification trend from 2006-2016</w:t>
      </w:r>
      <w:r w:rsidRPr="00332ED3">
        <w:rPr>
          <w:rFonts w:ascii="Arial" w:hAnsi="Arial" w:cs="Arial"/>
        </w:rPr>
        <w:t xml:space="preserve"> </w:t>
      </w:r>
      <w:r w:rsidRPr="00332ED3">
        <w:rPr>
          <w:rFonts w:ascii="Arial" w:hAnsi="Arial" w:cs="Arial"/>
        </w:rPr>
        <w:br/>
      </w:r>
      <w:r>
        <w:rPr>
          <w:rFonts w:ascii="Arial" w:hAnsi="Arial" w:cs="Arial"/>
          <w:sz w:val="18"/>
          <w:szCs w:val="18"/>
        </w:rPr>
        <w:t>(</w:t>
      </w:r>
      <w:r w:rsidRPr="006C6C93">
        <w:rPr>
          <w:rFonts w:ascii="Arial" w:hAnsi="Arial" w:cs="Arial"/>
          <w:sz w:val="18"/>
          <w:szCs w:val="18"/>
        </w:rPr>
        <w:t>Data source: WHO global data and for 2015-16</w:t>
      </w:r>
      <w:r w:rsidR="00063917">
        <w:rPr>
          <w:rFonts w:ascii="Arial" w:hAnsi="Arial" w:cs="Arial"/>
          <w:sz w:val="18"/>
          <w:szCs w:val="18"/>
        </w:rPr>
        <w:t xml:space="preserve"> from</w:t>
      </w:r>
      <w:r w:rsidRPr="006C6C93">
        <w:rPr>
          <w:rFonts w:ascii="Arial" w:hAnsi="Arial" w:cs="Arial"/>
          <w:sz w:val="18"/>
          <w:szCs w:val="18"/>
        </w:rPr>
        <w:t xml:space="preserve"> NTP</w:t>
      </w:r>
      <w:r>
        <w:rPr>
          <w:rFonts w:ascii="Arial" w:hAnsi="Arial" w:cs="Arial"/>
          <w:sz w:val="18"/>
          <w:szCs w:val="18"/>
        </w:rPr>
        <w:t>)</w:t>
      </w:r>
    </w:p>
    <w:p w14:paraId="71E44071" w14:textId="65087E93" w:rsidR="00FF231B" w:rsidRDefault="00187A56" w:rsidP="00FF231B">
      <w:pPr>
        <w:spacing w:line="240" w:lineRule="auto"/>
        <w:jc w:val="center"/>
        <w:rPr>
          <w:rFonts w:ascii="Arial" w:hAnsi="Arial" w:cs="Arial"/>
        </w:rPr>
      </w:pPr>
      <w:r>
        <w:rPr>
          <w:noProof/>
          <w:lang w:eastAsia="en-GB"/>
        </w:rPr>
        <w:drawing>
          <wp:inline distT="0" distB="0" distL="0" distR="0" wp14:anchorId="076B32CC" wp14:editId="138F2B1A">
            <wp:extent cx="4951273" cy="2309785"/>
            <wp:effectExtent l="19050" t="19050" r="20955" b="14605"/>
            <wp:docPr id="19" name="Picture 19" descr="C:\Users\Pratap\AppData\Local\Microsoft\Windows\INetCache\Content.Word\Trend of TB cases 2006t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ap\AppData\Local\Microsoft\Windows\INetCache\Content.Word\Trend of TB cases 2006to 201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4463" cy="2320603"/>
                    </a:xfrm>
                    <a:prstGeom prst="rect">
                      <a:avLst/>
                    </a:prstGeom>
                    <a:noFill/>
                    <a:ln w="12700">
                      <a:solidFill>
                        <a:schemeClr val="tx1"/>
                      </a:solidFill>
                    </a:ln>
                  </pic:spPr>
                </pic:pic>
              </a:graphicData>
            </a:graphic>
          </wp:inline>
        </w:drawing>
      </w:r>
    </w:p>
    <w:p w14:paraId="7422ED41" w14:textId="42FBA55B" w:rsidR="007F7020" w:rsidRDefault="00507778" w:rsidP="004D5DFA">
      <w:pPr>
        <w:tabs>
          <w:tab w:val="num" w:pos="720"/>
          <w:tab w:val="num" w:pos="1440"/>
        </w:tabs>
        <w:spacing w:after="0" w:line="240" w:lineRule="auto"/>
        <w:jc w:val="both"/>
        <w:rPr>
          <w:rFonts w:ascii="Arial" w:hAnsi="Arial" w:cs="Arial"/>
        </w:rPr>
      </w:pPr>
      <w:r w:rsidRPr="006C6C93">
        <w:rPr>
          <w:rFonts w:ascii="Arial" w:hAnsi="Arial" w:cs="Arial"/>
        </w:rPr>
        <w:t>Case notification was almost flat over past several years</w:t>
      </w:r>
      <w:r w:rsidR="009C1546">
        <w:rPr>
          <w:rFonts w:ascii="Arial" w:hAnsi="Arial" w:cs="Arial"/>
        </w:rPr>
        <w:t>,</w:t>
      </w:r>
      <w:r w:rsidRPr="006C6C93">
        <w:rPr>
          <w:rFonts w:ascii="Arial" w:hAnsi="Arial" w:cs="Arial"/>
        </w:rPr>
        <w:t xml:space="preserve"> </w:t>
      </w:r>
      <w:r w:rsidR="003A2DFF">
        <w:rPr>
          <w:rFonts w:ascii="Arial" w:hAnsi="Arial" w:cs="Arial"/>
        </w:rPr>
        <w:t>but</w:t>
      </w:r>
      <w:r w:rsidRPr="006C6C93">
        <w:rPr>
          <w:rFonts w:ascii="Arial" w:hAnsi="Arial" w:cs="Arial"/>
        </w:rPr>
        <w:t xml:space="preserve"> there </w:t>
      </w:r>
      <w:r>
        <w:rPr>
          <w:rFonts w:ascii="Arial" w:hAnsi="Arial" w:cs="Arial"/>
        </w:rPr>
        <w:t>wa</w:t>
      </w:r>
      <w:r w:rsidRPr="006C6C93">
        <w:rPr>
          <w:rFonts w:ascii="Arial" w:hAnsi="Arial" w:cs="Arial"/>
        </w:rPr>
        <w:t xml:space="preserve">s a </w:t>
      </w:r>
      <w:r w:rsidR="009C1546">
        <w:rPr>
          <w:rFonts w:ascii="Arial" w:hAnsi="Arial" w:cs="Arial"/>
        </w:rPr>
        <w:t xml:space="preserve">significant </w:t>
      </w:r>
      <w:r w:rsidRPr="006C6C93">
        <w:rPr>
          <w:rFonts w:ascii="Arial" w:hAnsi="Arial" w:cs="Arial"/>
        </w:rPr>
        <w:t xml:space="preserve">decline in </w:t>
      </w:r>
      <w:r w:rsidR="00EF29F6">
        <w:rPr>
          <w:rFonts w:ascii="Arial" w:hAnsi="Arial" w:cs="Arial"/>
        </w:rPr>
        <w:t xml:space="preserve">the last two years, particularly </w:t>
      </w:r>
      <w:r w:rsidRPr="006C6C93">
        <w:rPr>
          <w:rFonts w:ascii="Arial" w:hAnsi="Arial" w:cs="Arial"/>
        </w:rPr>
        <w:t>i</w:t>
      </w:r>
      <w:r w:rsidR="009C1546">
        <w:rPr>
          <w:rFonts w:ascii="Arial" w:hAnsi="Arial" w:cs="Arial"/>
        </w:rPr>
        <w:t xml:space="preserve">n </w:t>
      </w:r>
      <w:r>
        <w:rPr>
          <w:rFonts w:ascii="Arial" w:hAnsi="Arial" w:cs="Arial"/>
        </w:rPr>
        <w:t>p</w:t>
      </w:r>
      <w:r w:rsidRPr="006C6C93">
        <w:rPr>
          <w:rFonts w:ascii="Arial" w:hAnsi="Arial" w:cs="Arial"/>
        </w:rPr>
        <w:t xml:space="preserve">ulmonary clinically </w:t>
      </w:r>
      <w:r w:rsidR="00EF29F6">
        <w:rPr>
          <w:rFonts w:ascii="Arial" w:hAnsi="Arial" w:cs="Arial"/>
        </w:rPr>
        <w:t>diagnosed</w:t>
      </w:r>
      <w:r w:rsidRPr="006C6C93">
        <w:rPr>
          <w:rFonts w:ascii="Arial" w:hAnsi="Arial" w:cs="Arial"/>
        </w:rPr>
        <w:t xml:space="preserve"> notification</w:t>
      </w:r>
      <w:r>
        <w:rPr>
          <w:rFonts w:ascii="Arial" w:hAnsi="Arial" w:cs="Arial"/>
        </w:rPr>
        <w:t>s</w:t>
      </w:r>
      <w:r w:rsidR="00253963">
        <w:rPr>
          <w:rFonts w:ascii="Arial" w:hAnsi="Arial" w:cs="Arial"/>
        </w:rPr>
        <w:t xml:space="preserve"> (smear negative</w:t>
      </w:r>
      <w:r w:rsidR="007F1E66">
        <w:rPr>
          <w:rFonts w:ascii="Arial" w:hAnsi="Arial" w:cs="Arial"/>
        </w:rPr>
        <w:t xml:space="preserve"> TB</w:t>
      </w:r>
      <w:r w:rsidR="00253963">
        <w:rPr>
          <w:rFonts w:ascii="Arial" w:hAnsi="Arial" w:cs="Arial"/>
        </w:rPr>
        <w:t>)</w:t>
      </w:r>
      <w:r w:rsidR="00CF23D9">
        <w:rPr>
          <w:rFonts w:ascii="Arial" w:hAnsi="Arial" w:cs="Arial"/>
        </w:rPr>
        <w:t>,</w:t>
      </w:r>
      <w:r w:rsidR="00A52AD0">
        <w:rPr>
          <w:rFonts w:ascii="Arial" w:hAnsi="Arial" w:cs="Arial"/>
        </w:rPr>
        <w:t xml:space="preserve"> </w:t>
      </w:r>
      <w:r w:rsidR="00CF23D9">
        <w:rPr>
          <w:rFonts w:ascii="Arial" w:hAnsi="Arial" w:cs="Arial"/>
        </w:rPr>
        <w:t xml:space="preserve">probably due to </w:t>
      </w:r>
      <w:r w:rsidR="006D05BB">
        <w:rPr>
          <w:rFonts w:ascii="Arial" w:hAnsi="Arial" w:cs="Arial"/>
        </w:rPr>
        <w:t>(</w:t>
      </w:r>
      <w:proofErr w:type="spellStart"/>
      <w:r w:rsidR="006D05BB">
        <w:rPr>
          <w:rFonts w:ascii="Arial" w:hAnsi="Arial" w:cs="Arial"/>
        </w:rPr>
        <w:t>i</w:t>
      </w:r>
      <w:proofErr w:type="spellEnd"/>
      <w:r w:rsidR="006D05BB">
        <w:rPr>
          <w:rFonts w:ascii="Arial" w:hAnsi="Arial" w:cs="Arial"/>
        </w:rPr>
        <w:t>) e</w:t>
      </w:r>
      <w:r w:rsidR="00A54934">
        <w:rPr>
          <w:rFonts w:ascii="Arial" w:hAnsi="Arial" w:cs="Arial"/>
        </w:rPr>
        <w:t xml:space="preserve">xpansion of </w:t>
      </w:r>
      <w:r w:rsidR="006262D7">
        <w:rPr>
          <w:rFonts w:ascii="Arial" w:hAnsi="Arial" w:cs="Arial"/>
        </w:rPr>
        <w:t xml:space="preserve">molecular </w:t>
      </w:r>
      <w:r w:rsidR="00A54934">
        <w:rPr>
          <w:rFonts w:ascii="Arial" w:hAnsi="Arial" w:cs="Arial"/>
        </w:rPr>
        <w:t>diagnostic services</w:t>
      </w:r>
      <w:r w:rsidR="006D05BB">
        <w:rPr>
          <w:rFonts w:ascii="Arial" w:hAnsi="Arial" w:cs="Arial"/>
        </w:rPr>
        <w:t xml:space="preserve">; (ii) </w:t>
      </w:r>
      <w:r w:rsidR="00CF23D9">
        <w:rPr>
          <w:rFonts w:ascii="Arial" w:hAnsi="Arial" w:cs="Arial"/>
        </w:rPr>
        <w:t>shift</w:t>
      </w:r>
      <w:r w:rsidR="006D05BB">
        <w:rPr>
          <w:rFonts w:ascii="Arial" w:hAnsi="Arial" w:cs="Arial"/>
        </w:rPr>
        <w:t xml:space="preserve"> from clinical diagnosis to bacteriological confirmation</w:t>
      </w:r>
      <w:r w:rsidRPr="006C6C93">
        <w:rPr>
          <w:rFonts w:ascii="Arial" w:hAnsi="Arial" w:cs="Arial"/>
        </w:rPr>
        <w:t>.</w:t>
      </w:r>
      <w:r>
        <w:rPr>
          <w:rFonts w:ascii="Arial" w:hAnsi="Arial" w:cs="Arial"/>
        </w:rPr>
        <w:t xml:space="preserve"> In 2015-2016, p</w:t>
      </w:r>
      <w:r w:rsidRPr="006C6C93">
        <w:rPr>
          <w:rFonts w:ascii="Arial" w:hAnsi="Arial" w:cs="Arial"/>
        </w:rPr>
        <w:t xml:space="preserve">roportion of </w:t>
      </w:r>
      <w:r w:rsidR="00433C5E">
        <w:rPr>
          <w:rFonts w:ascii="Arial" w:hAnsi="Arial" w:cs="Arial"/>
        </w:rPr>
        <w:t xml:space="preserve">pulmonary </w:t>
      </w:r>
      <w:r>
        <w:rPr>
          <w:rFonts w:ascii="Arial" w:hAnsi="Arial" w:cs="Arial"/>
        </w:rPr>
        <w:t xml:space="preserve">bacteriologically </w:t>
      </w:r>
      <w:r w:rsidR="00EF6F92">
        <w:rPr>
          <w:rFonts w:ascii="Arial" w:hAnsi="Arial" w:cs="Arial"/>
        </w:rPr>
        <w:t>confirmed</w:t>
      </w:r>
      <w:r>
        <w:rPr>
          <w:rFonts w:ascii="Arial" w:hAnsi="Arial" w:cs="Arial"/>
        </w:rPr>
        <w:t xml:space="preserve"> (</w:t>
      </w:r>
      <w:r w:rsidR="00D70914">
        <w:rPr>
          <w:rFonts w:ascii="Arial" w:hAnsi="Arial" w:cs="Arial"/>
        </w:rPr>
        <w:t>PB</w:t>
      </w:r>
      <w:r>
        <w:rPr>
          <w:rFonts w:ascii="Arial" w:hAnsi="Arial" w:cs="Arial"/>
        </w:rPr>
        <w:t xml:space="preserve">C) </w:t>
      </w:r>
      <w:r w:rsidR="00EF6F92">
        <w:rPr>
          <w:rFonts w:ascii="Arial" w:hAnsi="Arial" w:cs="Arial"/>
        </w:rPr>
        <w:t xml:space="preserve">cases </w:t>
      </w:r>
      <w:r>
        <w:rPr>
          <w:rFonts w:ascii="Arial" w:hAnsi="Arial" w:cs="Arial"/>
        </w:rPr>
        <w:t>was 47%, pulmonary clinically diagnosed (PCD)</w:t>
      </w:r>
      <w:r w:rsidR="002D5229">
        <w:rPr>
          <w:rFonts w:ascii="Arial" w:hAnsi="Arial" w:cs="Arial"/>
        </w:rPr>
        <w:t>-</w:t>
      </w:r>
      <w:r>
        <w:rPr>
          <w:rFonts w:ascii="Arial" w:hAnsi="Arial" w:cs="Arial"/>
        </w:rPr>
        <w:t>17%</w:t>
      </w:r>
      <w:r w:rsidR="003A2DFF">
        <w:rPr>
          <w:rFonts w:ascii="Arial" w:hAnsi="Arial" w:cs="Arial"/>
        </w:rPr>
        <w:t>,</w:t>
      </w:r>
      <w:r>
        <w:rPr>
          <w:rFonts w:ascii="Arial" w:hAnsi="Arial" w:cs="Arial"/>
        </w:rPr>
        <w:t xml:space="preserve"> extra-pulmonary (</w:t>
      </w:r>
      <w:r w:rsidRPr="006C6C93">
        <w:rPr>
          <w:rFonts w:ascii="Arial" w:hAnsi="Arial" w:cs="Arial"/>
        </w:rPr>
        <w:t>EP</w:t>
      </w:r>
      <w:proofErr w:type="gramStart"/>
      <w:r>
        <w:rPr>
          <w:rFonts w:ascii="Arial" w:hAnsi="Arial" w:cs="Arial"/>
        </w:rPr>
        <w:t>)</w:t>
      </w:r>
      <w:r w:rsidR="002D5229">
        <w:rPr>
          <w:rFonts w:ascii="Arial" w:hAnsi="Arial" w:cs="Arial"/>
        </w:rPr>
        <w:t>-</w:t>
      </w:r>
      <w:proofErr w:type="gramEnd"/>
      <w:r w:rsidRPr="006C6C93">
        <w:rPr>
          <w:rFonts w:ascii="Arial" w:hAnsi="Arial" w:cs="Arial"/>
        </w:rPr>
        <w:t xml:space="preserve"> 26%</w:t>
      </w:r>
      <w:r>
        <w:rPr>
          <w:rFonts w:ascii="Arial" w:hAnsi="Arial" w:cs="Arial"/>
        </w:rPr>
        <w:t xml:space="preserve"> and r</w:t>
      </w:r>
      <w:r w:rsidRPr="006C6C93">
        <w:rPr>
          <w:rFonts w:ascii="Arial" w:hAnsi="Arial" w:cs="Arial"/>
        </w:rPr>
        <w:t>etreatment</w:t>
      </w:r>
      <w:r w:rsidR="002D5229">
        <w:rPr>
          <w:rFonts w:ascii="Arial" w:hAnsi="Arial" w:cs="Arial"/>
        </w:rPr>
        <w:t xml:space="preserve">- </w:t>
      </w:r>
      <w:r w:rsidRPr="006C6C93">
        <w:rPr>
          <w:rFonts w:ascii="Arial" w:hAnsi="Arial" w:cs="Arial"/>
        </w:rPr>
        <w:t>10%</w:t>
      </w:r>
      <w:r w:rsidR="00E83BCF">
        <w:rPr>
          <w:rFonts w:ascii="Arial" w:hAnsi="Arial" w:cs="Arial"/>
        </w:rPr>
        <w:t xml:space="preserve"> (Figure-2)</w:t>
      </w:r>
      <w:r>
        <w:rPr>
          <w:rFonts w:ascii="Arial" w:hAnsi="Arial" w:cs="Arial"/>
        </w:rPr>
        <w:t>.</w:t>
      </w:r>
      <w:r w:rsidR="004D5DFA">
        <w:rPr>
          <w:rFonts w:ascii="Arial" w:hAnsi="Arial" w:cs="Arial"/>
        </w:rPr>
        <w:t xml:space="preserve"> </w:t>
      </w:r>
      <w:r w:rsidR="002D5229">
        <w:rPr>
          <w:rFonts w:ascii="Arial" w:hAnsi="Arial" w:cs="Arial"/>
        </w:rPr>
        <w:t>TB n</w:t>
      </w:r>
      <w:r w:rsidR="007F7020" w:rsidRPr="00D57C02">
        <w:rPr>
          <w:rFonts w:ascii="Arial" w:hAnsi="Arial" w:cs="Arial"/>
        </w:rPr>
        <w:t xml:space="preserve">otification rates in the hills and mountains of Nepal were significantly less than those in the </w:t>
      </w:r>
      <w:proofErr w:type="spellStart"/>
      <w:r w:rsidR="007F7020" w:rsidRPr="00D762C3">
        <w:rPr>
          <w:rFonts w:ascii="Arial" w:hAnsi="Arial" w:cs="Arial"/>
          <w:i/>
        </w:rPr>
        <w:t>terai</w:t>
      </w:r>
      <w:proofErr w:type="spellEnd"/>
      <w:r w:rsidR="007F7020" w:rsidRPr="00D57C02">
        <w:rPr>
          <w:rFonts w:ascii="Arial" w:hAnsi="Arial" w:cs="Arial"/>
        </w:rPr>
        <w:t xml:space="preserve"> which reported 56% of the cases, making it likely that TB was under-diagnosed in the hills</w:t>
      </w:r>
      <w:r w:rsidR="003D10D1">
        <w:rPr>
          <w:rFonts w:ascii="Arial" w:hAnsi="Arial" w:cs="Arial"/>
        </w:rPr>
        <w:t xml:space="preserve"> (40%)</w:t>
      </w:r>
      <w:r w:rsidR="007F7020" w:rsidRPr="00D57C02">
        <w:rPr>
          <w:rFonts w:ascii="Arial" w:hAnsi="Arial" w:cs="Arial"/>
        </w:rPr>
        <w:t xml:space="preserve">, and particularly in the </w:t>
      </w:r>
      <w:r w:rsidR="007F7020" w:rsidRPr="002D5229">
        <w:rPr>
          <w:rFonts w:ascii="Arial" w:hAnsi="Arial" w:cs="Arial"/>
        </w:rPr>
        <w:t xml:space="preserve">mountains </w:t>
      </w:r>
      <w:r w:rsidR="003D10D1">
        <w:rPr>
          <w:rFonts w:ascii="Arial" w:hAnsi="Arial" w:cs="Arial"/>
        </w:rPr>
        <w:t xml:space="preserve">which accounted for 4% </w:t>
      </w:r>
      <w:r w:rsidR="007F7020" w:rsidRPr="002D5229">
        <w:rPr>
          <w:rFonts w:ascii="Arial" w:hAnsi="Arial" w:cs="Arial"/>
        </w:rPr>
        <w:t>(</w:t>
      </w:r>
      <w:r w:rsidR="0085019B" w:rsidRPr="002D5229">
        <w:rPr>
          <w:rFonts w:ascii="Arial" w:hAnsi="Arial" w:cs="Arial"/>
          <w:i/>
        </w:rPr>
        <w:t>Annex-</w:t>
      </w:r>
      <w:r w:rsidR="007370B3" w:rsidRPr="002D5229">
        <w:rPr>
          <w:rFonts w:ascii="Arial" w:hAnsi="Arial" w:cs="Arial"/>
          <w:i/>
        </w:rPr>
        <w:t>7</w:t>
      </w:r>
      <w:r w:rsidR="007F7020" w:rsidRPr="002D5229">
        <w:rPr>
          <w:rFonts w:ascii="Arial" w:hAnsi="Arial" w:cs="Arial"/>
          <w:i/>
        </w:rPr>
        <w:t>, p4</w:t>
      </w:r>
      <w:r w:rsidR="007F7020" w:rsidRPr="002D5229">
        <w:rPr>
          <w:rFonts w:ascii="Arial" w:hAnsi="Arial" w:cs="Arial"/>
        </w:rPr>
        <w:t>).</w:t>
      </w:r>
      <w:r w:rsidR="007F7020" w:rsidRPr="00D57C02">
        <w:rPr>
          <w:rFonts w:ascii="Arial" w:hAnsi="Arial" w:cs="Arial"/>
        </w:rPr>
        <w:t xml:space="preserve"> </w:t>
      </w:r>
    </w:p>
    <w:p w14:paraId="5B680280" w14:textId="77777777" w:rsidR="00F65432" w:rsidRDefault="00F65432" w:rsidP="004D5DFA">
      <w:pPr>
        <w:tabs>
          <w:tab w:val="num" w:pos="720"/>
          <w:tab w:val="num" w:pos="1440"/>
        </w:tabs>
        <w:spacing w:after="0" w:line="240" w:lineRule="auto"/>
        <w:jc w:val="both"/>
        <w:rPr>
          <w:rFonts w:ascii="Arial" w:hAnsi="Arial" w:cs="Arial"/>
        </w:rPr>
      </w:pPr>
    </w:p>
    <w:p w14:paraId="72EBF66F" w14:textId="67899E4F" w:rsidR="00CA0FD7" w:rsidRDefault="006A533C" w:rsidP="00A66D1D">
      <w:pPr>
        <w:spacing w:after="0" w:line="240" w:lineRule="auto"/>
        <w:jc w:val="both"/>
        <w:rPr>
          <w:rFonts w:ascii="Arial" w:hAnsi="Arial" w:cs="Arial"/>
        </w:rPr>
      </w:pPr>
      <w:r w:rsidRPr="00D57C02">
        <w:rPr>
          <w:rFonts w:ascii="Arial" w:hAnsi="Arial" w:cs="Arial"/>
        </w:rPr>
        <w:t>Drug-resistant TB cases (MDR and XDR) totalled 403</w:t>
      </w:r>
      <w:r w:rsidR="00DF0F76" w:rsidRPr="00D57C02">
        <w:rPr>
          <w:rFonts w:ascii="Arial" w:hAnsi="Arial" w:cs="Arial"/>
        </w:rPr>
        <w:t xml:space="preserve"> with about 10% mortality</w:t>
      </w:r>
      <w:r w:rsidRPr="00D57C02">
        <w:rPr>
          <w:rFonts w:ascii="Arial" w:hAnsi="Arial" w:cs="Arial"/>
        </w:rPr>
        <w:t xml:space="preserve">. </w:t>
      </w:r>
      <w:r w:rsidR="009406DD" w:rsidRPr="00D57C02">
        <w:rPr>
          <w:rFonts w:ascii="Arial" w:hAnsi="Arial" w:cs="Arial"/>
        </w:rPr>
        <w:t xml:space="preserve">The treatment success rate </w:t>
      </w:r>
      <w:r w:rsidR="001904B0">
        <w:rPr>
          <w:rFonts w:ascii="Arial" w:hAnsi="Arial" w:cs="Arial"/>
        </w:rPr>
        <w:t>(</w:t>
      </w:r>
      <w:r w:rsidR="00146134">
        <w:rPr>
          <w:rFonts w:ascii="Arial" w:hAnsi="Arial" w:cs="Arial"/>
        </w:rPr>
        <w:t>67</w:t>
      </w:r>
      <w:r w:rsidR="001904B0">
        <w:rPr>
          <w:rFonts w:ascii="Arial" w:hAnsi="Arial" w:cs="Arial"/>
        </w:rPr>
        <w:t xml:space="preserve">%) </w:t>
      </w:r>
      <w:r w:rsidR="009406DD" w:rsidRPr="00D57C02">
        <w:rPr>
          <w:rFonts w:ascii="Arial" w:hAnsi="Arial" w:cs="Arial"/>
        </w:rPr>
        <w:t>of treated MDR-TB cases is below the global target of 75%</w:t>
      </w:r>
      <w:r w:rsidR="00146134">
        <w:rPr>
          <w:rFonts w:ascii="Arial" w:hAnsi="Arial" w:cs="Arial"/>
        </w:rPr>
        <w:t xml:space="preserve"> (</w:t>
      </w:r>
      <w:r w:rsidR="004A558B" w:rsidRPr="003577B6">
        <w:rPr>
          <w:rFonts w:ascii="Arial" w:hAnsi="Arial" w:cs="Arial"/>
          <w:i/>
        </w:rPr>
        <w:t>Annex-</w:t>
      </w:r>
      <w:r w:rsidR="003577B6" w:rsidRPr="003577B6">
        <w:rPr>
          <w:rFonts w:ascii="Arial" w:hAnsi="Arial" w:cs="Arial"/>
          <w:i/>
        </w:rPr>
        <w:t>8,</w:t>
      </w:r>
      <w:r w:rsidR="00146134" w:rsidRPr="003577B6">
        <w:rPr>
          <w:rFonts w:ascii="Arial" w:hAnsi="Arial" w:cs="Arial"/>
          <w:i/>
        </w:rPr>
        <w:t xml:space="preserve"> p3</w:t>
      </w:r>
      <w:r w:rsidR="00392DAF">
        <w:rPr>
          <w:rFonts w:ascii="Arial" w:hAnsi="Arial" w:cs="Arial"/>
          <w:i/>
        </w:rPr>
        <w:t>1</w:t>
      </w:r>
      <w:r w:rsidR="00146134">
        <w:rPr>
          <w:rFonts w:ascii="Arial" w:hAnsi="Arial" w:cs="Arial"/>
        </w:rPr>
        <w:t>)</w:t>
      </w:r>
      <w:r w:rsidR="009406DD" w:rsidRPr="00D57C02">
        <w:rPr>
          <w:rFonts w:ascii="Arial" w:hAnsi="Arial" w:cs="Arial"/>
        </w:rPr>
        <w:t xml:space="preserve">. </w:t>
      </w:r>
      <w:r w:rsidR="00740642">
        <w:rPr>
          <w:rFonts w:ascii="Arial" w:hAnsi="Arial" w:cs="Arial"/>
        </w:rPr>
        <w:t>In</w:t>
      </w:r>
      <w:r w:rsidR="00C109D3" w:rsidRPr="00D57C02">
        <w:rPr>
          <w:rFonts w:ascii="Arial" w:hAnsi="Arial" w:cs="Arial"/>
        </w:rPr>
        <w:t xml:space="preserve"> 2015, </w:t>
      </w:r>
      <w:r w:rsidR="00273988">
        <w:rPr>
          <w:rFonts w:ascii="Arial" w:hAnsi="Arial" w:cs="Arial"/>
        </w:rPr>
        <w:t>the</w:t>
      </w:r>
      <w:r w:rsidR="00C109D3" w:rsidRPr="00D57C02">
        <w:rPr>
          <w:rFonts w:ascii="Arial" w:hAnsi="Arial" w:cs="Arial"/>
        </w:rPr>
        <w:t xml:space="preserve"> estimated </w:t>
      </w:r>
      <w:r w:rsidR="00273988">
        <w:rPr>
          <w:rFonts w:ascii="Arial" w:hAnsi="Arial" w:cs="Arial"/>
        </w:rPr>
        <w:t xml:space="preserve">number </w:t>
      </w:r>
      <w:r w:rsidR="00740642">
        <w:rPr>
          <w:rFonts w:ascii="Arial" w:hAnsi="Arial" w:cs="Arial"/>
        </w:rPr>
        <w:t xml:space="preserve">of </w:t>
      </w:r>
      <w:r w:rsidR="00740642" w:rsidRPr="00D57C02">
        <w:rPr>
          <w:rFonts w:ascii="Arial" w:hAnsi="Arial" w:cs="Arial"/>
        </w:rPr>
        <w:t>people</w:t>
      </w:r>
      <w:r w:rsidR="00C109D3" w:rsidRPr="00D57C02">
        <w:rPr>
          <w:rFonts w:ascii="Arial" w:hAnsi="Arial" w:cs="Arial"/>
        </w:rPr>
        <w:t xml:space="preserve"> living with HIV </w:t>
      </w:r>
      <w:r w:rsidR="0028444B" w:rsidRPr="00D57C02">
        <w:rPr>
          <w:rFonts w:ascii="Arial" w:hAnsi="Arial" w:cs="Arial"/>
        </w:rPr>
        <w:t>(PLHIV)</w:t>
      </w:r>
      <w:r w:rsidR="00740642">
        <w:rPr>
          <w:rFonts w:ascii="Arial" w:hAnsi="Arial" w:cs="Arial"/>
        </w:rPr>
        <w:t xml:space="preserve"> was </w:t>
      </w:r>
      <w:r w:rsidR="00740642" w:rsidRPr="00D57C02">
        <w:rPr>
          <w:rFonts w:ascii="Arial" w:hAnsi="Arial" w:cs="Arial"/>
        </w:rPr>
        <w:t>39</w:t>
      </w:r>
      <w:r w:rsidR="00740642">
        <w:rPr>
          <w:rFonts w:ascii="Arial" w:hAnsi="Arial" w:cs="Arial"/>
        </w:rPr>
        <w:t>,</w:t>
      </w:r>
      <w:r w:rsidR="00740642" w:rsidRPr="00D57C02">
        <w:rPr>
          <w:rFonts w:ascii="Arial" w:hAnsi="Arial" w:cs="Arial"/>
        </w:rPr>
        <w:t>397</w:t>
      </w:r>
      <w:r w:rsidR="00C109D3" w:rsidRPr="00D57C02">
        <w:rPr>
          <w:rFonts w:ascii="Arial" w:hAnsi="Arial" w:cs="Arial"/>
        </w:rPr>
        <w:t>, with an adult HIV prevalence of 0.2%. HIV prevalence among TB</w:t>
      </w:r>
      <w:r w:rsidR="0028444B" w:rsidRPr="00D57C02">
        <w:rPr>
          <w:rFonts w:ascii="Arial" w:hAnsi="Arial" w:cs="Arial"/>
        </w:rPr>
        <w:t xml:space="preserve"> patients</w:t>
      </w:r>
      <w:r w:rsidR="00C109D3" w:rsidRPr="00D57C02">
        <w:rPr>
          <w:rFonts w:ascii="Arial" w:hAnsi="Arial" w:cs="Arial"/>
        </w:rPr>
        <w:t xml:space="preserve"> </w:t>
      </w:r>
      <w:r w:rsidR="00DA19E2">
        <w:rPr>
          <w:rFonts w:ascii="Arial" w:hAnsi="Arial" w:cs="Arial"/>
        </w:rPr>
        <w:t>wa</w:t>
      </w:r>
      <w:r w:rsidR="00C109D3" w:rsidRPr="00D57C02">
        <w:rPr>
          <w:rFonts w:ascii="Arial" w:hAnsi="Arial" w:cs="Arial"/>
        </w:rPr>
        <w:t xml:space="preserve">s </w:t>
      </w:r>
      <w:r w:rsidR="00487443" w:rsidRPr="00D57C02">
        <w:rPr>
          <w:rFonts w:ascii="Arial" w:hAnsi="Arial" w:cs="Arial"/>
        </w:rPr>
        <w:t xml:space="preserve">1.8% </w:t>
      </w:r>
      <w:r w:rsidR="00C109D3" w:rsidRPr="00D57C02">
        <w:rPr>
          <w:rFonts w:ascii="Arial" w:hAnsi="Arial" w:cs="Arial"/>
        </w:rPr>
        <w:t xml:space="preserve">and prevalence of TB among </w:t>
      </w:r>
      <w:r w:rsidR="0028444B" w:rsidRPr="00D57C02">
        <w:rPr>
          <w:rFonts w:ascii="Arial" w:hAnsi="Arial" w:cs="Arial"/>
        </w:rPr>
        <w:t>PLHIV</w:t>
      </w:r>
      <w:r w:rsidR="00C109D3" w:rsidRPr="00D57C02">
        <w:rPr>
          <w:rFonts w:ascii="Arial" w:hAnsi="Arial" w:cs="Arial"/>
        </w:rPr>
        <w:t xml:space="preserve"> </w:t>
      </w:r>
      <w:r w:rsidR="00DA19E2">
        <w:rPr>
          <w:rFonts w:ascii="Arial" w:hAnsi="Arial" w:cs="Arial"/>
        </w:rPr>
        <w:t>wa</w:t>
      </w:r>
      <w:r w:rsidR="00C109D3" w:rsidRPr="00D57C02">
        <w:rPr>
          <w:rFonts w:ascii="Arial" w:hAnsi="Arial" w:cs="Arial"/>
        </w:rPr>
        <w:t xml:space="preserve">s </w:t>
      </w:r>
      <w:r w:rsidR="00487443" w:rsidRPr="00D57C02">
        <w:rPr>
          <w:rFonts w:ascii="Arial" w:hAnsi="Arial" w:cs="Arial"/>
        </w:rPr>
        <w:t>8.5%</w:t>
      </w:r>
      <w:r w:rsidR="00A9012E" w:rsidRPr="00D57C02">
        <w:rPr>
          <w:rFonts w:ascii="Arial" w:hAnsi="Arial" w:cs="Arial"/>
        </w:rPr>
        <w:t>.</w:t>
      </w:r>
      <w:r w:rsidR="0028444B" w:rsidRPr="00D57C02">
        <w:rPr>
          <w:rFonts w:ascii="Arial" w:hAnsi="Arial" w:cs="Arial"/>
        </w:rPr>
        <w:t xml:space="preserve"> </w:t>
      </w:r>
      <w:r w:rsidR="00F165A0" w:rsidRPr="00D57C02">
        <w:rPr>
          <w:rFonts w:ascii="Arial" w:hAnsi="Arial" w:cs="Arial"/>
        </w:rPr>
        <w:t xml:space="preserve">Among the registered TB cases, </w:t>
      </w:r>
      <w:r w:rsidR="00606145" w:rsidRPr="00D57C02">
        <w:rPr>
          <w:rFonts w:ascii="Arial" w:hAnsi="Arial" w:cs="Arial"/>
        </w:rPr>
        <w:t xml:space="preserve">only </w:t>
      </w:r>
      <w:r w:rsidR="00F165A0" w:rsidRPr="00D57C02">
        <w:rPr>
          <w:rFonts w:ascii="Arial" w:hAnsi="Arial" w:cs="Arial"/>
        </w:rPr>
        <w:t xml:space="preserve">18% </w:t>
      </w:r>
      <w:r w:rsidR="00740642">
        <w:rPr>
          <w:rFonts w:ascii="Arial" w:hAnsi="Arial" w:cs="Arial"/>
        </w:rPr>
        <w:t>were</w:t>
      </w:r>
      <w:r w:rsidR="00F165A0" w:rsidRPr="00D57C02">
        <w:rPr>
          <w:rFonts w:ascii="Arial" w:hAnsi="Arial" w:cs="Arial"/>
        </w:rPr>
        <w:t xml:space="preserve"> tested for HIV, 4.5 % of them </w:t>
      </w:r>
      <w:r w:rsidR="00740642">
        <w:rPr>
          <w:rFonts w:ascii="Arial" w:hAnsi="Arial" w:cs="Arial"/>
        </w:rPr>
        <w:t>were</w:t>
      </w:r>
      <w:r w:rsidR="00B658B0" w:rsidRPr="00D57C02">
        <w:rPr>
          <w:rFonts w:ascii="Arial" w:hAnsi="Arial" w:cs="Arial"/>
        </w:rPr>
        <w:t xml:space="preserve"> </w:t>
      </w:r>
      <w:r w:rsidR="00F165A0" w:rsidRPr="00D57C02">
        <w:rPr>
          <w:rFonts w:ascii="Arial" w:hAnsi="Arial" w:cs="Arial"/>
        </w:rPr>
        <w:t xml:space="preserve">positive for HIV and 89% of them </w:t>
      </w:r>
      <w:r w:rsidR="00740642">
        <w:rPr>
          <w:rFonts w:ascii="Arial" w:hAnsi="Arial" w:cs="Arial"/>
        </w:rPr>
        <w:t>we</w:t>
      </w:r>
      <w:r w:rsidR="00B658B0" w:rsidRPr="00D57C02">
        <w:rPr>
          <w:rFonts w:ascii="Arial" w:hAnsi="Arial" w:cs="Arial"/>
        </w:rPr>
        <w:t xml:space="preserve">re </w:t>
      </w:r>
      <w:r w:rsidR="00740642">
        <w:rPr>
          <w:rFonts w:ascii="Arial" w:hAnsi="Arial" w:cs="Arial"/>
        </w:rPr>
        <w:t xml:space="preserve">put </w:t>
      </w:r>
      <w:r w:rsidR="00D30CEF" w:rsidRPr="00D57C02">
        <w:rPr>
          <w:rFonts w:ascii="Arial" w:hAnsi="Arial" w:cs="Arial"/>
        </w:rPr>
        <w:t xml:space="preserve">on ART </w:t>
      </w:r>
      <w:r w:rsidR="00D30CEF" w:rsidRPr="00E00052">
        <w:rPr>
          <w:rFonts w:ascii="Arial" w:hAnsi="Arial" w:cs="Arial"/>
        </w:rPr>
        <w:t>(</w:t>
      </w:r>
      <w:r w:rsidR="0085019B" w:rsidRPr="00E00052">
        <w:rPr>
          <w:rFonts w:ascii="Arial" w:hAnsi="Arial" w:cs="Arial"/>
          <w:i/>
        </w:rPr>
        <w:t>Annex-</w:t>
      </w:r>
      <w:r w:rsidR="007370B3" w:rsidRPr="00E00052">
        <w:rPr>
          <w:rFonts w:ascii="Arial" w:hAnsi="Arial" w:cs="Arial"/>
          <w:i/>
        </w:rPr>
        <w:t>8</w:t>
      </w:r>
      <w:r w:rsidR="00B26EBB" w:rsidRPr="00E00052">
        <w:rPr>
          <w:rFonts w:ascii="Arial" w:hAnsi="Arial" w:cs="Arial"/>
          <w:i/>
        </w:rPr>
        <w:t>, p</w:t>
      </w:r>
      <w:r w:rsidR="00796C5B">
        <w:rPr>
          <w:rFonts w:ascii="Arial" w:hAnsi="Arial" w:cs="Arial"/>
          <w:i/>
        </w:rPr>
        <w:t>23</w:t>
      </w:r>
      <w:r w:rsidR="004A357F" w:rsidRPr="00E00052">
        <w:rPr>
          <w:rFonts w:ascii="Arial" w:hAnsi="Arial" w:cs="Arial"/>
        </w:rPr>
        <w:t>).</w:t>
      </w:r>
      <w:r w:rsidR="00460681">
        <w:rPr>
          <w:rFonts w:ascii="Arial" w:hAnsi="Arial" w:cs="Arial"/>
        </w:rPr>
        <w:t xml:space="preserve"> </w:t>
      </w:r>
    </w:p>
    <w:p w14:paraId="5CBD6CD4" w14:textId="77777777" w:rsidR="00146134" w:rsidRDefault="00146134" w:rsidP="00A66D1D">
      <w:pPr>
        <w:spacing w:after="0" w:line="240" w:lineRule="auto"/>
        <w:jc w:val="both"/>
        <w:rPr>
          <w:rFonts w:ascii="Arial" w:hAnsi="Arial" w:cs="Arial"/>
        </w:rPr>
      </w:pPr>
    </w:p>
    <w:p w14:paraId="48EBFA53" w14:textId="7DA6FBEE" w:rsidR="00D4534C" w:rsidRPr="00AE006B" w:rsidRDefault="00DB6BFB" w:rsidP="00D4534C">
      <w:pPr>
        <w:spacing w:after="0" w:line="240" w:lineRule="auto"/>
        <w:jc w:val="both"/>
        <w:rPr>
          <w:rFonts w:ascii="Arial" w:hAnsi="Arial" w:cs="Arial"/>
          <w:strike/>
        </w:rPr>
      </w:pPr>
      <w:r>
        <w:rPr>
          <w:rFonts w:ascii="Arial" w:hAnsi="Arial" w:cs="Arial"/>
        </w:rPr>
        <w:t>In line with</w:t>
      </w:r>
      <w:r w:rsidR="00ED5E2D" w:rsidRPr="003B1701">
        <w:rPr>
          <w:rFonts w:ascii="Arial" w:hAnsi="Arial" w:cs="Arial"/>
        </w:rPr>
        <w:t xml:space="preserve"> the Sustainable Development Goals</w:t>
      </w:r>
      <w:r w:rsidR="00ED5E2D" w:rsidRPr="003B1701">
        <w:rPr>
          <w:rStyle w:val="EndnoteReference"/>
          <w:rFonts w:ascii="Arial" w:hAnsi="Arial" w:cs="Arial"/>
        </w:rPr>
        <w:endnoteReference w:id="9"/>
      </w:r>
      <w:r w:rsidR="00ED5E2D" w:rsidRPr="003B1701">
        <w:rPr>
          <w:rFonts w:ascii="Arial" w:hAnsi="Arial" w:cs="Arial"/>
        </w:rPr>
        <w:t xml:space="preserve"> (SDGs), the government’s vision “has moved beyond the Stop TB strategy to </w:t>
      </w:r>
      <w:r>
        <w:rPr>
          <w:rFonts w:ascii="Arial" w:hAnsi="Arial" w:cs="Arial"/>
        </w:rPr>
        <w:t xml:space="preserve">the </w:t>
      </w:r>
      <w:r w:rsidR="00ED5E2D" w:rsidRPr="003B1701">
        <w:rPr>
          <w:rFonts w:ascii="Arial" w:hAnsi="Arial" w:cs="Arial"/>
        </w:rPr>
        <w:t>End TB strategy</w:t>
      </w:r>
      <w:r w:rsidR="00ED5E2D" w:rsidRPr="003B1701">
        <w:rPr>
          <w:rStyle w:val="EndnoteReference"/>
          <w:rFonts w:ascii="Arial" w:hAnsi="Arial" w:cs="Arial"/>
        </w:rPr>
        <w:endnoteReference w:id="10"/>
      </w:r>
      <w:r w:rsidR="00ED5E2D" w:rsidRPr="003B1701">
        <w:rPr>
          <w:rFonts w:ascii="Arial" w:hAnsi="Arial" w:cs="Arial"/>
        </w:rPr>
        <w:t>, by placing at the centre</w:t>
      </w:r>
      <w:r w:rsidR="005E56E4">
        <w:rPr>
          <w:rFonts w:ascii="Arial" w:hAnsi="Arial" w:cs="Arial"/>
        </w:rPr>
        <w:t>,</w:t>
      </w:r>
      <w:r w:rsidR="00ED5E2D" w:rsidRPr="003B1701">
        <w:rPr>
          <w:rFonts w:ascii="Arial" w:hAnsi="Arial" w:cs="Arial"/>
        </w:rPr>
        <w:t xml:space="preserve"> all people vulnerable for TB, with a focus on community empowerment and private sector involvement in TB management, as a key strategy for moving forward</w:t>
      </w:r>
      <w:r w:rsidR="00ED5E2D" w:rsidRPr="00BC0D45">
        <w:rPr>
          <w:rFonts w:ascii="Arial" w:hAnsi="Arial" w:cs="Arial"/>
        </w:rPr>
        <w:t>” (</w:t>
      </w:r>
      <w:r w:rsidR="00ED5E2D" w:rsidRPr="00BC0D45">
        <w:rPr>
          <w:rFonts w:ascii="Arial" w:hAnsi="Arial" w:cs="Arial"/>
          <w:i/>
        </w:rPr>
        <w:t>Annex-9</w:t>
      </w:r>
      <w:r w:rsidR="00BC0D45">
        <w:rPr>
          <w:rFonts w:ascii="Arial" w:hAnsi="Arial" w:cs="Arial"/>
          <w:i/>
        </w:rPr>
        <w:t>,</w:t>
      </w:r>
      <w:r w:rsidR="00ED5E2D" w:rsidRPr="00BC0D45">
        <w:rPr>
          <w:rFonts w:ascii="Arial" w:hAnsi="Arial" w:cs="Arial"/>
          <w:i/>
        </w:rPr>
        <w:t xml:space="preserve"> p105</w:t>
      </w:r>
      <w:r w:rsidR="00ED5E2D" w:rsidRPr="00BC0D45">
        <w:rPr>
          <w:rFonts w:ascii="Arial" w:hAnsi="Arial" w:cs="Arial"/>
        </w:rPr>
        <w:t>).</w:t>
      </w:r>
      <w:r w:rsidR="00ED5E2D" w:rsidRPr="003B1701">
        <w:rPr>
          <w:rFonts w:ascii="Arial" w:hAnsi="Arial" w:cs="Arial"/>
        </w:rPr>
        <w:t xml:space="preserve"> The goal of the NSP is to </w:t>
      </w:r>
      <w:r w:rsidR="00ED5E2D" w:rsidRPr="003B1701">
        <w:rPr>
          <w:rStyle w:val="BookTitle"/>
          <w:rFonts w:ascii="Arial" w:hAnsi="Arial" w:cs="Arial"/>
        </w:rPr>
        <w:t>“</w:t>
      </w:r>
      <w:r w:rsidR="00ED5E2D" w:rsidRPr="003B1701">
        <w:rPr>
          <w:rFonts w:ascii="Arial" w:hAnsi="Arial" w:cs="Arial"/>
        </w:rPr>
        <w:t xml:space="preserve">to reduce the TB incidence by 20% by the year 2021 compared to 2014 and increase case notifications by a cumulative total of 20,000 </w:t>
      </w:r>
      <w:r w:rsidR="00BC0D45">
        <w:rPr>
          <w:rFonts w:ascii="Arial" w:hAnsi="Arial" w:cs="Arial"/>
        </w:rPr>
        <w:t xml:space="preserve">cases </w:t>
      </w:r>
      <w:r w:rsidR="00ED5E2D" w:rsidRPr="003B1701">
        <w:rPr>
          <w:rFonts w:ascii="Arial" w:hAnsi="Arial" w:cs="Arial"/>
        </w:rPr>
        <w:t xml:space="preserve">by July 2021, </w:t>
      </w:r>
      <w:r w:rsidR="00ED5E2D" w:rsidRPr="003B1701">
        <w:rPr>
          <w:rFonts w:ascii="Arial" w:hAnsi="Arial" w:cs="Arial"/>
        </w:rPr>
        <w:lastRenderedPageBreak/>
        <w:t>compared to 2015/16</w:t>
      </w:r>
      <w:r w:rsidR="00ED5E2D" w:rsidRPr="003B1701">
        <w:rPr>
          <w:rStyle w:val="BookTitle"/>
          <w:rFonts w:ascii="Arial" w:hAnsi="Arial" w:cs="Arial"/>
        </w:rPr>
        <w:t>”</w:t>
      </w:r>
      <w:r w:rsidR="00ED5E2D" w:rsidRPr="003B1701">
        <w:rPr>
          <w:rStyle w:val="BookTitle"/>
          <w:rFonts w:ascii="Arial" w:hAnsi="Arial" w:cs="Arial"/>
          <w:b w:val="0"/>
          <w:i w:val="0"/>
        </w:rPr>
        <w:t xml:space="preserve">. </w:t>
      </w:r>
      <w:r w:rsidR="00A54934">
        <w:rPr>
          <w:rFonts w:ascii="Arial" w:hAnsi="Arial" w:cs="Arial"/>
        </w:rPr>
        <w:t>T</w:t>
      </w:r>
      <w:r w:rsidR="0001756C" w:rsidRPr="003942C4">
        <w:rPr>
          <w:rFonts w:ascii="Arial" w:hAnsi="Arial" w:cs="Arial"/>
        </w:rPr>
        <w:t xml:space="preserve">he NTP </w:t>
      </w:r>
      <w:r w:rsidR="008D3BFE">
        <w:rPr>
          <w:rFonts w:ascii="Arial" w:hAnsi="Arial" w:cs="Arial"/>
        </w:rPr>
        <w:t>envisaged</w:t>
      </w:r>
      <w:r w:rsidR="0001756C" w:rsidRPr="003942C4">
        <w:rPr>
          <w:rFonts w:ascii="Arial" w:hAnsi="Arial" w:cs="Arial"/>
        </w:rPr>
        <w:t xml:space="preserve"> </w:t>
      </w:r>
      <w:proofErr w:type="gramStart"/>
      <w:r w:rsidR="0001756C" w:rsidRPr="003942C4">
        <w:rPr>
          <w:rFonts w:ascii="Arial" w:hAnsi="Arial" w:cs="Arial"/>
        </w:rPr>
        <w:t>to treat</w:t>
      </w:r>
      <w:proofErr w:type="gramEnd"/>
      <w:r w:rsidR="0001756C" w:rsidRPr="003942C4">
        <w:rPr>
          <w:rFonts w:ascii="Arial" w:hAnsi="Arial" w:cs="Arial"/>
        </w:rPr>
        <w:t xml:space="preserve"> over 190,000 </w:t>
      </w:r>
      <w:r w:rsidR="00A54934">
        <w:rPr>
          <w:rFonts w:ascii="Arial" w:hAnsi="Arial" w:cs="Arial"/>
        </w:rPr>
        <w:t xml:space="preserve">TB </w:t>
      </w:r>
      <w:r w:rsidR="0001756C" w:rsidRPr="003942C4">
        <w:rPr>
          <w:rFonts w:ascii="Arial" w:hAnsi="Arial" w:cs="Arial"/>
        </w:rPr>
        <w:t xml:space="preserve">cases </w:t>
      </w:r>
      <w:r w:rsidR="008D3BFE">
        <w:rPr>
          <w:rFonts w:ascii="Arial" w:hAnsi="Arial" w:cs="Arial"/>
        </w:rPr>
        <w:t>including</w:t>
      </w:r>
      <w:r w:rsidR="0001756C" w:rsidRPr="003942C4">
        <w:rPr>
          <w:rFonts w:ascii="Arial" w:hAnsi="Arial" w:cs="Arial"/>
        </w:rPr>
        <w:t xml:space="preserve"> 13,500 cases of childhood TB; 5,000 TB/HIV co-</w:t>
      </w:r>
      <w:r w:rsidR="00A54934">
        <w:rPr>
          <w:rFonts w:ascii="Arial" w:hAnsi="Arial" w:cs="Arial"/>
        </w:rPr>
        <w:t>infected cases</w:t>
      </w:r>
      <w:r w:rsidR="0001756C" w:rsidRPr="003942C4">
        <w:rPr>
          <w:rFonts w:ascii="Arial" w:hAnsi="Arial" w:cs="Arial"/>
        </w:rPr>
        <w:t xml:space="preserve">; 3,360 with MDR-TB and 116 with XDR-TB. </w:t>
      </w:r>
      <w:r w:rsidR="00267777" w:rsidRPr="003942C4">
        <w:rPr>
          <w:rFonts w:ascii="Arial" w:hAnsi="Arial" w:cs="Arial"/>
        </w:rPr>
        <w:t xml:space="preserve">Around </w:t>
      </w:r>
      <w:r w:rsidR="0001756C" w:rsidRPr="003942C4">
        <w:rPr>
          <w:rFonts w:ascii="Arial" w:hAnsi="Arial" w:cs="Arial"/>
        </w:rPr>
        <w:t xml:space="preserve">2.2 million smear examinations would be carried out, with 290,000 cultures, 26,000 drug-susceptibility tests and 570,000 </w:t>
      </w:r>
      <w:proofErr w:type="spellStart"/>
      <w:r w:rsidR="00460681" w:rsidRPr="003942C4">
        <w:rPr>
          <w:rFonts w:ascii="Arial" w:hAnsi="Arial" w:cs="Arial"/>
        </w:rPr>
        <w:t>G</w:t>
      </w:r>
      <w:r w:rsidR="0001756C" w:rsidRPr="003942C4">
        <w:rPr>
          <w:rFonts w:ascii="Arial" w:hAnsi="Arial" w:cs="Arial"/>
        </w:rPr>
        <w:t>eneXpert</w:t>
      </w:r>
      <w:proofErr w:type="spellEnd"/>
      <w:r w:rsidR="00597DCF" w:rsidRPr="003942C4">
        <w:rPr>
          <w:rFonts w:ascii="Arial" w:hAnsi="Arial" w:cs="Arial"/>
        </w:rPr>
        <w:t xml:space="preserve"> (GX)</w:t>
      </w:r>
      <w:r w:rsidR="0001756C" w:rsidRPr="003942C4">
        <w:rPr>
          <w:rFonts w:ascii="Arial" w:hAnsi="Arial" w:cs="Arial"/>
        </w:rPr>
        <w:t xml:space="preserve"> tests.</w:t>
      </w:r>
      <w:r w:rsidR="0001756C" w:rsidRPr="0087281F">
        <w:rPr>
          <w:rFonts w:ascii="Arial" w:hAnsi="Arial" w:cs="Arial"/>
        </w:rPr>
        <w:t xml:space="preserve"> </w:t>
      </w:r>
      <w:r w:rsidR="008B4FCD" w:rsidRPr="008B4FCD">
        <w:rPr>
          <w:rFonts w:ascii="Arial" w:hAnsi="Arial" w:cs="Arial"/>
        </w:rPr>
        <w:t xml:space="preserve">The total estimated cost of the NSP (2016-2020) </w:t>
      </w:r>
      <w:r w:rsidR="00162A3A">
        <w:rPr>
          <w:rFonts w:ascii="Arial" w:hAnsi="Arial" w:cs="Arial"/>
        </w:rPr>
        <w:t>wa</w:t>
      </w:r>
      <w:r w:rsidR="008B4FCD" w:rsidRPr="008B4FCD">
        <w:rPr>
          <w:rFonts w:ascii="Arial" w:hAnsi="Arial" w:cs="Arial"/>
        </w:rPr>
        <w:t>s US</w:t>
      </w:r>
      <w:r w:rsidR="00816347">
        <w:rPr>
          <w:rFonts w:ascii="Arial" w:hAnsi="Arial" w:cs="Arial"/>
        </w:rPr>
        <w:t>D</w:t>
      </w:r>
      <w:r w:rsidR="008B4FCD" w:rsidRPr="008B4FCD">
        <w:rPr>
          <w:rFonts w:ascii="Arial" w:hAnsi="Arial" w:cs="Arial"/>
        </w:rPr>
        <w:t xml:space="preserve"> </w:t>
      </w:r>
      <w:r w:rsidR="008B4FCD" w:rsidRPr="008B4FCD">
        <w:rPr>
          <w:rFonts w:ascii="Arial" w:hAnsi="Arial" w:cs="Arial"/>
          <w:lang w:eastAsia="en-GB"/>
        </w:rPr>
        <w:t>105,142,115</w:t>
      </w:r>
      <w:r w:rsidR="008B4FCD" w:rsidRPr="008B4FCD">
        <w:rPr>
          <w:rFonts w:ascii="Arial" w:hAnsi="Arial" w:cs="Arial"/>
        </w:rPr>
        <w:t xml:space="preserve">. </w:t>
      </w:r>
    </w:p>
    <w:p w14:paraId="36176EDA" w14:textId="77777777" w:rsidR="00D4534C" w:rsidRDefault="00D4534C" w:rsidP="006C2284">
      <w:pPr>
        <w:spacing w:after="0" w:line="240" w:lineRule="auto"/>
        <w:jc w:val="both"/>
        <w:rPr>
          <w:rFonts w:ascii="Arial" w:hAnsi="Arial" w:cs="Arial"/>
        </w:rPr>
      </w:pPr>
    </w:p>
    <w:p w14:paraId="57BEE970" w14:textId="76916CB8" w:rsidR="00D92737" w:rsidRDefault="002220DC" w:rsidP="0007237B">
      <w:pPr>
        <w:spacing w:line="240" w:lineRule="auto"/>
        <w:jc w:val="both"/>
        <w:rPr>
          <w:rFonts w:ascii="Arial" w:hAnsi="Arial" w:cs="Arial"/>
        </w:rPr>
      </w:pPr>
      <w:r>
        <w:rPr>
          <w:rFonts w:ascii="Arial" w:hAnsi="Arial" w:cs="Arial"/>
        </w:rPr>
        <w:t xml:space="preserve">The </w:t>
      </w:r>
      <w:r w:rsidR="00633084">
        <w:rPr>
          <w:rFonts w:ascii="Arial" w:hAnsi="Arial" w:cs="Arial"/>
        </w:rPr>
        <w:t>p</w:t>
      </w:r>
      <w:r w:rsidR="00B20DC3" w:rsidRPr="00D92737">
        <w:rPr>
          <w:rFonts w:ascii="Arial" w:hAnsi="Arial" w:cs="Arial"/>
        </w:rPr>
        <w:t xml:space="preserve">rioritization of </w:t>
      </w:r>
      <w:r w:rsidR="008F202D" w:rsidRPr="00D92737">
        <w:rPr>
          <w:rFonts w:ascii="Arial" w:hAnsi="Arial" w:cs="Arial"/>
        </w:rPr>
        <w:t>G</w:t>
      </w:r>
      <w:r w:rsidR="00A36613" w:rsidRPr="00D92737">
        <w:rPr>
          <w:rFonts w:ascii="Arial" w:hAnsi="Arial" w:cs="Arial"/>
        </w:rPr>
        <w:t xml:space="preserve">lobal </w:t>
      </w:r>
      <w:r w:rsidR="008F202D" w:rsidRPr="00D92737">
        <w:rPr>
          <w:rFonts w:ascii="Arial" w:hAnsi="Arial" w:cs="Arial"/>
        </w:rPr>
        <w:t>F</w:t>
      </w:r>
      <w:r w:rsidR="00A36613" w:rsidRPr="00D92737">
        <w:rPr>
          <w:rFonts w:ascii="Arial" w:hAnsi="Arial" w:cs="Arial"/>
        </w:rPr>
        <w:t>und</w:t>
      </w:r>
      <w:r w:rsidR="00207E24" w:rsidRPr="00D92737">
        <w:rPr>
          <w:rFonts w:ascii="Arial" w:hAnsi="Arial" w:cs="Arial"/>
        </w:rPr>
        <w:t xml:space="preserve"> (GF)</w:t>
      </w:r>
      <w:r w:rsidR="008F202D" w:rsidRPr="00D92737">
        <w:rPr>
          <w:rFonts w:ascii="Arial" w:hAnsi="Arial" w:cs="Arial"/>
        </w:rPr>
        <w:t xml:space="preserve"> </w:t>
      </w:r>
      <w:r w:rsidR="00B20DC3" w:rsidRPr="00D92737">
        <w:rPr>
          <w:rFonts w:ascii="Arial" w:hAnsi="Arial" w:cs="Arial"/>
        </w:rPr>
        <w:t xml:space="preserve">investment </w:t>
      </w:r>
      <w:r w:rsidR="00CA141E">
        <w:rPr>
          <w:rFonts w:ascii="Arial" w:hAnsi="Arial" w:cs="Arial"/>
        </w:rPr>
        <w:t xml:space="preserve">guided by an extensive and inclusive country dialogue process </w:t>
      </w:r>
      <w:r w:rsidR="00AF3513">
        <w:rPr>
          <w:rFonts w:ascii="Arial" w:hAnsi="Arial" w:cs="Arial"/>
        </w:rPr>
        <w:t>would be</w:t>
      </w:r>
      <w:r w:rsidR="00AE006B">
        <w:rPr>
          <w:rFonts w:ascii="Arial" w:hAnsi="Arial" w:cs="Arial"/>
        </w:rPr>
        <w:t xml:space="preserve"> </w:t>
      </w:r>
      <w:r w:rsidR="009813E6" w:rsidRPr="00D92737">
        <w:rPr>
          <w:rFonts w:ascii="Arial" w:hAnsi="Arial" w:cs="Arial"/>
        </w:rPr>
        <w:t xml:space="preserve">on high impact interventions </w:t>
      </w:r>
      <w:r w:rsidR="008C19EB">
        <w:rPr>
          <w:rFonts w:ascii="Arial" w:hAnsi="Arial" w:cs="Arial"/>
        </w:rPr>
        <w:t>to</w:t>
      </w:r>
      <w:r w:rsidR="00D6748B" w:rsidRPr="00D92737">
        <w:rPr>
          <w:rFonts w:ascii="Arial" w:hAnsi="Arial" w:cs="Arial"/>
        </w:rPr>
        <w:t xml:space="preserve"> </w:t>
      </w:r>
      <w:r w:rsidR="009813E6" w:rsidRPr="00D92737">
        <w:rPr>
          <w:rFonts w:ascii="Arial" w:hAnsi="Arial" w:cs="Arial"/>
        </w:rPr>
        <w:t>intensify TB case finding</w:t>
      </w:r>
      <w:r w:rsidR="008C19EB">
        <w:rPr>
          <w:rFonts w:ascii="Arial" w:hAnsi="Arial" w:cs="Arial"/>
        </w:rPr>
        <w:t>,</w:t>
      </w:r>
      <w:r w:rsidR="00D92737">
        <w:rPr>
          <w:rFonts w:ascii="Arial" w:hAnsi="Arial" w:cs="Arial"/>
        </w:rPr>
        <w:t xml:space="preserve"> s</w:t>
      </w:r>
      <w:r w:rsidR="00D92737" w:rsidRPr="00D92737">
        <w:rPr>
          <w:rFonts w:ascii="Arial" w:hAnsi="Arial" w:cs="Arial"/>
        </w:rPr>
        <w:t xml:space="preserve">trengthen management of </w:t>
      </w:r>
      <w:r w:rsidR="00D92737">
        <w:rPr>
          <w:rFonts w:ascii="Arial" w:hAnsi="Arial" w:cs="Arial"/>
        </w:rPr>
        <w:t>DR-</w:t>
      </w:r>
      <w:r w:rsidR="00D92737" w:rsidRPr="00D92737">
        <w:rPr>
          <w:rFonts w:ascii="Arial" w:hAnsi="Arial" w:cs="Arial"/>
        </w:rPr>
        <w:t>TB</w:t>
      </w:r>
      <w:r w:rsidR="00D92737">
        <w:rPr>
          <w:rFonts w:ascii="Arial" w:hAnsi="Arial" w:cs="Arial"/>
        </w:rPr>
        <w:t xml:space="preserve"> patients</w:t>
      </w:r>
      <w:r w:rsidR="008C19EB">
        <w:rPr>
          <w:rFonts w:ascii="Arial" w:hAnsi="Arial" w:cs="Arial"/>
        </w:rPr>
        <w:t xml:space="preserve">, </w:t>
      </w:r>
      <w:r w:rsidR="00D92737" w:rsidRPr="00D92737">
        <w:rPr>
          <w:rFonts w:ascii="Arial" w:hAnsi="Arial" w:cs="Arial"/>
        </w:rPr>
        <w:t>childhood TB</w:t>
      </w:r>
      <w:r w:rsidR="008C19EB">
        <w:rPr>
          <w:rFonts w:ascii="Arial" w:hAnsi="Arial" w:cs="Arial"/>
        </w:rPr>
        <w:t>,</w:t>
      </w:r>
      <w:r w:rsidR="00D92737" w:rsidRPr="00D92737">
        <w:rPr>
          <w:rFonts w:ascii="Arial" w:hAnsi="Arial" w:cs="Arial"/>
        </w:rPr>
        <w:t xml:space="preserve"> TB/HIV collaboration</w:t>
      </w:r>
      <w:r w:rsidR="008C19EB">
        <w:rPr>
          <w:rFonts w:ascii="Arial" w:hAnsi="Arial" w:cs="Arial"/>
        </w:rPr>
        <w:t xml:space="preserve"> and </w:t>
      </w:r>
      <w:r w:rsidR="00D92737">
        <w:rPr>
          <w:rFonts w:ascii="Arial" w:hAnsi="Arial" w:cs="Arial"/>
        </w:rPr>
        <w:t>b</w:t>
      </w:r>
      <w:r w:rsidR="00D92737" w:rsidRPr="00D92737">
        <w:rPr>
          <w:rFonts w:ascii="Arial" w:hAnsi="Arial" w:cs="Arial"/>
        </w:rPr>
        <w:t xml:space="preserve">uild resilient and sustainable systems for </w:t>
      </w:r>
      <w:r w:rsidR="00D92737">
        <w:rPr>
          <w:rFonts w:ascii="Arial" w:hAnsi="Arial" w:cs="Arial"/>
        </w:rPr>
        <w:t xml:space="preserve">health (RSSH). </w:t>
      </w:r>
      <w:r w:rsidR="00AF55A8">
        <w:rPr>
          <w:rFonts w:ascii="Arial" w:hAnsi="Arial" w:cs="Arial"/>
        </w:rPr>
        <w:t xml:space="preserve">The </w:t>
      </w:r>
      <w:r w:rsidR="00D92737">
        <w:rPr>
          <w:rFonts w:ascii="Arial" w:hAnsi="Arial" w:cs="Arial"/>
        </w:rPr>
        <w:t>RSSH</w:t>
      </w:r>
      <w:r w:rsidR="00F1752B">
        <w:rPr>
          <w:rFonts w:ascii="Arial" w:hAnsi="Arial" w:cs="Arial"/>
        </w:rPr>
        <w:t xml:space="preserve"> </w:t>
      </w:r>
      <w:r w:rsidR="00AF55A8">
        <w:rPr>
          <w:rFonts w:ascii="Arial" w:hAnsi="Arial" w:cs="Arial"/>
        </w:rPr>
        <w:t xml:space="preserve">module would </w:t>
      </w:r>
      <w:r w:rsidR="00D92737">
        <w:rPr>
          <w:rFonts w:ascii="Arial" w:hAnsi="Arial" w:cs="Arial"/>
        </w:rPr>
        <w:t xml:space="preserve">focus on </w:t>
      </w:r>
      <w:r w:rsidR="007F722F">
        <w:rPr>
          <w:rFonts w:ascii="Arial" w:hAnsi="Arial" w:cs="Arial"/>
        </w:rPr>
        <w:t xml:space="preserve">establishing </w:t>
      </w:r>
      <w:r w:rsidR="00AE49D9" w:rsidRPr="00BF366F">
        <w:rPr>
          <w:rFonts w:ascii="Arial" w:hAnsi="Arial" w:cs="Arial"/>
          <w:bCs/>
          <w:lang w:val="en-US"/>
        </w:rPr>
        <w:t>highly synergistic integrated</w:t>
      </w:r>
      <w:r w:rsidR="00AE49D9" w:rsidRPr="00D57C02">
        <w:rPr>
          <w:rFonts w:ascii="Arial" w:hAnsi="Arial" w:cs="Arial"/>
          <w:bCs/>
          <w:lang w:val="en-US"/>
        </w:rPr>
        <w:t xml:space="preserve"> services with </w:t>
      </w:r>
      <w:r w:rsidR="00AE49D9">
        <w:rPr>
          <w:rFonts w:ascii="Arial" w:hAnsi="Arial" w:cs="Arial"/>
          <w:bCs/>
          <w:lang w:val="en-US"/>
        </w:rPr>
        <w:t xml:space="preserve">the </w:t>
      </w:r>
      <w:r w:rsidR="00AE49D9" w:rsidRPr="00D57C02">
        <w:rPr>
          <w:rFonts w:ascii="Arial" w:hAnsi="Arial" w:cs="Arial"/>
          <w:bCs/>
          <w:lang w:val="en-US"/>
        </w:rPr>
        <w:t>Family Health Division (FHD</w:t>
      </w:r>
      <w:r w:rsidR="00AE49D9">
        <w:rPr>
          <w:rFonts w:ascii="Arial" w:hAnsi="Arial" w:cs="Arial"/>
          <w:bCs/>
          <w:lang w:val="en-US"/>
        </w:rPr>
        <w:t>)</w:t>
      </w:r>
      <w:r w:rsidR="005062AB">
        <w:rPr>
          <w:rFonts w:ascii="Arial" w:hAnsi="Arial" w:cs="Arial"/>
          <w:bCs/>
          <w:lang w:val="en-US"/>
        </w:rPr>
        <w:t xml:space="preserve"> and </w:t>
      </w:r>
      <w:r w:rsidR="00AF55A8">
        <w:rPr>
          <w:rFonts w:ascii="Arial" w:hAnsi="Arial" w:cs="Arial"/>
          <w:bCs/>
          <w:lang w:val="en-US"/>
        </w:rPr>
        <w:t xml:space="preserve">the </w:t>
      </w:r>
      <w:r w:rsidR="005062AB">
        <w:rPr>
          <w:rFonts w:ascii="Arial" w:hAnsi="Arial" w:cs="Arial"/>
          <w:bCs/>
          <w:lang w:val="en-US"/>
        </w:rPr>
        <w:t>Child Health Division (CHD)</w:t>
      </w:r>
      <w:r w:rsidR="002F6914">
        <w:rPr>
          <w:rFonts w:ascii="Arial" w:hAnsi="Arial" w:cs="Arial"/>
          <w:bCs/>
          <w:lang w:val="en-US"/>
        </w:rPr>
        <w:t xml:space="preserve">, </w:t>
      </w:r>
      <w:r w:rsidR="00655B0C">
        <w:rPr>
          <w:rFonts w:ascii="Arial" w:hAnsi="Arial" w:cs="Arial"/>
        </w:rPr>
        <w:t>consolidating</w:t>
      </w:r>
      <w:r w:rsidR="00AF55A8">
        <w:rPr>
          <w:rFonts w:ascii="Arial" w:hAnsi="Arial" w:cs="Arial"/>
        </w:rPr>
        <w:t xml:space="preserve"> community health structures</w:t>
      </w:r>
      <w:r w:rsidR="002F6914">
        <w:rPr>
          <w:rFonts w:ascii="Arial" w:hAnsi="Arial" w:cs="Arial"/>
        </w:rPr>
        <w:t xml:space="preserve">, strengthening </w:t>
      </w:r>
      <w:r w:rsidR="006D1E62">
        <w:rPr>
          <w:rFonts w:ascii="Arial" w:hAnsi="Arial" w:cs="Arial"/>
        </w:rPr>
        <w:t>the specimen transportation system</w:t>
      </w:r>
      <w:r w:rsidR="007F722F">
        <w:rPr>
          <w:rFonts w:ascii="Arial" w:hAnsi="Arial" w:cs="Arial"/>
        </w:rPr>
        <w:t xml:space="preserve"> and</w:t>
      </w:r>
      <w:r w:rsidR="00F1752B">
        <w:rPr>
          <w:rFonts w:ascii="Arial" w:hAnsi="Arial" w:cs="Arial"/>
        </w:rPr>
        <w:t xml:space="preserve"> </w:t>
      </w:r>
      <w:r w:rsidR="007F722F">
        <w:rPr>
          <w:rFonts w:ascii="Arial" w:hAnsi="Arial" w:cs="Arial"/>
        </w:rPr>
        <w:t>improving</w:t>
      </w:r>
      <w:r w:rsidR="007F722F" w:rsidRPr="007F722F">
        <w:rPr>
          <w:rFonts w:ascii="Arial" w:hAnsi="Arial" w:cs="Arial"/>
        </w:rPr>
        <w:t xml:space="preserve"> the health mana</w:t>
      </w:r>
      <w:r w:rsidR="00924F04">
        <w:rPr>
          <w:rFonts w:ascii="Arial" w:hAnsi="Arial" w:cs="Arial"/>
        </w:rPr>
        <w:t xml:space="preserve">gement information system </w:t>
      </w:r>
      <w:r w:rsidR="00924F04" w:rsidRPr="00655B0C">
        <w:rPr>
          <w:rFonts w:ascii="Arial" w:hAnsi="Arial" w:cs="Arial"/>
        </w:rPr>
        <w:t>(</w:t>
      </w:r>
      <w:r w:rsidR="00924F04" w:rsidRPr="00655B0C">
        <w:rPr>
          <w:rFonts w:ascii="Arial" w:hAnsi="Arial" w:cs="Arial"/>
          <w:i/>
        </w:rPr>
        <w:t>Annex-</w:t>
      </w:r>
      <w:r w:rsidR="00940357" w:rsidRPr="00655B0C">
        <w:rPr>
          <w:rFonts w:ascii="Arial" w:hAnsi="Arial" w:cs="Arial"/>
          <w:i/>
        </w:rPr>
        <w:t>10</w:t>
      </w:r>
      <w:r w:rsidR="00FE6520" w:rsidRPr="00655B0C">
        <w:rPr>
          <w:rFonts w:ascii="Arial" w:hAnsi="Arial" w:cs="Arial"/>
          <w:i/>
        </w:rPr>
        <w:t>,</w:t>
      </w:r>
      <w:r w:rsidR="00924F04" w:rsidRPr="00655B0C">
        <w:rPr>
          <w:i/>
        </w:rPr>
        <w:t xml:space="preserve"> </w:t>
      </w:r>
      <w:r w:rsidR="00940357" w:rsidRPr="00655B0C">
        <w:rPr>
          <w:rFonts w:ascii="Arial" w:hAnsi="Arial" w:cs="Arial"/>
          <w:i/>
        </w:rPr>
        <w:t>p1-4</w:t>
      </w:r>
      <w:r w:rsidR="00924F04" w:rsidRPr="00655B0C">
        <w:rPr>
          <w:rFonts w:ascii="Arial" w:hAnsi="Arial" w:cs="Arial"/>
          <w:i/>
        </w:rPr>
        <w:t>)</w:t>
      </w:r>
      <w:r w:rsidR="007F722F" w:rsidRPr="00655B0C">
        <w:rPr>
          <w:rFonts w:ascii="Arial" w:hAnsi="Arial" w:cs="Arial"/>
        </w:rPr>
        <w:t>.</w:t>
      </w:r>
      <w:r w:rsidR="00445A75">
        <w:rPr>
          <w:rFonts w:ascii="Arial" w:hAnsi="Arial" w:cs="Arial"/>
        </w:rPr>
        <w:t xml:space="preserve"> The newly developed </w:t>
      </w:r>
      <w:r w:rsidR="00AB0514">
        <w:rPr>
          <w:rFonts w:ascii="Arial" w:hAnsi="Arial" w:cs="Arial"/>
        </w:rPr>
        <w:t>strategy and guidelines for public-private mix</w:t>
      </w:r>
      <w:r w:rsidR="00A84CD2">
        <w:rPr>
          <w:rFonts w:ascii="Arial" w:hAnsi="Arial" w:cs="Arial"/>
        </w:rPr>
        <w:t xml:space="preserve"> </w:t>
      </w:r>
      <w:r w:rsidR="00445A75">
        <w:rPr>
          <w:rFonts w:ascii="Arial" w:hAnsi="Arial" w:cs="Arial"/>
        </w:rPr>
        <w:t xml:space="preserve">(PPM) would engage the dominant private health sector in a partnership with the NTP </w:t>
      </w:r>
      <w:r w:rsidR="005732CD">
        <w:rPr>
          <w:rFonts w:ascii="Arial" w:hAnsi="Arial" w:cs="Arial"/>
        </w:rPr>
        <w:t>(</w:t>
      </w:r>
      <w:r w:rsidR="005732CD" w:rsidRPr="005732CD">
        <w:rPr>
          <w:rFonts w:ascii="Arial" w:hAnsi="Arial" w:cs="Arial"/>
          <w:i/>
        </w:rPr>
        <w:t>Annex-22</w:t>
      </w:r>
      <w:r w:rsidR="005732CD">
        <w:rPr>
          <w:rFonts w:ascii="Arial" w:hAnsi="Arial" w:cs="Arial"/>
        </w:rPr>
        <w:t>)</w:t>
      </w:r>
      <w:r w:rsidR="00AB0514">
        <w:rPr>
          <w:rFonts w:ascii="Arial" w:hAnsi="Arial" w:cs="Arial"/>
        </w:rPr>
        <w:t xml:space="preserve">. </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067"/>
      </w:tblGrid>
      <w:tr w:rsidR="00042DCA" w:rsidRPr="00D57C02" w14:paraId="5D0B8ADD" w14:textId="77777777" w:rsidTr="00D80E39">
        <w:trPr>
          <w:trHeight w:val="557"/>
        </w:trPr>
        <w:tc>
          <w:tcPr>
            <w:tcW w:w="9067" w:type="dxa"/>
            <w:shd w:val="clear" w:color="auto" w:fill="C6D9F1"/>
            <w:vAlign w:val="center"/>
          </w:tcPr>
          <w:p w14:paraId="5D0B8ADC" w14:textId="4FADD971" w:rsidR="00042DCA" w:rsidRPr="00D57C02" w:rsidRDefault="00DF0F76" w:rsidP="00AB3764">
            <w:pPr>
              <w:spacing w:after="0" w:line="240" w:lineRule="auto"/>
              <w:rPr>
                <w:rFonts w:ascii="Arial" w:eastAsia="Calibri" w:hAnsi="Arial" w:cs="Arial"/>
                <w:sz w:val="20"/>
                <w:szCs w:val="20"/>
                <w:lang w:val="en-US"/>
              </w:rPr>
            </w:pPr>
            <w:r w:rsidRPr="00D57C02">
              <w:rPr>
                <w:rFonts w:ascii="Arial" w:eastAsia="Calibri" w:hAnsi="Arial" w:cs="Arial"/>
                <w:b/>
                <w:bCs/>
                <w:sz w:val="20"/>
                <w:szCs w:val="20"/>
                <w:lang w:val="en-US"/>
              </w:rPr>
              <w:t>1</w:t>
            </w:r>
            <w:r w:rsidR="002A77CE" w:rsidRPr="00D57C02">
              <w:rPr>
                <w:rFonts w:ascii="Arial" w:eastAsia="Calibri" w:hAnsi="Arial" w:cs="Arial"/>
                <w:b/>
                <w:bCs/>
                <w:sz w:val="20"/>
                <w:szCs w:val="20"/>
                <w:lang w:val="en-US"/>
              </w:rPr>
              <w:t>.3 Past</w:t>
            </w:r>
            <w:r w:rsidR="00042DCA" w:rsidRPr="00D57C02">
              <w:rPr>
                <w:rFonts w:ascii="Arial" w:eastAsia="Calibri" w:hAnsi="Arial" w:cs="Arial"/>
                <w:b/>
                <w:sz w:val="20"/>
                <w:szCs w:val="20"/>
                <w:lang w:val="en-US"/>
              </w:rPr>
              <w:t xml:space="preserve"> implementation and lessons-learned from Global Fund and other donor investments </w:t>
            </w:r>
          </w:p>
        </w:tc>
      </w:tr>
      <w:tr w:rsidR="00042DCA" w:rsidRPr="00D57C02" w14:paraId="5D0B8AE3" w14:textId="77777777" w:rsidTr="003C1C88">
        <w:trPr>
          <w:trHeight w:val="2123"/>
        </w:trPr>
        <w:tc>
          <w:tcPr>
            <w:tcW w:w="9067" w:type="dxa"/>
            <w:shd w:val="clear" w:color="auto" w:fill="F2F2F2" w:themeFill="background1" w:themeFillShade="F2"/>
            <w:vAlign w:val="center"/>
          </w:tcPr>
          <w:p w14:paraId="55C23FDB" w14:textId="77777777" w:rsidR="00F57EBD" w:rsidRPr="00D57C02" w:rsidRDefault="00F57EBD" w:rsidP="007D5FAE">
            <w:pPr>
              <w:pStyle w:val="ListParagraph"/>
              <w:numPr>
                <w:ilvl w:val="0"/>
                <w:numId w:val="6"/>
              </w:num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List recent disease-specific Global Fund grants from the 2014-16 allocation </w:t>
            </w:r>
            <w:proofErr w:type="gramStart"/>
            <w:r w:rsidRPr="00D57C02">
              <w:rPr>
                <w:rFonts w:ascii="Arial" w:eastAsia="Calibri" w:hAnsi="Arial" w:cs="Arial"/>
                <w:sz w:val="20"/>
                <w:szCs w:val="20"/>
                <w:lang w:val="en-US"/>
              </w:rPr>
              <w:t>period</w:t>
            </w:r>
            <w:proofErr w:type="gramEnd"/>
            <w:r w:rsidRPr="00D57C02">
              <w:rPr>
                <w:rFonts w:ascii="Arial" w:eastAsia="Calibri" w:hAnsi="Arial" w:cs="Arial"/>
                <w:sz w:val="20"/>
                <w:szCs w:val="20"/>
                <w:lang w:val="en-US"/>
              </w:rPr>
              <w:t xml:space="preserve"> and summarize key lessons learned from their implementation.</w:t>
            </w:r>
          </w:p>
          <w:p w14:paraId="1818863C" w14:textId="0E4083AB" w:rsidR="00F57EBD" w:rsidRPr="00D57C02" w:rsidRDefault="00F57EBD" w:rsidP="007D5FAE">
            <w:pPr>
              <w:pStyle w:val="ListParagraph"/>
              <w:numPr>
                <w:ilvl w:val="0"/>
                <w:numId w:val="6"/>
              </w:num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Include lessons-learned from specific HSS grants or any HSS investments embedded in the disease-specific grant(s) from the 2014-</w:t>
            </w:r>
            <w:r w:rsidR="00581C6F" w:rsidRPr="00D57C02">
              <w:rPr>
                <w:rFonts w:ascii="Arial" w:eastAsia="Calibri" w:hAnsi="Arial" w:cs="Arial"/>
                <w:sz w:val="20"/>
                <w:szCs w:val="20"/>
                <w:lang w:val="en-US"/>
              </w:rPr>
              <w:t>1</w:t>
            </w:r>
            <w:r w:rsidRPr="00D57C02">
              <w:rPr>
                <w:rFonts w:ascii="Arial" w:eastAsia="Calibri" w:hAnsi="Arial" w:cs="Arial"/>
                <w:sz w:val="20"/>
                <w:szCs w:val="20"/>
                <w:lang w:val="en-US"/>
              </w:rPr>
              <w:t>6 allocation period as applicable.</w:t>
            </w:r>
          </w:p>
          <w:p w14:paraId="7FE25ED2" w14:textId="77777777" w:rsidR="00F57EBD" w:rsidRPr="00D57C02" w:rsidRDefault="00F57EBD" w:rsidP="007D5FAE">
            <w:pPr>
              <w:pStyle w:val="ListParagraph"/>
              <w:numPr>
                <w:ilvl w:val="0"/>
                <w:numId w:val="6"/>
              </w:num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Outline lessons learned from investments by other donors as applicable. </w:t>
            </w:r>
          </w:p>
          <w:p w14:paraId="5D0B8AE2" w14:textId="24E600D6" w:rsidR="00042DCA" w:rsidRPr="00D57C02" w:rsidRDefault="00F57EBD" w:rsidP="00872479">
            <w:p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For each of the above, explain how these lessons learned are taken into account in this funding request. </w:t>
            </w:r>
            <w:r w:rsidR="001631BD" w:rsidRPr="00D57C02">
              <w:rPr>
                <w:rFonts w:ascii="Arial" w:eastAsia="Calibri" w:hAnsi="Arial" w:cs="Arial"/>
                <w:b/>
                <w:sz w:val="20"/>
                <w:szCs w:val="20"/>
                <w:lang w:val="en-US"/>
              </w:rPr>
              <w:t>(maximum</w:t>
            </w:r>
            <w:r w:rsidR="00042DCA" w:rsidRPr="00D57C02">
              <w:rPr>
                <w:rFonts w:ascii="Arial" w:eastAsia="Calibri" w:hAnsi="Arial" w:cs="Arial"/>
                <w:b/>
                <w:sz w:val="20"/>
                <w:szCs w:val="20"/>
                <w:lang w:val="en-US"/>
              </w:rPr>
              <w:t xml:space="preserve"> 1 page per component)</w:t>
            </w:r>
          </w:p>
        </w:tc>
      </w:tr>
    </w:tbl>
    <w:p w14:paraId="2DC0CDA3" w14:textId="53E9E8FB" w:rsidR="00B400A5" w:rsidRDefault="000F5510" w:rsidP="003C1C88">
      <w:pPr>
        <w:spacing w:after="0" w:line="240" w:lineRule="auto"/>
        <w:jc w:val="both"/>
        <w:rPr>
          <w:rFonts w:ascii="Arial" w:hAnsi="Arial" w:cs="Arial"/>
        </w:rPr>
      </w:pPr>
      <w:r w:rsidRPr="000F5510">
        <w:rPr>
          <w:rFonts w:ascii="Arial" w:hAnsi="Arial" w:cs="Arial"/>
          <w:b/>
          <w:szCs w:val="24"/>
        </w:rPr>
        <w:t>a)</w:t>
      </w:r>
      <w:r>
        <w:rPr>
          <w:rFonts w:ascii="Arial" w:hAnsi="Arial" w:cs="Arial"/>
          <w:szCs w:val="24"/>
        </w:rPr>
        <w:t xml:space="preserve"> </w:t>
      </w:r>
      <w:r w:rsidR="0039658E" w:rsidRPr="0039658E">
        <w:rPr>
          <w:rFonts w:ascii="Arial" w:hAnsi="Arial" w:cs="Arial"/>
          <w:szCs w:val="24"/>
        </w:rPr>
        <w:t xml:space="preserve">After the completion of </w:t>
      </w:r>
      <w:r w:rsidR="00C77A0C">
        <w:rPr>
          <w:rFonts w:ascii="Arial" w:hAnsi="Arial" w:cs="Arial"/>
          <w:szCs w:val="24"/>
        </w:rPr>
        <w:t>National Strategic Application (</w:t>
      </w:r>
      <w:r w:rsidR="0039658E" w:rsidRPr="0039658E">
        <w:rPr>
          <w:rFonts w:ascii="Arial" w:hAnsi="Arial" w:cs="Arial"/>
          <w:szCs w:val="24"/>
        </w:rPr>
        <w:t>NSA</w:t>
      </w:r>
      <w:r w:rsidR="00C77A0C">
        <w:rPr>
          <w:rFonts w:ascii="Arial" w:hAnsi="Arial" w:cs="Arial"/>
          <w:szCs w:val="24"/>
        </w:rPr>
        <w:t>)</w:t>
      </w:r>
      <w:r w:rsidR="0039658E" w:rsidRPr="0039658E">
        <w:rPr>
          <w:rFonts w:ascii="Arial" w:hAnsi="Arial" w:cs="Arial"/>
          <w:szCs w:val="24"/>
        </w:rPr>
        <w:t xml:space="preserve"> </w:t>
      </w:r>
      <w:r w:rsidR="00C77A0C">
        <w:rPr>
          <w:rFonts w:ascii="Arial" w:hAnsi="Arial" w:cs="Arial"/>
          <w:szCs w:val="24"/>
        </w:rPr>
        <w:t>p</w:t>
      </w:r>
      <w:r w:rsidR="0039658E" w:rsidRPr="0039658E">
        <w:rPr>
          <w:rFonts w:ascii="Arial" w:hAnsi="Arial" w:cs="Arial"/>
          <w:szCs w:val="24"/>
        </w:rPr>
        <w:t xml:space="preserve">hase in 2014/15, </w:t>
      </w:r>
      <w:r w:rsidR="00C77A0C">
        <w:rPr>
          <w:rFonts w:ascii="Arial" w:hAnsi="Arial" w:cs="Arial"/>
          <w:szCs w:val="24"/>
        </w:rPr>
        <w:t xml:space="preserve">the </w:t>
      </w:r>
      <w:r w:rsidR="0039658E" w:rsidRPr="0039658E">
        <w:rPr>
          <w:rFonts w:ascii="Arial" w:hAnsi="Arial" w:cs="Arial"/>
          <w:szCs w:val="24"/>
        </w:rPr>
        <w:t xml:space="preserve">Global Fund grant to Nepal for 2015/16 was routed through the </w:t>
      </w:r>
      <w:r w:rsidR="0039658E" w:rsidRPr="001241C8">
        <w:rPr>
          <w:rFonts w:ascii="Arial" w:hAnsi="Arial" w:cs="Arial"/>
          <w:szCs w:val="24"/>
        </w:rPr>
        <w:t>costed extension plan</w:t>
      </w:r>
      <w:r w:rsidR="0039658E" w:rsidRPr="0039658E">
        <w:rPr>
          <w:rFonts w:ascii="Arial" w:hAnsi="Arial" w:cs="Arial"/>
          <w:szCs w:val="24"/>
        </w:rPr>
        <w:t xml:space="preserve"> of </w:t>
      </w:r>
      <w:r w:rsidR="00C77A0C">
        <w:rPr>
          <w:rFonts w:ascii="Arial" w:hAnsi="Arial" w:cs="Arial"/>
          <w:szCs w:val="24"/>
        </w:rPr>
        <w:t xml:space="preserve">the </w:t>
      </w:r>
      <w:r w:rsidR="0039658E" w:rsidRPr="0039658E">
        <w:rPr>
          <w:rFonts w:ascii="Arial" w:hAnsi="Arial" w:cs="Arial"/>
          <w:szCs w:val="24"/>
        </w:rPr>
        <w:t>NSA phase</w:t>
      </w:r>
      <w:r w:rsidR="00C77A0C">
        <w:rPr>
          <w:rFonts w:ascii="Arial" w:hAnsi="Arial" w:cs="Arial"/>
          <w:szCs w:val="24"/>
        </w:rPr>
        <w:t xml:space="preserve"> </w:t>
      </w:r>
      <w:r w:rsidR="00C77A0C" w:rsidRPr="00C77A0C">
        <w:rPr>
          <w:rFonts w:ascii="Arial" w:hAnsi="Arial" w:cs="Arial"/>
          <w:szCs w:val="24"/>
        </w:rPr>
        <w:t>with the approved budget of US</w:t>
      </w:r>
      <w:r w:rsidR="00816347">
        <w:rPr>
          <w:rFonts w:ascii="Arial" w:hAnsi="Arial" w:cs="Arial"/>
          <w:szCs w:val="24"/>
        </w:rPr>
        <w:t>D</w:t>
      </w:r>
      <w:r w:rsidR="00C77A0C" w:rsidRPr="00C77A0C">
        <w:rPr>
          <w:rFonts w:ascii="Arial" w:hAnsi="Arial" w:cs="Arial"/>
          <w:szCs w:val="24"/>
        </w:rPr>
        <w:t xml:space="preserve"> </w:t>
      </w:r>
      <w:r w:rsidR="00BB67AB">
        <w:rPr>
          <w:rFonts w:ascii="Arial" w:hAnsi="Arial" w:cs="Arial"/>
          <w:szCs w:val="24"/>
        </w:rPr>
        <w:t>3.57</w:t>
      </w:r>
      <w:r w:rsidR="00C77A0C" w:rsidRPr="00C77A0C">
        <w:rPr>
          <w:rFonts w:ascii="Arial" w:hAnsi="Arial" w:cs="Arial"/>
          <w:szCs w:val="24"/>
        </w:rPr>
        <w:t xml:space="preserve"> million</w:t>
      </w:r>
      <w:r w:rsidR="002C0C59" w:rsidRPr="00B30F83">
        <w:rPr>
          <w:rFonts w:ascii="Arial" w:hAnsi="Arial" w:cs="Arial"/>
          <w:szCs w:val="24"/>
        </w:rPr>
        <w:t>.</w:t>
      </w:r>
      <w:r w:rsidR="00B30F83">
        <w:rPr>
          <w:rFonts w:ascii="Arial" w:hAnsi="Arial" w:cs="Arial"/>
          <w:szCs w:val="24"/>
        </w:rPr>
        <w:t xml:space="preserve"> </w:t>
      </w:r>
      <w:r w:rsidR="0000048B" w:rsidRPr="003942C4">
        <w:rPr>
          <w:rFonts w:ascii="Arial" w:hAnsi="Arial" w:cs="Arial"/>
          <w:szCs w:val="24"/>
        </w:rPr>
        <w:t xml:space="preserve">This was followed up by </w:t>
      </w:r>
      <w:r w:rsidR="00B400A5" w:rsidRPr="003942C4">
        <w:rPr>
          <w:rFonts w:ascii="Arial" w:hAnsi="Arial" w:cs="Arial"/>
        </w:rPr>
        <w:t>the current GF grant (July 2016-March 2018) for a total of US</w:t>
      </w:r>
      <w:r w:rsidR="00816347">
        <w:rPr>
          <w:rFonts w:ascii="Arial" w:hAnsi="Arial" w:cs="Arial"/>
        </w:rPr>
        <w:t>D</w:t>
      </w:r>
      <w:r w:rsidR="00B400A5" w:rsidRPr="003942C4">
        <w:rPr>
          <w:rFonts w:ascii="Arial" w:hAnsi="Arial" w:cs="Arial"/>
        </w:rPr>
        <w:t xml:space="preserve"> </w:t>
      </w:r>
      <w:r w:rsidR="00BB67AB">
        <w:rPr>
          <w:rFonts w:ascii="Arial" w:hAnsi="Arial" w:cs="Arial"/>
        </w:rPr>
        <w:t>7,244,235</w:t>
      </w:r>
      <w:r w:rsidR="00B400A5" w:rsidRPr="003942C4">
        <w:rPr>
          <w:rFonts w:ascii="Arial" w:hAnsi="Arial" w:cs="Arial"/>
        </w:rPr>
        <w:t>.</w:t>
      </w:r>
    </w:p>
    <w:p w14:paraId="0E081E02" w14:textId="59760695" w:rsidR="004E7CB3" w:rsidRPr="000256AE" w:rsidRDefault="004E7CB3" w:rsidP="000256AE">
      <w:pPr>
        <w:spacing w:after="0" w:line="240" w:lineRule="auto"/>
        <w:jc w:val="center"/>
        <w:rPr>
          <w:rFonts w:ascii="Arial" w:hAnsi="Arial" w:cs="Arial"/>
          <w:u w:val="single"/>
        </w:rPr>
      </w:pPr>
      <w:r w:rsidRPr="000256AE">
        <w:rPr>
          <w:rFonts w:ascii="Arial" w:hAnsi="Arial" w:cs="Arial"/>
          <w:u w:val="single"/>
        </w:rPr>
        <w:t>Summary of key lessons learned</w:t>
      </w:r>
    </w:p>
    <w:p w14:paraId="27F42382" w14:textId="1D5B026A" w:rsidR="005609E7" w:rsidRDefault="005E3D57" w:rsidP="005609E7">
      <w:pPr>
        <w:spacing w:after="0" w:line="240" w:lineRule="auto"/>
        <w:jc w:val="both"/>
        <w:rPr>
          <w:rFonts w:ascii="Arial" w:hAnsi="Arial" w:cs="Arial"/>
          <w:szCs w:val="24"/>
        </w:rPr>
      </w:pPr>
      <w:r w:rsidRPr="007A7EFC">
        <w:rPr>
          <w:rFonts w:ascii="Arial" w:hAnsi="Arial" w:cs="Arial"/>
          <w:b/>
          <w:szCs w:val="24"/>
        </w:rPr>
        <w:t>1. TB case detection and diagnosis</w:t>
      </w:r>
      <w:r w:rsidR="00C121B9">
        <w:rPr>
          <w:rFonts w:ascii="Arial" w:hAnsi="Arial" w:cs="Arial"/>
          <w:b/>
          <w:szCs w:val="24"/>
        </w:rPr>
        <w:t xml:space="preserve">: </w:t>
      </w:r>
    </w:p>
    <w:p w14:paraId="04E51576" w14:textId="02A5C1A3" w:rsidR="006C2284" w:rsidRDefault="00C908A2" w:rsidP="00B73412">
      <w:pPr>
        <w:spacing w:after="0" w:line="240" w:lineRule="auto"/>
        <w:jc w:val="both"/>
        <w:rPr>
          <w:rFonts w:ascii="Arial" w:hAnsi="Arial" w:cs="Arial"/>
          <w:szCs w:val="24"/>
        </w:rPr>
      </w:pPr>
      <w:r w:rsidRPr="00596959">
        <w:rPr>
          <w:rFonts w:ascii="Arial" w:hAnsi="Arial" w:cs="Arial"/>
          <w:szCs w:val="24"/>
        </w:rPr>
        <w:t>TB diagnostic services</w:t>
      </w:r>
      <w:r>
        <w:rPr>
          <w:rFonts w:ascii="Arial" w:hAnsi="Arial" w:cs="Arial"/>
          <w:szCs w:val="24"/>
        </w:rPr>
        <w:t xml:space="preserve"> </w:t>
      </w:r>
      <w:r w:rsidRPr="00596959">
        <w:rPr>
          <w:rFonts w:ascii="Arial" w:hAnsi="Arial" w:cs="Arial"/>
          <w:szCs w:val="24"/>
        </w:rPr>
        <w:t>were mostly concentrated at the primary health care centre</w:t>
      </w:r>
      <w:r>
        <w:rPr>
          <w:rFonts w:ascii="Arial" w:hAnsi="Arial" w:cs="Arial"/>
          <w:szCs w:val="24"/>
        </w:rPr>
        <w:t xml:space="preserve"> </w:t>
      </w:r>
      <w:r w:rsidR="00455B24">
        <w:rPr>
          <w:rFonts w:ascii="Arial" w:hAnsi="Arial" w:cs="Arial"/>
          <w:szCs w:val="24"/>
        </w:rPr>
        <w:t xml:space="preserve">(PHCC) </w:t>
      </w:r>
      <w:r w:rsidRPr="00596959">
        <w:rPr>
          <w:rFonts w:ascii="Arial" w:hAnsi="Arial" w:cs="Arial"/>
          <w:szCs w:val="24"/>
        </w:rPr>
        <w:t>level and above</w:t>
      </w:r>
      <w:r w:rsidR="00AE2518">
        <w:rPr>
          <w:rFonts w:ascii="Arial" w:hAnsi="Arial" w:cs="Arial"/>
          <w:szCs w:val="24"/>
        </w:rPr>
        <w:t>, hence a major barrier f</w:t>
      </w:r>
      <w:r w:rsidRPr="00495577">
        <w:rPr>
          <w:rFonts w:ascii="Arial" w:hAnsi="Arial" w:cs="Arial"/>
          <w:szCs w:val="24"/>
        </w:rPr>
        <w:t>o</w:t>
      </w:r>
      <w:r w:rsidR="00AE2518">
        <w:rPr>
          <w:rFonts w:ascii="Arial" w:hAnsi="Arial" w:cs="Arial"/>
          <w:szCs w:val="24"/>
        </w:rPr>
        <w:t>r people living in remote areas</w:t>
      </w:r>
      <w:r w:rsidRPr="00495577">
        <w:rPr>
          <w:rFonts w:ascii="Arial" w:hAnsi="Arial" w:cs="Arial"/>
          <w:szCs w:val="24"/>
        </w:rPr>
        <w:t xml:space="preserve"> </w:t>
      </w:r>
      <w:r w:rsidR="00E20ED0">
        <w:rPr>
          <w:rFonts w:ascii="Arial" w:hAnsi="Arial" w:cs="Arial"/>
          <w:szCs w:val="24"/>
        </w:rPr>
        <w:t>as reported in the country dialogue</w:t>
      </w:r>
      <w:r w:rsidR="001312BD">
        <w:rPr>
          <w:rFonts w:ascii="Arial" w:hAnsi="Arial" w:cs="Arial"/>
          <w:szCs w:val="24"/>
        </w:rPr>
        <w:t xml:space="preserve"> (</w:t>
      </w:r>
      <w:r w:rsidRPr="001509DA">
        <w:rPr>
          <w:rFonts w:ascii="Arial" w:hAnsi="Arial" w:cs="Arial"/>
          <w:i/>
          <w:szCs w:val="24"/>
        </w:rPr>
        <w:t>Annex-11</w:t>
      </w:r>
      <w:r w:rsidRPr="001509DA">
        <w:rPr>
          <w:rFonts w:ascii="Arial" w:hAnsi="Arial" w:cs="Arial"/>
          <w:szCs w:val="24"/>
        </w:rPr>
        <w:t>)</w:t>
      </w:r>
      <w:r w:rsidRPr="00D57C02">
        <w:rPr>
          <w:rFonts w:ascii="Arial" w:hAnsi="Arial" w:cs="Arial"/>
          <w:szCs w:val="24"/>
        </w:rPr>
        <w:t>.</w:t>
      </w:r>
      <w:r w:rsidR="008A3BAC" w:rsidRPr="00455B24">
        <w:rPr>
          <w:rFonts w:ascii="Arial" w:eastAsia="Times New Roman" w:hAnsi="Arial" w:cs="Arial"/>
          <w:bCs/>
        </w:rPr>
        <w:t xml:space="preserve"> </w:t>
      </w:r>
    </w:p>
    <w:p w14:paraId="17C2BE6B" w14:textId="796703DD" w:rsidR="00F01DF4" w:rsidRPr="00071230" w:rsidRDefault="00F01DF4" w:rsidP="003D74AF">
      <w:pPr>
        <w:spacing w:after="0" w:line="240" w:lineRule="auto"/>
        <w:jc w:val="both"/>
        <w:rPr>
          <w:rFonts w:ascii="Arial" w:hAnsi="Arial" w:cs="Arial"/>
          <w:szCs w:val="24"/>
          <w:u w:val="single"/>
        </w:rPr>
      </w:pPr>
      <w:r w:rsidRPr="00071230">
        <w:rPr>
          <w:rFonts w:ascii="Arial" w:hAnsi="Arial" w:cs="Arial"/>
          <w:b/>
          <w:szCs w:val="24"/>
        </w:rPr>
        <w:t>Lesson</w:t>
      </w:r>
      <w:r w:rsidR="0071120B" w:rsidRPr="00071230">
        <w:rPr>
          <w:rFonts w:ascii="Arial" w:hAnsi="Arial" w:cs="Arial"/>
          <w:b/>
          <w:szCs w:val="24"/>
        </w:rPr>
        <w:t>s</w:t>
      </w:r>
      <w:r w:rsidRPr="00071230">
        <w:rPr>
          <w:rFonts w:ascii="Arial" w:hAnsi="Arial" w:cs="Arial"/>
          <w:b/>
          <w:szCs w:val="24"/>
        </w:rPr>
        <w:t xml:space="preserve"> learned</w:t>
      </w:r>
      <w:r w:rsidRPr="00751BA2">
        <w:rPr>
          <w:rFonts w:ascii="Arial" w:hAnsi="Arial" w:cs="Arial"/>
          <w:szCs w:val="24"/>
        </w:rPr>
        <w:t>:</w:t>
      </w:r>
      <w:r w:rsidRPr="009E3606">
        <w:rPr>
          <w:rFonts w:ascii="Arial" w:hAnsi="Arial" w:cs="Arial"/>
          <w:szCs w:val="24"/>
        </w:rPr>
        <w:t xml:space="preserve"> </w:t>
      </w:r>
      <w:r w:rsidR="008368EE" w:rsidRPr="00071230">
        <w:rPr>
          <w:rFonts w:ascii="Arial" w:hAnsi="Arial" w:cs="Arial"/>
          <w:szCs w:val="24"/>
          <w:u w:val="single"/>
        </w:rPr>
        <w:t>Need for t</w:t>
      </w:r>
      <w:r w:rsidR="009E3606" w:rsidRPr="00071230">
        <w:rPr>
          <w:rFonts w:ascii="Arial" w:hAnsi="Arial" w:cs="Arial"/>
          <w:szCs w:val="24"/>
          <w:u w:val="single"/>
        </w:rPr>
        <w:t>argeted</w:t>
      </w:r>
      <w:r w:rsidR="001E1697" w:rsidRPr="00071230">
        <w:rPr>
          <w:rFonts w:ascii="Arial" w:hAnsi="Arial" w:cs="Arial"/>
          <w:szCs w:val="24"/>
          <w:u w:val="single"/>
        </w:rPr>
        <w:t xml:space="preserve"> </w:t>
      </w:r>
      <w:r w:rsidR="00ED088F" w:rsidRPr="00071230">
        <w:rPr>
          <w:rFonts w:ascii="Arial" w:hAnsi="Arial" w:cs="Arial"/>
          <w:szCs w:val="24"/>
          <w:u w:val="single"/>
        </w:rPr>
        <w:t>ACF</w:t>
      </w:r>
      <w:r w:rsidRPr="00071230">
        <w:rPr>
          <w:rFonts w:ascii="Arial" w:hAnsi="Arial" w:cs="Arial"/>
          <w:szCs w:val="24"/>
          <w:u w:val="single"/>
        </w:rPr>
        <w:t xml:space="preserve"> </w:t>
      </w:r>
      <w:r w:rsidR="001E1697" w:rsidRPr="00071230">
        <w:rPr>
          <w:rFonts w:ascii="Arial" w:hAnsi="Arial" w:cs="Arial"/>
          <w:szCs w:val="24"/>
          <w:u w:val="single"/>
        </w:rPr>
        <w:t>strategies</w:t>
      </w:r>
      <w:r w:rsidR="00ED088F" w:rsidRPr="00071230">
        <w:rPr>
          <w:rFonts w:ascii="Arial" w:hAnsi="Arial" w:cs="Arial"/>
          <w:szCs w:val="24"/>
          <w:u w:val="single"/>
        </w:rPr>
        <w:t xml:space="preserve">, </w:t>
      </w:r>
      <w:r w:rsidR="0039561D" w:rsidRPr="00071230">
        <w:rPr>
          <w:rFonts w:ascii="Arial" w:hAnsi="Arial" w:cs="Arial"/>
          <w:szCs w:val="24"/>
          <w:u w:val="single"/>
        </w:rPr>
        <w:t xml:space="preserve">mapping of key and vulnerable populations, using </w:t>
      </w:r>
      <w:r w:rsidR="00933E88" w:rsidRPr="00071230">
        <w:rPr>
          <w:rFonts w:ascii="Arial" w:hAnsi="Arial" w:cs="Arial"/>
          <w:szCs w:val="24"/>
          <w:u w:val="single"/>
        </w:rPr>
        <w:t>newer</w:t>
      </w:r>
      <w:r w:rsidR="00ED088F" w:rsidRPr="00071230">
        <w:rPr>
          <w:rFonts w:ascii="Arial" w:hAnsi="Arial" w:cs="Arial"/>
          <w:szCs w:val="24"/>
          <w:u w:val="single"/>
        </w:rPr>
        <w:t xml:space="preserve"> diagnostic </w:t>
      </w:r>
      <w:r w:rsidR="00075F40" w:rsidRPr="00071230">
        <w:rPr>
          <w:rFonts w:ascii="Arial" w:hAnsi="Arial" w:cs="Arial"/>
          <w:szCs w:val="24"/>
          <w:u w:val="single"/>
        </w:rPr>
        <w:t>tools</w:t>
      </w:r>
      <w:r w:rsidR="009E3606" w:rsidRPr="00071230">
        <w:rPr>
          <w:rFonts w:ascii="Arial" w:hAnsi="Arial" w:cs="Arial"/>
          <w:szCs w:val="24"/>
          <w:u w:val="single"/>
        </w:rPr>
        <w:t xml:space="preserve"> effectively</w:t>
      </w:r>
      <w:r w:rsidR="00FF3700" w:rsidRPr="00071230">
        <w:rPr>
          <w:rFonts w:ascii="Arial" w:hAnsi="Arial" w:cs="Arial"/>
          <w:szCs w:val="24"/>
          <w:u w:val="single"/>
        </w:rPr>
        <w:t xml:space="preserve"> and </w:t>
      </w:r>
      <w:r w:rsidR="0039561D" w:rsidRPr="00071230">
        <w:rPr>
          <w:rFonts w:ascii="Arial" w:hAnsi="Arial" w:cs="Arial"/>
          <w:szCs w:val="24"/>
          <w:u w:val="single"/>
        </w:rPr>
        <w:t xml:space="preserve">engaging </w:t>
      </w:r>
      <w:r w:rsidR="008368EE" w:rsidRPr="00071230">
        <w:rPr>
          <w:rFonts w:ascii="Arial" w:hAnsi="Arial" w:cs="Arial"/>
          <w:szCs w:val="24"/>
          <w:u w:val="single"/>
        </w:rPr>
        <w:t xml:space="preserve">the </w:t>
      </w:r>
      <w:r w:rsidR="0039561D" w:rsidRPr="00071230">
        <w:rPr>
          <w:rFonts w:ascii="Arial" w:hAnsi="Arial" w:cs="Arial"/>
          <w:szCs w:val="24"/>
          <w:u w:val="single"/>
        </w:rPr>
        <w:t>private health sector</w:t>
      </w:r>
      <w:r w:rsidR="009E3606" w:rsidRPr="00071230">
        <w:rPr>
          <w:rFonts w:ascii="Arial" w:hAnsi="Arial" w:cs="Arial"/>
          <w:szCs w:val="24"/>
          <w:u w:val="single"/>
        </w:rPr>
        <w:t xml:space="preserve"> </w:t>
      </w:r>
    </w:p>
    <w:p w14:paraId="765D2C32" w14:textId="73DDC9F5" w:rsidR="00C121B9" w:rsidRDefault="00EB0519" w:rsidP="00C121B9">
      <w:pPr>
        <w:spacing w:after="0" w:line="240" w:lineRule="auto"/>
        <w:jc w:val="both"/>
        <w:rPr>
          <w:rFonts w:ascii="Arial" w:hAnsi="Arial" w:cs="Arial"/>
          <w:szCs w:val="24"/>
        </w:rPr>
      </w:pPr>
      <w:r w:rsidRPr="00DD53EA">
        <w:rPr>
          <w:rFonts w:ascii="Arial" w:hAnsi="Arial" w:cs="Arial"/>
          <w:b/>
          <w:szCs w:val="24"/>
        </w:rPr>
        <w:t>(</w:t>
      </w:r>
      <w:proofErr w:type="spellStart"/>
      <w:r w:rsidRPr="00DD53EA">
        <w:rPr>
          <w:rFonts w:ascii="Arial" w:hAnsi="Arial" w:cs="Arial"/>
          <w:b/>
          <w:szCs w:val="24"/>
        </w:rPr>
        <w:t>i</w:t>
      </w:r>
      <w:proofErr w:type="spellEnd"/>
      <w:r w:rsidRPr="00DD53EA">
        <w:rPr>
          <w:rFonts w:ascii="Arial" w:hAnsi="Arial" w:cs="Arial"/>
          <w:b/>
          <w:szCs w:val="24"/>
        </w:rPr>
        <w:t>)</w:t>
      </w:r>
      <w:r w:rsidRPr="00D57C02">
        <w:rPr>
          <w:rFonts w:ascii="Arial" w:hAnsi="Arial" w:cs="Arial"/>
          <w:szCs w:val="24"/>
        </w:rPr>
        <w:t xml:space="preserve"> </w:t>
      </w:r>
      <w:r w:rsidR="005047D1">
        <w:rPr>
          <w:rFonts w:ascii="Arial" w:hAnsi="Arial" w:cs="Arial"/>
          <w:szCs w:val="24"/>
        </w:rPr>
        <w:t xml:space="preserve">reinforce </w:t>
      </w:r>
      <w:r w:rsidR="00BA1CD5" w:rsidRPr="00D57C02">
        <w:rPr>
          <w:rFonts w:ascii="Arial" w:hAnsi="Arial" w:cs="Arial"/>
          <w:szCs w:val="24"/>
        </w:rPr>
        <w:t xml:space="preserve">mandatory </w:t>
      </w:r>
      <w:r w:rsidR="0072638F">
        <w:rPr>
          <w:rFonts w:ascii="Arial" w:hAnsi="Arial" w:cs="Arial"/>
          <w:szCs w:val="24"/>
        </w:rPr>
        <w:t xml:space="preserve">TB </w:t>
      </w:r>
      <w:r w:rsidR="0093721E">
        <w:rPr>
          <w:rFonts w:ascii="Arial" w:hAnsi="Arial" w:cs="Arial"/>
          <w:szCs w:val="24"/>
        </w:rPr>
        <w:t xml:space="preserve">contact </w:t>
      </w:r>
      <w:r w:rsidR="00A36613" w:rsidRPr="00D57C02">
        <w:rPr>
          <w:rFonts w:ascii="Arial" w:hAnsi="Arial" w:cs="Arial"/>
          <w:szCs w:val="24"/>
        </w:rPr>
        <w:t>tracing</w:t>
      </w:r>
      <w:r w:rsidR="00415A64">
        <w:rPr>
          <w:rFonts w:ascii="Arial" w:hAnsi="Arial" w:cs="Arial"/>
          <w:szCs w:val="24"/>
        </w:rPr>
        <w:t xml:space="preserve">, </w:t>
      </w:r>
      <w:r w:rsidR="00C708D9">
        <w:rPr>
          <w:rFonts w:ascii="Arial" w:hAnsi="Arial" w:cs="Arial"/>
          <w:szCs w:val="24"/>
        </w:rPr>
        <w:t>includ</w:t>
      </w:r>
      <w:r w:rsidR="00415A64">
        <w:rPr>
          <w:rFonts w:ascii="Arial" w:hAnsi="Arial" w:cs="Arial"/>
          <w:szCs w:val="24"/>
        </w:rPr>
        <w:t>e</w:t>
      </w:r>
      <w:r w:rsidR="00C708D9">
        <w:rPr>
          <w:rFonts w:ascii="Arial" w:hAnsi="Arial" w:cs="Arial"/>
          <w:szCs w:val="24"/>
        </w:rPr>
        <w:t xml:space="preserve"> </w:t>
      </w:r>
      <w:r w:rsidR="0072638F">
        <w:rPr>
          <w:rFonts w:ascii="Arial" w:hAnsi="Arial" w:cs="Arial"/>
          <w:szCs w:val="24"/>
        </w:rPr>
        <w:t xml:space="preserve">the </w:t>
      </w:r>
      <w:r w:rsidR="0093721E">
        <w:rPr>
          <w:rFonts w:ascii="Arial" w:hAnsi="Arial" w:cs="Arial"/>
          <w:szCs w:val="24"/>
        </w:rPr>
        <w:t xml:space="preserve">elderly and </w:t>
      </w:r>
      <w:r w:rsidR="00C708D9">
        <w:rPr>
          <w:rFonts w:ascii="Arial" w:hAnsi="Arial" w:cs="Arial"/>
          <w:szCs w:val="24"/>
        </w:rPr>
        <w:t>children</w:t>
      </w:r>
      <w:r w:rsidR="00A36613" w:rsidRPr="00D57C02">
        <w:rPr>
          <w:rFonts w:ascii="Arial" w:hAnsi="Arial" w:cs="Arial"/>
          <w:szCs w:val="24"/>
        </w:rPr>
        <w:t xml:space="preserve">; </w:t>
      </w:r>
      <w:r w:rsidRPr="00DD53EA">
        <w:rPr>
          <w:rFonts w:ascii="Arial" w:hAnsi="Arial" w:cs="Arial"/>
          <w:b/>
          <w:szCs w:val="24"/>
        </w:rPr>
        <w:t>(ii)</w:t>
      </w:r>
      <w:r w:rsidRPr="00D57C02">
        <w:rPr>
          <w:rFonts w:ascii="Arial" w:hAnsi="Arial" w:cs="Arial"/>
          <w:szCs w:val="24"/>
        </w:rPr>
        <w:t xml:space="preserve"> </w:t>
      </w:r>
      <w:r w:rsidR="005047D1">
        <w:rPr>
          <w:rFonts w:ascii="Arial" w:hAnsi="Arial" w:cs="Arial"/>
          <w:szCs w:val="24"/>
        </w:rPr>
        <w:t>expand</w:t>
      </w:r>
      <w:r w:rsidR="00273E39" w:rsidRPr="00D57C02">
        <w:rPr>
          <w:rFonts w:ascii="Arial" w:hAnsi="Arial" w:cs="Arial"/>
          <w:szCs w:val="24"/>
        </w:rPr>
        <w:t xml:space="preserve"> </w:t>
      </w:r>
      <w:r w:rsidR="00A36613" w:rsidRPr="00D57C02">
        <w:rPr>
          <w:rFonts w:ascii="Arial" w:hAnsi="Arial" w:cs="Arial"/>
          <w:szCs w:val="24"/>
        </w:rPr>
        <w:t xml:space="preserve">facility-based </w:t>
      </w:r>
      <w:r w:rsidR="00AD7C51">
        <w:rPr>
          <w:rFonts w:ascii="Arial" w:hAnsi="Arial" w:cs="Arial"/>
          <w:szCs w:val="24"/>
        </w:rPr>
        <w:t>ACF o</w:t>
      </w:r>
      <w:r w:rsidR="00A36613" w:rsidRPr="00D57C02">
        <w:rPr>
          <w:rFonts w:ascii="Arial" w:hAnsi="Arial" w:cs="Arial"/>
          <w:szCs w:val="24"/>
        </w:rPr>
        <w:t>f PLHIV</w:t>
      </w:r>
      <w:r w:rsidR="00CA4F4F">
        <w:rPr>
          <w:rFonts w:ascii="Arial" w:hAnsi="Arial" w:cs="Arial"/>
          <w:szCs w:val="24"/>
        </w:rPr>
        <w:t xml:space="preserve"> </w:t>
      </w:r>
      <w:r w:rsidR="008E74CB">
        <w:rPr>
          <w:rFonts w:ascii="Arial" w:hAnsi="Arial" w:cs="Arial"/>
          <w:szCs w:val="24"/>
        </w:rPr>
        <w:t xml:space="preserve">to </w:t>
      </w:r>
      <w:r w:rsidR="00D74DA6">
        <w:rPr>
          <w:rFonts w:ascii="Arial" w:hAnsi="Arial" w:cs="Arial"/>
          <w:szCs w:val="24"/>
        </w:rPr>
        <w:t>also screen</w:t>
      </w:r>
      <w:r w:rsidR="008E74CB">
        <w:rPr>
          <w:rFonts w:ascii="Arial" w:hAnsi="Arial" w:cs="Arial"/>
          <w:szCs w:val="24"/>
        </w:rPr>
        <w:t xml:space="preserve"> </w:t>
      </w:r>
      <w:r w:rsidR="00AD7C51" w:rsidRPr="00D57C02">
        <w:rPr>
          <w:rFonts w:ascii="Arial" w:hAnsi="Arial" w:cs="Arial"/>
          <w:szCs w:val="24"/>
        </w:rPr>
        <w:t>women attending ante-natal care (ANC) clinics, malnourished children</w:t>
      </w:r>
      <w:r w:rsidR="0093721E">
        <w:rPr>
          <w:rFonts w:ascii="Arial" w:hAnsi="Arial" w:cs="Arial"/>
          <w:szCs w:val="24"/>
        </w:rPr>
        <w:t xml:space="preserve"> </w:t>
      </w:r>
      <w:r w:rsidR="00AD7C51" w:rsidRPr="00D57C02">
        <w:rPr>
          <w:rFonts w:ascii="Arial" w:hAnsi="Arial" w:cs="Arial"/>
          <w:szCs w:val="24"/>
        </w:rPr>
        <w:t>and diabetic patients;</w:t>
      </w:r>
      <w:r w:rsidR="008227F1">
        <w:rPr>
          <w:rFonts w:ascii="Arial" w:hAnsi="Arial" w:cs="Arial"/>
          <w:szCs w:val="24"/>
        </w:rPr>
        <w:t xml:space="preserve"> </w:t>
      </w:r>
      <w:r w:rsidRPr="00DD53EA">
        <w:rPr>
          <w:rFonts w:ascii="Arial" w:hAnsi="Arial" w:cs="Arial"/>
          <w:b/>
          <w:szCs w:val="24"/>
        </w:rPr>
        <w:t>(iii)</w:t>
      </w:r>
      <w:r w:rsidR="003D11E9">
        <w:rPr>
          <w:rFonts w:ascii="Arial" w:hAnsi="Arial" w:cs="Arial"/>
          <w:szCs w:val="24"/>
        </w:rPr>
        <w:t xml:space="preserve"> </w:t>
      </w:r>
      <w:r w:rsidR="002F66F3">
        <w:rPr>
          <w:rFonts w:ascii="Arial" w:hAnsi="Arial" w:cs="Arial"/>
          <w:szCs w:val="24"/>
        </w:rPr>
        <w:t>switch from passive case finding to</w:t>
      </w:r>
      <w:r w:rsidR="003D11E9">
        <w:rPr>
          <w:rFonts w:ascii="Arial" w:hAnsi="Arial" w:cs="Arial"/>
          <w:szCs w:val="24"/>
        </w:rPr>
        <w:t xml:space="preserve"> ACF in </w:t>
      </w:r>
      <w:r w:rsidR="00C96A35">
        <w:rPr>
          <w:rFonts w:ascii="Arial" w:hAnsi="Arial" w:cs="Arial"/>
          <w:szCs w:val="24"/>
        </w:rPr>
        <w:t xml:space="preserve">5 </w:t>
      </w:r>
      <w:r w:rsidR="003D11E9">
        <w:rPr>
          <w:rFonts w:ascii="Arial" w:hAnsi="Arial" w:cs="Arial"/>
          <w:szCs w:val="24"/>
        </w:rPr>
        <w:t xml:space="preserve">prisons </w:t>
      </w:r>
      <w:r w:rsidR="00A07E9C">
        <w:rPr>
          <w:rFonts w:ascii="Arial" w:hAnsi="Arial" w:cs="Arial"/>
          <w:szCs w:val="24"/>
        </w:rPr>
        <w:t xml:space="preserve">in </w:t>
      </w:r>
      <w:r w:rsidR="00C96A35">
        <w:rPr>
          <w:rFonts w:ascii="Arial" w:hAnsi="Arial" w:cs="Arial"/>
          <w:szCs w:val="24"/>
        </w:rPr>
        <w:t>Kathmandu</w:t>
      </w:r>
      <w:r w:rsidR="00A07E9C">
        <w:rPr>
          <w:rFonts w:ascii="Arial" w:hAnsi="Arial" w:cs="Arial"/>
          <w:szCs w:val="24"/>
        </w:rPr>
        <w:t xml:space="preserve"> valley</w:t>
      </w:r>
      <w:r w:rsidR="00C96A35">
        <w:rPr>
          <w:rFonts w:ascii="Arial" w:hAnsi="Arial" w:cs="Arial"/>
          <w:szCs w:val="24"/>
        </w:rPr>
        <w:t xml:space="preserve">; </w:t>
      </w:r>
      <w:r w:rsidR="003D11E9">
        <w:rPr>
          <w:rFonts w:ascii="Arial" w:hAnsi="Arial" w:cs="Arial"/>
          <w:szCs w:val="24"/>
        </w:rPr>
        <w:t>scale up to cover the remaining (69</w:t>
      </w:r>
      <w:r w:rsidR="00F14A9A">
        <w:rPr>
          <w:rFonts w:ascii="Arial" w:hAnsi="Arial" w:cs="Arial"/>
          <w:szCs w:val="24"/>
        </w:rPr>
        <w:t xml:space="preserve"> prisons</w:t>
      </w:r>
      <w:r w:rsidR="00C96A35">
        <w:rPr>
          <w:rFonts w:ascii="Arial" w:hAnsi="Arial" w:cs="Arial"/>
          <w:szCs w:val="24"/>
        </w:rPr>
        <w:t>)</w:t>
      </w:r>
      <w:r w:rsidR="00AA6076">
        <w:rPr>
          <w:rFonts w:ascii="Arial" w:hAnsi="Arial" w:cs="Arial"/>
          <w:szCs w:val="24"/>
        </w:rPr>
        <w:t>;</w:t>
      </w:r>
      <w:r w:rsidR="00141BF2">
        <w:rPr>
          <w:rFonts w:ascii="Arial" w:hAnsi="Arial" w:cs="Arial"/>
          <w:szCs w:val="24"/>
        </w:rPr>
        <w:t xml:space="preserve"> </w:t>
      </w:r>
      <w:r w:rsidR="00AA6076" w:rsidRPr="00DD53EA">
        <w:rPr>
          <w:rFonts w:ascii="Arial" w:hAnsi="Arial" w:cs="Arial"/>
          <w:b/>
          <w:szCs w:val="24"/>
        </w:rPr>
        <w:t>(iv)</w:t>
      </w:r>
      <w:r w:rsidR="00AA6076">
        <w:rPr>
          <w:rFonts w:ascii="Arial" w:hAnsi="Arial" w:cs="Arial"/>
          <w:szCs w:val="24"/>
        </w:rPr>
        <w:t xml:space="preserve"> </w:t>
      </w:r>
      <w:r w:rsidR="00273E39" w:rsidRPr="00D57C02">
        <w:rPr>
          <w:rFonts w:ascii="Arial" w:hAnsi="Arial" w:cs="Arial"/>
          <w:szCs w:val="24"/>
        </w:rPr>
        <w:t xml:space="preserve">introduce </w:t>
      </w:r>
      <w:r w:rsidR="00C96A35">
        <w:rPr>
          <w:rFonts w:ascii="Arial" w:hAnsi="Arial" w:cs="Arial"/>
          <w:szCs w:val="24"/>
        </w:rPr>
        <w:t xml:space="preserve">“cough surveillance” </w:t>
      </w:r>
      <w:r w:rsidR="00C86D7A">
        <w:rPr>
          <w:rFonts w:ascii="Arial" w:hAnsi="Arial" w:cs="Arial"/>
          <w:szCs w:val="24"/>
        </w:rPr>
        <w:t>and triage</w:t>
      </w:r>
      <w:r w:rsidR="00C96A35">
        <w:rPr>
          <w:rFonts w:ascii="Arial" w:hAnsi="Arial" w:cs="Arial"/>
          <w:szCs w:val="24"/>
        </w:rPr>
        <w:t xml:space="preserve"> in out-patient departments </w:t>
      </w:r>
      <w:r w:rsidR="0093721E">
        <w:rPr>
          <w:rFonts w:ascii="Arial" w:hAnsi="Arial" w:cs="Arial"/>
          <w:szCs w:val="24"/>
        </w:rPr>
        <w:t xml:space="preserve">of 74 major hospitals </w:t>
      </w:r>
      <w:r w:rsidR="00E81BB3" w:rsidRPr="00B20CB8">
        <w:rPr>
          <w:rFonts w:ascii="Arial" w:hAnsi="Arial" w:cs="Arial"/>
          <w:szCs w:val="24"/>
        </w:rPr>
        <w:t>(</w:t>
      </w:r>
      <w:r w:rsidR="00E81BB3" w:rsidRPr="00B20CB8">
        <w:rPr>
          <w:rFonts w:ascii="Arial" w:hAnsi="Arial" w:cs="Arial"/>
          <w:i/>
          <w:szCs w:val="24"/>
        </w:rPr>
        <w:t>Annex</w:t>
      </w:r>
      <w:r w:rsidR="00FE25B8" w:rsidRPr="00B20CB8">
        <w:rPr>
          <w:rFonts w:ascii="Arial" w:hAnsi="Arial" w:cs="Arial"/>
          <w:i/>
          <w:szCs w:val="24"/>
        </w:rPr>
        <w:t>-</w:t>
      </w:r>
      <w:r w:rsidR="00200058" w:rsidRPr="00B20CB8">
        <w:rPr>
          <w:rFonts w:ascii="Arial" w:hAnsi="Arial" w:cs="Arial"/>
          <w:i/>
          <w:szCs w:val="24"/>
        </w:rPr>
        <w:t>1</w:t>
      </w:r>
      <w:r w:rsidR="00EA0BFA" w:rsidRPr="00B20CB8">
        <w:rPr>
          <w:rFonts w:ascii="Arial" w:hAnsi="Arial" w:cs="Arial"/>
          <w:i/>
          <w:szCs w:val="24"/>
        </w:rPr>
        <w:t>3</w:t>
      </w:r>
      <w:r w:rsidR="00326CA3">
        <w:rPr>
          <w:rFonts w:ascii="Arial" w:hAnsi="Arial" w:cs="Arial"/>
          <w:i/>
          <w:szCs w:val="24"/>
        </w:rPr>
        <w:t>,</w:t>
      </w:r>
      <w:r w:rsidR="00044A6D">
        <w:rPr>
          <w:rFonts w:ascii="Arial" w:hAnsi="Arial" w:cs="Arial"/>
          <w:i/>
          <w:szCs w:val="24"/>
        </w:rPr>
        <w:t xml:space="preserve"> </w:t>
      </w:r>
      <w:r w:rsidR="00326CA3">
        <w:rPr>
          <w:rFonts w:ascii="Arial" w:hAnsi="Arial" w:cs="Arial"/>
          <w:i/>
          <w:szCs w:val="24"/>
        </w:rPr>
        <w:t>p12</w:t>
      </w:r>
      <w:r w:rsidR="00E81BB3" w:rsidRPr="00B20CB8">
        <w:rPr>
          <w:rFonts w:ascii="Arial" w:hAnsi="Arial" w:cs="Arial"/>
          <w:szCs w:val="24"/>
        </w:rPr>
        <w:t>)</w:t>
      </w:r>
      <w:r w:rsidRPr="00B20CB8">
        <w:rPr>
          <w:rFonts w:ascii="Arial" w:hAnsi="Arial" w:cs="Arial"/>
          <w:szCs w:val="24"/>
        </w:rPr>
        <w:t>;</w:t>
      </w:r>
      <w:r w:rsidRPr="00D57C02">
        <w:rPr>
          <w:rFonts w:ascii="Arial" w:hAnsi="Arial" w:cs="Arial"/>
          <w:szCs w:val="24"/>
        </w:rPr>
        <w:t xml:space="preserve"> </w:t>
      </w:r>
      <w:r w:rsidR="00AA6076" w:rsidRPr="00DD53EA">
        <w:rPr>
          <w:rFonts w:ascii="Arial" w:hAnsi="Arial" w:cs="Arial"/>
          <w:b/>
          <w:szCs w:val="24"/>
        </w:rPr>
        <w:t>(</w:t>
      </w:r>
      <w:r w:rsidRPr="00DD53EA">
        <w:rPr>
          <w:rFonts w:ascii="Arial" w:hAnsi="Arial" w:cs="Arial"/>
          <w:b/>
          <w:szCs w:val="24"/>
        </w:rPr>
        <w:t>v)</w:t>
      </w:r>
      <w:r w:rsidR="00527D62">
        <w:rPr>
          <w:rFonts w:ascii="Arial" w:hAnsi="Arial" w:cs="Arial"/>
          <w:szCs w:val="24"/>
        </w:rPr>
        <w:t xml:space="preserve"> </w:t>
      </w:r>
      <w:r w:rsidR="00D74DA6">
        <w:rPr>
          <w:rFonts w:ascii="Arial" w:hAnsi="Arial" w:cs="Arial"/>
          <w:szCs w:val="24"/>
        </w:rPr>
        <w:t>organize</w:t>
      </w:r>
      <w:r w:rsidR="00D74DA6" w:rsidRPr="00D57C02">
        <w:rPr>
          <w:rFonts w:ascii="Arial" w:hAnsi="Arial" w:cs="Arial"/>
          <w:szCs w:val="24"/>
        </w:rPr>
        <w:t xml:space="preserve"> </w:t>
      </w:r>
      <w:r w:rsidR="00D74DA6">
        <w:rPr>
          <w:rFonts w:ascii="Arial" w:hAnsi="Arial" w:cs="Arial"/>
          <w:szCs w:val="24"/>
        </w:rPr>
        <w:t xml:space="preserve">ACF mobile teams to screen KAP </w:t>
      </w:r>
      <w:r w:rsidR="00E01283">
        <w:rPr>
          <w:rFonts w:ascii="Arial" w:hAnsi="Arial" w:cs="Arial"/>
          <w:szCs w:val="24"/>
        </w:rPr>
        <w:t xml:space="preserve">based on mapping </w:t>
      </w:r>
      <w:r w:rsidR="00415A64">
        <w:rPr>
          <w:rFonts w:ascii="Arial" w:hAnsi="Arial" w:cs="Arial"/>
          <w:szCs w:val="24"/>
        </w:rPr>
        <w:t xml:space="preserve">of KAP </w:t>
      </w:r>
      <w:r w:rsidR="00E01283">
        <w:rPr>
          <w:rFonts w:ascii="Arial" w:hAnsi="Arial" w:cs="Arial"/>
        </w:rPr>
        <w:t xml:space="preserve">and </w:t>
      </w:r>
      <w:r w:rsidR="00F14A9A">
        <w:rPr>
          <w:rFonts w:ascii="Arial" w:hAnsi="Arial" w:cs="Arial"/>
        </w:rPr>
        <w:t xml:space="preserve">those </w:t>
      </w:r>
      <w:r w:rsidR="00E01283">
        <w:rPr>
          <w:rFonts w:ascii="Arial" w:hAnsi="Arial" w:cs="Arial"/>
        </w:rPr>
        <w:t>i</w:t>
      </w:r>
      <w:r w:rsidR="0093721E">
        <w:rPr>
          <w:rFonts w:ascii="Arial" w:hAnsi="Arial" w:cs="Arial"/>
          <w:szCs w:val="24"/>
        </w:rPr>
        <w:t xml:space="preserve">dentified during the </w:t>
      </w:r>
      <w:r w:rsidR="003B58B6">
        <w:rPr>
          <w:rFonts w:ascii="Arial" w:hAnsi="Arial" w:cs="Arial"/>
          <w:szCs w:val="24"/>
        </w:rPr>
        <w:t>country dialogue</w:t>
      </w:r>
      <w:r w:rsidR="00415A64">
        <w:rPr>
          <w:rFonts w:ascii="Arial" w:hAnsi="Arial" w:cs="Arial"/>
          <w:szCs w:val="24"/>
        </w:rPr>
        <w:t>,</w:t>
      </w:r>
      <w:r w:rsidR="00D74DA6">
        <w:rPr>
          <w:rFonts w:ascii="Arial" w:hAnsi="Arial" w:cs="Arial"/>
          <w:szCs w:val="24"/>
        </w:rPr>
        <w:t xml:space="preserve"> </w:t>
      </w:r>
      <w:r w:rsidR="005C6E93" w:rsidRPr="00AD7C51">
        <w:rPr>
          <w:rFonts w:ascii="Arial" w:hAnsi="Arial" w:cs="Arial"/>
          <w:szCs w:val="24"/>
        </w:rPr>
        <w:t>(</w:t>
      </w:r>
      <w:r w:rsidR="005C6E93" w:rsidRPr="00AD7C51">
        <w:rPr>
          <w:rFonts w:ascii="Arial" w:hAnsi="Arial" w:cs="Arial"/>
          <w:i/>
          <w:szCs w:val="24"/>
        </w:rPr>
        <w:t>Annex-14</w:t>
      </w:r>
      <w:r w:rsidR="00D74DA6">
        <w:rPr>
          <w:rFonts w:ascii="Arial" w:hAnsi="Arial" w:cs="Arial"/>
          <w:i/>
          <w:szCs w:val="24"/>
        </w:rPr>
        <w:t>,</w:t>
      </w:r>
      <w:r w:rsidR="00E01283">
        <w:rPr>
          <w:rFonts w:ascii="Arial" w:hAnsi="Arial" w:cs="Arial"/>
          <w:i/>
          <w:szCs w:val="24"/>
        </w:rPr>
        <w:t xml:space="preserve"> </w:t>
      </w:r>
      <w:r w:rsidR="00F14A9A">
        <w:rPr>
          <w:rFonts w:ascii="Arial" w:hAnsi="Arial" w:cs="Arial"/>
          <w:i/>
          <w:szCs w:val="24"/>
        </w:rPr>
        <w:t>Annex-</w:t>
      </w:r>
      <w:r w:rsidR="00E01283">
        <w:rPr>
          <w:rFonts w:ascii="Arial" w:hAnsi="Arial" w:cs="Arial"/>
          <w:i/>
          <w:szCs w:val="24"/>
        </w:rPr>
        <w:t>15 p1-8</w:t>
      </w:r>
      <w:r w:rsidR="005C6E93" w:rsidRPr="00AD7C51">
        <w:rPr>
          <w:rFonts w:ascii="Arial" w:hAnsi="Arial" w:cs="Arial"/>
          <w:szCs w:val="24"/>
        </w:rPr>
        <w:t>)</w:t>
      </w:r>
      <w:r w:rsidR="005C6E93">
        <w:rPr>
          <w:rFonts w:ascii="Arial" w:hAnsi="Arial" w:cs="Arial"/>
          <w:szCs w:val="24"/>
        </w:rPr>
        <w:t>;</w:t>
      </w:r>
      <w:r w:rsidR="008227F1">
        <w:rPr>
          <w:rFonts w:ascii="Arial" w:hAnsi="Arial" w:cs="Arial"/>
          <w:szCs w:val="24"/>
        </w:rPr>
        <w:t xml:space="preserve"> </w:t>
      </w:r>
      <w:r w:rsidR="00E81BB3" w:rsidRPr="00DD53EA">
        <w:rPr>
          <w:rFonts w:ascii="Arial" w:hAnsi="Arial" w:cs="Arial"/>
          <w:b/>
          <w:szCs w:val="24"/>
        </w:rPr>
        <w:t>(v</w:t>
      </w:r>
      <w:r w:rsidR="00947A0B" w:rsidRPr="00DD53EA">
        <w:rPr>
          <w:rFonts w:ascii="Arial" w:hAnsi="Arial" w:cs="Arial"/>
          <w:b/>
          <w:szCs w:val="24"/>
        </w:rPr>
        <w:t>i</w:t>
      </w:r>
      <w:r w:rsidR="00E81BB3" w:rsidRPr="00DD53EA">
        <w:rPr>
          <w:rFonts w:ascii="Arial" w:hAnsi="Arial" w:cs="Arial"/>
          <w:b/>
          <w:szCs w:val="24"/>
        </w:rPr>
        <w:t>)</w:t>
      </w:r>
      <w:r w:rsidR="00E81BB3">
        <w:rPr>
          <w:rFonts w:ascii="Arial" w:hAnsi="Arial" w:cs="Arial"/>
          <w:szCs w:val="24"/>
        </w:rPr>
        <w:t xml:space="preserve"> </w:t>
      </w:r>
      <w:r w:rsidR="00C708D9">
        <w:rPr>
          <w:rFonts w:ascii="Arial" w:hAnsi="Arial" w:cs="Arial"/>
          <w:szCs w:val="24"/>
        </w:rPr>
        <w:t xml:space="preserve">expedite </w:t>
      </w:r>
      <w:r w:rsidR="00415A64">
        <w:rPr>
          <w:rFonts w:ascii="Arial" w:hAnsi="Arial" w:cs="Arial"/>
          <w:szCs w:val="24"/>
        </w:rPr>
        <w:t>implementation of PPM activities</w:t>
      </w:r>
      <w:r w:rsidR="00C708D9">
        <w:rPr>
          <w:rFonts w:ascii="Arial" w:hAnsi="Arial" w:cs="Arial"/>
          <w:szCs w:val="24"/>
        </w:rPr>
        <w:t>;</w:t>
      </w:r>
      <w:r w:rsidR="00DD53EA">
        <w:rPr>
          <w:rFonts w:ascii="Arial" w:hAnsi="Arial" w:cs="Arial"/>
          <w:szCs w:val="24"/>
        </w:rPr>
        <w:t xml:space="preserve"> </w:t>
      </w:r>
      <w:r w:rsidR="00C121B9" w:rsidRPr="00DD53EA">
        <w:rPr>
          <w:rFonts w:ascii="Arial" w:hAnsi="Arial" w:cs="Arial"/>
          <w:b/>
          <w:szCs w:val="24"/>
        </w:rPr>
        <w:t>(vii)</w:t>
      </w:r>
      <w:r w:rsidR="00C121B9" w:rsidRPr="00C121B9">
        <w:rPr>
          <w:rFonts w:ascii="Arial" w:hAnsi="Arial" w:cs="Arial"/>
          <w:szCs w:val="24"/>
        </w:rPr>
        <w:t xml:space="preserve"> </w:t>
      </w:r>
      <w:r w:rsidR="00B73412">
        <w:rPr>
          <w:rFonts w:ascii="Arial" w:hAnsi="Arial" w:cs="Arial"/>
          <w:szCs w:val="24"/>
        </w:rPr>
        <w:t>invest in</w:t>
      </w:r>
      <w:r w:rsidR="00A41CEF">
        <w:rPr>
          <w:rFonts w:ascii="Arial" w:hAnsi="Arial" w:cs="Arial"/>
          <w:szCs w:val="24"/>
        </w:rPr>
        <w:t xml:space="preserve"> </w:t>
      </w:r>
      <w:r w:rsidR="002F66F3">
        <w:rPr>
          <w:rFonts w:ascii="Arial" w:hAnsi="Arial" w:cs="Arial"/>
          <w:szCs w:val="24"/>
        </w:rPr>
        <w:t xml:space="preserve">capacity building of lab staff to </w:t>
      </w:r>
      <w:r w:rsidR="00C121B9">
        <w:rPr>
          <w:rFonts w:ascii="Arial" w:hAnsi="Arial" w:cs="Arial"/>
          <w:szCs w:val="24"/>
        </w:rPr>
        <w:t xml:space="preserve">increase the </w:t>
      </w:r>
      <w:r w:rsidR="002F66F3">
        <w:rPr>
          <w:rFonts w:ascii="Arial" w:hAnsi="Arial" w:cs="Arial"/>
          <w:szCs w:val="24"/>
        </w:rPr>
        <w:t xml:space="preserve">optimum </w:t>
      </w:r>
      <w:r w:rsidR="00C121B9">
        <w:rPr>
          <w:rFonts w:ascii="Arial" w:hAnsi="Arial" w:cs="Arial"/>
          <w:szCs w:val="24"/>
        </w:rPr>
        <w:t xml:space="preserve">utilisation of </w:t>
      </w:r>
      <w:r w:rsidR="0072638F">
        <w:rPr>
          <w:rFonts w:ascii="Arial" w:hAnsi="Arial" w:cs="Arial"/>
          <w:szCs w:val="24"/>
        </w:rPr>
        <w:t>diagnostic services</w:t>
      </w:r>
      <w:r w:rsidR="00C121B9">
        <w:rPr>
          <w:rFonts w:ascii="Arial" w:hAnsi="Arial" w:cs="Arial"/>
          <w:szCs w:val="24"/>
        </w:rPr>
        <w:t xml:space="preserve"> </w:t>
      </w:r>
      <w:r w:rsidR="00C121B9" w:rsidRPr="00E018D0">
        <w:rPr>
          <w:rFonts w:ascii="Arial" w:hAnsi="Arial" w:cs="Arial"/>
          <w:szCs w:val="24"/>
        </w:rPr>
        <w:t>(</w:t>
      </w:r>
      <w:r w:rsidR="00C121B9" w:rsidRPr="00E018D0">
        <w:rPr>
          <w:rFonts w:ascii="Arial" w:hAnsi="Arial" w:cs="Arial"/>
          <w:i/>
          <w:szCs w:val="24"/>
        </w:rPr>
        <w:t>Annex-16, p7,45,98,99</w:t>
      </w:r>
      <w:r w:rsidR="00C121B9" w:rsidRPr="00E018D0">
        <w:rPr>
          <w:rFonts w:ascii="Arial" w:hAnsi="Arial" w:cs="Arial"/>
          <w:szCs w:val="24"/>
        </w:rPr>
        <w:t>).</w:t>
      </w:r>
      <w:r w:rsidR="00DD53EA">
        <w:rPr>
          <w:rFonts w:ascii="Arial" w:hAnsi="Arial" w:cs="Arial"/>
          <w:szCs w:val="24"/>
        </w:rPr>
        <w:t xml:space="preserve"> </w:t>
      </w:r>
      <w:r w:rsidR="00C121B9" w:rsidRPr="00DD53EA">
        <w:rPr>
          <w:rFonts w:ascii="Arial" w:hAnsi="Arial" w:cs="Arial"/>
          <w:b/>
          <w:szCs w:val="24"/>
        </w:rPr>
        <w:t>(viii)</w:t>
      </w:r>
      <w:r w:rsidR="00C121B9" w:rsidRPr="00C121B9">
        <w:rPr>
          <w:rFonts w:ascii="Arial" w:hAnsi="Arial" w:cs="Arial"/>
          <w:szCs w:val="24"/>
        </w:rPr>
        <w:t xml:space="preserve"> </w:t>
      </w:r>
      <w:proofErr w:type="gramStart"/>
      <w:r w:rsidR="00547EAF">
        <w:rPr>
          <w:rFonts w:ascii="Arial" w:hAnsi="Arial" w:cs="Arial"/>
          <w:szCs w:val="24"/>
        </w:rPr>
        <w:t>implement</w:t>
      </w:r>
      <w:proofErr w:type="gramEnd"/>
      <w:r w:rsidR="00B73412">
        <w:rPr>
          <w:rFonts w:ascii="Arial" w:hAnsi="Arial" w:cs="Arial"/>
          <w:szCs w:val="24"/>
        </w:rPr>
        <w:t xml:space="preserve"> an efficient logistic system for sputum transportation</w:t>
      </w:r>
      <w:r w:rsidR="008E1F43">
        <w:rPr>
          <w:rFonts w:ascii="Arial" w:hAnsi="Arial" w:cs="Arial"/>
          <w:szCs w:val="24"/>
        </w:rPr>
        <w:t>;</w:t>
      </w:r>
      <w:r w:rsidR="00C121B9" w:rsidRPr="00D57C02">
        <w:rPr>
          <w:rFonts w:ascii="Arial" w:hAnsi="Arial" w:cs="Arial"/>
          <w:szCs w:val="24"/>
        </w:rPr>
        <w:t xml:space="preserve"> </w:t>
      </w:r>
      <w:r w:rsidR="006550E9">
        <w:rPr>
          <w:rFonts w:ascii="Arial" w:hAnsi="Arial" w:cs="Arial"/>
        </w:rPr>
        <w:t>(Annex-</w:t>
      </w:r>
      <w:r w:rsidR="00A41CEF">
        <w:rPr>
          <w:rFonts w:ascii="Arial" w:hAnsi="Arial" w:cs="Arial"/>
        </w:rPr>
        <w:t>7, p58)</w:t>
      </w:r>
      <w:r w:rsidR="00C121B9" w:rsidRPr="00D57C02">
        <w:rPr>
          <w:rFonts w:ascii="Arial" w:hAnsi="Arial" w:cs="Arial"/>
          <w:szCs w:val="24"/>
        </w:rPr>
        <w:t>.</w:t>
      </w:r>
      <w:r w:rsidR="00DD53EA">
        <w:rPr>
          <w:rFonts w:ascii="Arial" w:hAnsi="Arial" w:cs="Arial"/>
          <w:szCs w:val="24"/>
        </w:rPr>
        <w:t xml:space="preserve"> </w:t>
      </w:r>
      <w:r w:rsidR="00C121B9" w:rsidRPr="00DD53EA">
        <w:rPr>
          <w:rFonts w:ascii="Arial" w:hAnsi="Arial" w:cs="Arial"/>
          <w:b/>
          <w:szCs w:val="24"/>
        </w:rPr>
        <w:t>(ix)</w:t>
      </w:r>
      <w:r w:rsidR="00C121B9" w:rsidRPr="00C121B9">
        <w:rPr>
          <w:rFonts w:ascii="Arial" w:hAnsi="Arial" w:cs="Arial"/>
          <w:szCs w:val="24"/>
        </w:rPr>
        <w:t xml:space="preserve"> </w:t>
      </w:r>
      <w:r w:rsidR="002F66F3">
        <w:rPr>
          <w:rFonts w:ascii="Arial" w:hAnsi="Arial" w:cs="Arial"/>
          <w:szCs w:val="24"/>
        </w:rPr>
        <w:t>Reinforce s</w:t>
      </w:r>
      <w:r w:rsidR="00C121B9">
        <w:rPr>
          <w:rFonts w:ascii="Arial" w:hAnsi="Arial" w:cs="Arial"/>
          <w:szCs w:val="24"/>
        </w:rPr>
        <w:t>upportive</w:t>
      </w:r>
      <w:r w:rsidR="00C121B9" w:rsidRPr="00D57C02">
        <w:rPr>
          <w:rFonts w:ascii="Arial" w:hAnsi="Arial" w:cs="Arial"/>
          <w:szCs w:val="24"/>
        </w:rPr>
        <w:t xml:space="preserve"> supervision </w:t>
      </w:r>
      <w:r w:rsidR="00C121B9">
        <w:rPr>
          <w:rFonts w:ascii="Arial" w:hAnsi="Arial" w:cs="Arial"/>
          <w:szCs w:val="24"/>
        </w:rPr>
        <w:t xml:space="preserve">of TB services </w:t>
      </w:r>
      <w:r w:rsidR="00C121B9" w:rsidRPr="00D57C02">
        <w:rPr>
          <w:rFonts w:ascii="Arial" w:hAnsi="Arial" w:cs="Arial"/>
          <w:szCs w:val="24"/>
        </w:rPr>
        <w:t xml:space="preserve">from </w:t>
      </w:r>
      <w:r w:rsidR="00A47AD4">
        <w:rPr>
          <w:rFonts w:ascii="Arial" w:hAnsi="Arial" w:cs="Arial"/>
          <w:szCs w:val="24"/>
        </w:rPr>
        <w:t>all</w:t>
      </w:r>
      <w:r w:rsidR="00C121B9" w:rsidRPr="00D57C02">
        <w:rPr>
          <w:rFonts w:ascii="Arial" w:hAnsi="Arial" w:cs="Arial"/>
          <w:szCs w:val="24"/>
        </w:rPr>
        <w:t xml:space="preserve"> levels</w:t>
      </w:r>
      <w:r w:rsidR="00C121B9">
        <w:rPr>
          <w:rFonts w:ascii="Arial" w:hAnsi="Arial" w:cs="Arial"/>
          <w:szCs w:val="24"/>
        </w:rPr>
        <w:t>.</w:t>
      </w:r>
      <w:r w:rsidR="00C121B9" w:rsidRPr="00D57C02">
        <w:rPr>
          <w:rFonts w:ascii="Arial" w:hAnsi="Arial" w:cs="Arial"/>
          <w:szCs w:val="24"/>
        </w:rPr>
        <w:t xml:space="preserve"> </w:t>
      </w:r>
    </w:p>
    <w:p w14:paraId="6E5F74EF" w14:textId="77777777" w:rsidR="0092726F" w:rsidRDefault="0092726F" w:rsidP="005C6E93">
      <w:pPr>
        <w:spacing w:after="0" w:line="240" w:lineRule="auto"/>
        <w:jc w:val="both"/>
        <w:rPr>
          <w:rFonts w:ascii="Arial" w:hAnsi="Arial" w:cs="Arial"/>
          <w:sz w:val="16"/>
          <w:szCs w:val="16"/>
        </w:rPr>
      </w:pPr>
    </w:p>
    <w:p w14:paraId="4C943EFF" w14:textId="77777777" w:rsidR="00DD53EA" w:rsidRDefault="00456841" w:rsidP="00DD53EA">
      <w:pPr>
        <w:spacing w:after="0" w:line="240" w:lineRule="auto"/>
        <w:jc w:val="both"/>
        <w:rPr>
          <w:rFonts w:ascii="Arial" w:hAnsi="Arial" w:cs="Arial"/>
          <w:b/>
          <w:szCs w:val="24"/>
        </w:rPr>
      </w:pPr>
      <w:r w:rsidRPr="00003A29">
        <w:rPr>
          <w:rFonts w:ascii="Arial" w:hAnsi="Arial" w:cs="Arial"/>
          <w:b/>
          <w:szCs w:val="24"/>
          <w:u w:val="single"/>
        </w:rPr>
        <w:t>2</w:t>
      </w:r>
      <w:r w:rsidR="00432F8E" w:rsidRPr="00003A29">
        <w:rPr>
          <w:rFonts w:ascii="Arial" w:hAnsi="Arial" w:cs="Arial"/>
          <w:b/>
          <w:szCs w:val="24"/>
          <w:u w:val="single"/>
        </w:rPr>
        <w:t>. Childhood TB</w:t>
      </w:r>
      <w:r w:rsidR="00432F8E" w:rsidRPr="00003A29">
        <w:rPr>
          <w:rFonts w:ascii="Arial" w:hAnsi="Arial" w:cs="Arial"/>
          <w:b/>
          <w:szCs w:val="24"/>
        </w:rPr>
        <w:t>:</w:t>
      </w:r>
      <w:r w:rsidR="00DD53EA">
        <w:rPr>
          <w:rFonts w:ascii="Arial" w:hAnsi="Arial" w:cs="Arial"/>
          <w:b/>
          <w:szCs w:val="24"/>
        </w:rPr>
        <w:t xml:space="preserve"> </w:t>
      </w:r>
    </w:p>
    <w:p w14:paraId="470630EE" w14:textId="2574E4C6" w:rsidR="00723782" w:rsidRDefault="00432F8E" w:rsidP="00DD53EA">
      <w:pPr>
        <w:spacing w:after="0" w:line="240" w:lineRule="auto"/>
        <w:jc w:val="both"/>
        <w:rPr>
          <w:rFonts w:ascii="Arial" w:hAnsi="Arial" w:cs="Arial"/>
          <w:szCs w:val="24"/>
        </w:rPr>
      </w:pPr>
      <w:r w:rsidRPr="00723782">
        <w:rPr>
          <w:rFonts w:ascii="Arial" w:hAnsi="Arial" w:cs="Arial"/>
          <w:b/>
          <w:szCs w:val="24"/>
        </w:rPr>
        <w:t>Lessons learned:</w:t>
      </w:r>
      <w:r w:rsidRPr="00723782">
        <w:rPr>
          <w:rFonts w:ascii="Arial" w:hAnsi="Arial" w:cs="Arial"/>
          <w:szCs w:val="24"/>
        </w:rPr>
        <w:t xml:space="preserve"> </w:t>
      </w:r>
      <w:r w:rsidR="003769A5" w:rsidRPr="00DD53EA">
        <w:rPr>
          <w:rFonts w:ascii="Arial" w:hAnsi="Arial" w:cs="Arial"/>
          <w:b/>
          <w:szCs w:val="24"/>
        </w:rPr>
        <w:t>(</w:t>
      </w:r>
      <w:proofErr w:type="spellStart"/>
      <w:r w:rsidR="003769A5" w:rsidRPr="00DD53EA">
        <w:rPr>
          <w:rFonts w:ascii="Arial" w:hAnsi="Arial" w:cs="Arial"/>
          <w:b/>
          <w:szCs w:val="24"/>
        </w:rPr>
        <w:t>i</w:t>
      </w:r>
      <w:proofErr w:type="spellEnd"/>
      <w:r w:rsidR="003769A5" w:rsidRPr="00DD53EA">
        <w:rPr>
          <w:rFonts w:ascii="Arial" w:hAnsi="Arial" w:cs="Arial"/>
          <w:b/>
          <w:szCs w:val="24"/>
        </w:rPr>
        <w:t>)</w:t>
      </w:r>
      <w:r w:rsidR="003769A5">
        <w:rPr>
          <w:rFonts w:ascii="Arial" w:hAnsi="Arial" w:cs="Arial"/>
          <w:szCs w:val="24"/>
        </w:rPr>
        <w:t xml:space="preserve"> </w:t>
      </w:r>
      <w:r w:rsidR="00002841">
        <w:rPr>
          <w:rFonts w:ascii="Arial" w:hAnsi="Arial" w:cs="Arial"/>
          <w:szCs w:val="24"/>
        </w:rPr>
        <w:t xml:space="preserve">Training </w:t>
      </w:r>
      <w:r w:rsidR="00395F99" w:rsidRPr="003769A5">
        <w:rPr>
          <w:rFonts w:ascii="Arial" w:hAnsi="Arial" w:cs="Arial"/>
          <w:szCs w:val="24"/>
        </w:rPr>
        <w:t xml:space="preserve">of staff </w:t>
      </w:r>
      <w:r w:rsidR="003769A5" w:rsidRPr="003769A5">
        <w:rPr>
          <w:rFonts w:ascii="Arial" w:hAnsi="Arial" w:cs="Arial"/>
          <w:szCs w:val="24"/>
        </w:rPr>
        <w:t>on childhood TB management</w:t>
      </w:r>
      <w:r w:rsidR="003769A5">
        <w:rPr>
          <w:rFonts w:ascii="Arial" w:hAnsi="Arial" w:cs="Arial"/>
          <w:szCs w:val="24"/>
        </w:rPr>
        <w:t xml:space="preserve"> (</w:t>
      </w:r>
      <w:r w:rsidR="003769A5" w:rsidRPr="00E12E3E">
        <w:rPr>
          <w:rFonts w:ascii="Arial" w:hAnsi="Arial" w:cs="Arial"/>
          <w:i/>
          <w:szCs w:val="24"/>
        </w:rPr>
        <w:t>Annex-17</w:t>
      </w:r>
      <w:r w:rsidR="001A3C66">
        <w:rPr>
          <w:rFonts w:ascii="Arial" w:hAnsi="Arial" w:cs="Arial"/>
          <w:i/>
          <w:szCs w:val="24"/>
        </w:rPr>
        <w:t>,p2-3</w:t>
      </w:r>
      <w:r w:rsidR="003769A5">
        <w:rPr>
          <w:rFonts w:ascii="Arial" w:hAnsi="Arial" w:cs="Arial"/>
          <w:szCs w:val="24"/>
        </w:rPr>
        <w:t>)</w:t>
      </w:r>
      <w:r w:rsidR="008227F1">
        <w:rPr>
          <w:rFonts w:ascii="Arial" w:hAnsi="Arial" w:cs="Arial"/>
          <w:szCs w:val="24"/>
        </w:rPr>
        <w:t xml:space="preserve">; </w:t>
      </w:r>
      <w:r w:rsidR="0092726F" w:rsidRPr="00DD53EA">
        <w:rPr>
          <w:rFonts w:ascii="Arial" w:hAnsi="Arial" w:cs="Arial"/>
          <w:b/>
          <w:szCs w:val="24"/>
        </w:rPr>
        <w:t>(ii)</w:t>
      </w:r>
      <w:r w:rsidR="0092726F">
        <w:rPr>
          <w:rFonts w:ascii="Arial" w:hAnsi="Arial" w:cs="Arial"/>
          <w:szCs w:val="24"/>
        </w:rPr>
        <w:t xml:space="preserve"> </w:t>
      </w:r>
      <w:r w:rsidR="00D74DA6">
        <w:rPr>
          <w:rFonts w:ascii="Arial" w:hAnsi="Arial" w:cs="Arial"/>
          <w:szCs w:val="24"/>
        </w:rPr>
        <w:t xml:space="preserve">establish </w:t>
      </w:r>
      <w:r w:rsidR="00344974" w:rsidRPr="00723782">
        <w:rPr>
          <w:rFonts w:ascii="Arial" w:hAnsi="Arial" w:cs="Arial"/>
          <w:szCs w:val="24"/>
        </w:rPr>
        <w:t xml:space="preserve">Childhood TB unit </w:t>
      </w:r>
      <w:r w:rsidR="003769A5">
        <w:rPr>
          <w:rFonts w:ascii="Arial" w:hAnsi="Arial" w:cs="Arial"/>
          <w:szCs w:val="24"/>
        </w:rPr>
        <w:t>at national level</w:t>
      </w:r>
      <w:r w:rsidR="00D74DA6">
        <w:rPr>
          <w:rFonts w:ascii="Arial" w:hAnsi="Arial" w:cs="Arial"/>
          <w:szCs w:val="24"/>
        </w:rPr>
        <w:t>;</w:t>
      </w:r>
      <w:r w:rsidR="00344974" w:rsidRPr="00723782">
        <w:rPr>
          <w:rFonts w:ascii="Arial" w:hAnsi="Arial" w:cs="Arial"/>
          <w:szCs w:val="24"/>
        </w:rPr>
        <w:t xml:space="preserve"> </w:t>
      </w:r>
      <w:r w:rsidR="005B0212" w:rsidRPr="00DD53EA">
        <w:rPr>
          <w:rFonts w:ascii="Arial" w:hAnsi="Arial" w:cs="Arial"/>
          <w:b/>
          <w:szCs w:val="24"/>
        </w:rPr>
        <w:t>(iii)</w:t>
      </w:r>
      <w:r w:rsidR="005B0212">
        <w:rPr>
          <w:rFonts w:ascii="Arial" w:hAnsi="Arial" w:cs="Arial"/>
          <w:szCs w:val="24"/>
        </w:rPr>
        <w:t xml:space="preserve"> </w:t>
      </w:r>
      <w:r w:rsidR="00D74DA6">
        <w:rPr>
          <w:rFonts w:ascii="Arial" w:hAnsi="Arial" w:cs="Arial"/>
          <w:szCs w:val="24"/>
        </w:rPr>
        <w:t>collaborate</w:t>
      </w:r>
      <w:r w:rsidR="005B0212">
        <w:rPr>
          <w:rFonts w:ascii="Arial" w:hAnsi="Arial" w:cs="Arial"/>
          <w:szCs w:val="24"/>
        </w:rPr>
        <w:t xml:space="preserve"> </w:t>
      </w:r>
      <w:r w:rsidR="00344974" w:rsidRPr="00723782">
        <w:rPr>
          <w:rFonts w:ascii="Arial" w:hAnsi="Arial" w:cs="Arial"/>
          <w:szCs w:val="24"/>
        </w:rPr>
        <w:t xml:space="preserve">with the private </w:t>
      </w:r>
      <w:r w:rsidR="003F3AF4" w:rsidRPr="00723782">
        <w:rPr>
          <w:rFonts w:ascii="Arial" w:hAnsi="Arial" w:cs="Arial"/>
          <w:szCs w:val="24"/>
        </w:rPr>
        <w:t>health</w:t>
      </w:r>
      <w:r w:rsidR="00344974" w:rsidRPr="00723782">
        <w:rPr>
          <w:rFonts w:ascii="Arial" w:hAnsi="Arial" w:cs="Arial"/>
          <w:szCs w:val="24"/>
        </w:rPr>
        <w:t xml:space="preserve"> sector</w:t>
      </w:r>
      <w:r w:rsidR="00D74DA6">
        <w:rPr>
          <w:rFonts w:ascii="Arial" w:hAnsi="Arial" w:cs="Arial"/>
          <w:szCs w:val="24"/>
        </w:rPr>
        <w:t>;</w:t>
      </w:r>
      <w:r w:rsidR="00BA6F86" w:rsidRPr="00723782">
        <w:rPr>
          <w:rFonts w:ascii="Arial" w:hAnsi="Arial" w:cs="Arial"/>
          <w:szCs w:val="24"/>
        </w:rPr>
        <w:t xml:space="preserve"> </w:t>
      </w:r>
      <w:r w:rsidR="003B11B3" w:rsidRPr="00DD53EA">
        <w:rPr>
          <w:rFonts w:ascii="Arial" w:hAnsi="Arial" w:cs="Arial"/>
          <w:b/>
          <w:szCs w:val="24"/>
        </w:rPr>
        <w:t>(</w:t>
      </w:r>
      <w:r w:rsidR="005B0212" w:rsidRPr="00DD53EA">
        <w:rPr>
          <w:rFonts w:ascii="Arial" w:hAnsi="Arial" w:cs="Arial"/>
          <w:b/>
          <w:szCs w:val="24"/>
        </w:rPr>
        <w:t>i</w:t>
      </w:r>
      <w:r w:rsidR="003B11B3" w:rsidRPr="00DD53EA">
        <w:rPr>
          <w:rFonts w:ascii="Arial" w:hAnsi="Arial" w:cs="Arial"/>
          <w:b/>
          <w:szCs w:val="24"/>
        </w:rPr>
        <w:t>v)</w:t>
      </w:r>
      <w:r w:rsidR="00C87F66">
        <w:rPr>
          <w:rFonts w:ascii="Arial" w:hAnsi="Arial" w:cs="Arial"/>
          <w:b/>
          <w:szCs w:val="24"/>
        </w:rPr>
        <w:t xml:space="preserve"> </w:t>
      </w:r>
      <w:r w:rsidR="00D74DA6" w:rsidRPr="00D74DA6">
        <w:rPr>
          <w:rFonts w:ascii="Arial" w:hAnsi="Arial" w:cs="Arial"/>
          <w:szCs w:val="24"/>
        </w:rPr>
        <w:t>screen</w:t>
      </w:r>
      <w:r w:rsidR="00D74DA6">
        <w:rPr>
          <w:rFonts w:ascii="Arial" w:hAnsi="Arial" w:cs="Arial"/>
          <w:b/>
          <w:szCs w:val="24"/>
        </w:rPr>
        <w:t xml:space="preserve"> </w:t>
      </w:r>
      <w:r w:rsidR="00D74DA6" w:rsidRPr="00D74DA6">
        <w:rPr>
          <w:rFonts w:ascii="Arial" w:hAnsi="Arial" w:cs="Arial"/>
          <w:szCs w:val="24"/>
        </w:rPr>
        <w:t>a</w:t>
      </w:r>
      <w:r w:rsidR="00BA6F86" w:rsidRPr="001203BC">
        <w:rPr>
          <w:rFonts w:ascii="Arial" w:hAnsi="Arial" w:cs="Arial"/>
          <w:szCs w:val="24"/>
        </w:rPr>
        <w:t xml:space="preserve">ll </w:t>
      </w:r>
      <w:r w:rsidRPr="001203BC">
        <w:rPr>
          <w:rFonts w:ascii="Arial" w:hAnsi="Arial" w:cs="Arial"/>
          <w:szCs w:val="24"/>
        </w:rPr>
        <w:t>malnourished children</w:t>
      </w:r>
      <w:r w:rsidR="00BA6F86" w:rsidRPr="001203BC">
        <w:rPr>
          <w:rFonts w:ascii="Arial" w:hAnsi="Arial" w:cs="Arial"/>
          <w:szCs w:val="24"/>
        </w:rPr>
        <w:t xml:space="preserve"> </w:t>
      </w:r>
      <w:r w:rsidR="00A66F69" w:rsidRPr="001203BC">
        <w:rPr>
          <w:rFonts w:ascii="Arial" w:hAnsi="Arial" w:cs="Arial"/>
          <w:szCs w:val="24"/>
        </w:rPr>
        <w:t xml:space="preserve">for TB and </w:t>
      </w:r>
      <w:r w:rsidR="00D74DA6">
        <w:rPr>
          <w:rFonts w:ascii="Arial" w:hAnsi="Arial" w:cs="Arial"/>
          <w:szCs w:val="24"/>
        </w:rPr>
        <w:t>refer</w:t>
      </w:r>
      <w:r w:rsidR="00BA6F86" w:rsidRPr="001203BC">
        <w:rPr>
          <w:rFonts w:ascii="Arial" w:hAnsi="Arial" w:cs="Arial"/>
          <w:szCs w:val="24"/>
        </w:rPr>
        <w:t xml:space="preserve"> to </w:t>
      </w:r>
      <w:r w:rsidR="00844DF0" w:rsidRPr="001203BC">
        <w:rPr>
          <w:rFonts w:ascii="Arial" w:hAnsi="Arial" w:cs="Arial"/>
          <w:szCs w:val="24"/>
        </w:rPr>
        <w:t>hospitals</w:t>
      </w:r>
      <w:r w:rsidR="00B20503">
        <w:rPr>
          <w:rFonts w:ascii="Arial" w:hAnsi="Arial" w:cs="Arial"/>
          <w:szCs w:val="24"/>
        </w:rPr>
        <w:t xml:space="preserve"> for management</w:t>
      </w:r>
      <w:r w:rsidR="00634479">
        <w:rPr>
          <w:rFonts w:ascii="Arial" w:hAnsi="Arial" w:cs="Arial"/>
          <w:szCs w:val="24"/>
        </w:rPr>
        <w:t xml:space="preserve">; </w:t>
      </w:r>
      <w:r w:rsidR="003B11B3" w:rsidRPr="00DD53EA">
        <w:rPr>
          <w:rFonts w:ascii="Arial" w:hAnsi="Arial" w:cs="Arial"/>
          <w:b/>
          <w:szCs w:val="24"/>
        </w:rPr>
        <w:t>(v)</w:t>
      </w:r>
      <w:r w:rsidR="003B11B3">
        <w:rPr>
          <w:rFonts w:ascii="Arial" w:hAnsi="Arial" w:cs="Arial"/>
          <w:szCs w:val="24"/>
        </w:rPr>
        <w:t xml:space="preserve"> </w:t>
      </w:r>
      <w:r w:rsidR="00D74DA6">
        <w:rPr>
          <w:rFonts w:ascii="Arial" w:hAnsi="Arial" w:cs="Arial"/>
          <w:szCs w:val="24"/>
        </w:rPr>
        <w:lastRenderedPageBreak/>
        <w:t xml:space="preserve">provide </w:t>
      </w:r>
      <w:r w:rsidR="009A20E9" w:rsidRPr="00723782">
        <w:rPr>
          <w:rFonts w:ascii="Arial" w:hAnsi="Arial" w:cs="Arial"/>
          <w:szCs w:val="24"/>
        </w:rPr>
        <w:t>Isoniazid p</w:t>
      </w:r>
      <w:r w:rsidRPr="00723782">
        <w:rPr>
          <w:rFonts w:ascii="Arial" w:hAnsi="Arial" w:cs="Arial"/>
          <w:szCs w:val="24"/>
        </w:rPr>
        <w:t xml:space="preserve">reventive treatment </w:t>
      </w:r>
      <w:r w:rsidR="009A20E9" w:rsidRPr="00723782">
        <w:rPr>
          <w:rFonts w:ascii="Arial" w:hAnsi="Arial" w:cs="Arial"/>
          <w:szCs w:val="24"/>
        </w:rPr>
        <w:t xml:space="preserve">(IPT) </w:t>
      </w:r>
      <w:r w:rsidR="0085414E" w:rsidRPr="00723782">
        <w:rPr>
          <w:rFonts w:ascii="Arial" w:hAnsi="Arial" w:cs="Arial"/>
          <w:szCs w:val="24"/>
        </w:rPr>
        <w:t xml:space="preserve">for </w:t>
      </w:r>
      <w:r w:rsidR="005B0212">
        <w:rPr>
          <w:rFonts w:ascii="Arial" w:hAnsi="Arial" w:cs="Arial"/>
          <w:szCs w:val="24"/>
        </w:rPr>
        <w:t xml:space="preserve">children </w:t>
      </w:r>
      <w:r w:rsidR="00634479">
        <w:rPr>
          <w:rFonts w:ascii="Arial" w:hAnsi="Arial" w:cs="Arial"/>
          <w:szCs w:val="24"/>
        </w:rPr>
        <w:t>(&lt;</w:t>
      </w:r>
      <w:r w:rsidR="005B0212">
        <w:rPr>
          <w:rFonts w:ascii="Arial" w:hAnsi="Arial" w:cs="Arial"/>
          <w:szCs w:val="24"/>
        </w:rPr>
        <w:t>5 years</w:t>
      </w:r>
      <w:r w:rsidR="00F14A9A">
        <w:rPr>
          <w:rFonts w:ascii="Arial" w:hAnsi="Arial" w:cs="Arial"/>
          <w:szCs w:val="24"/>
        </w:rPr>
        <w:t>)</w:t>
      </w:r>
      <w:r w:rsidR="005B0212">
        <w:rPr>
          <w:rFonts w:ascii="Arial" w:hAnsi="Arial" w:cs="Arial"/>
          <w:szCs w:val="24"/>
        </w:rPr>
        <w:t xml:space="preserve"> in contact with TB cases</w:t>
      </w:r>
      <w:r w:rsidR="00FB1955">
        <w:rPr>
          <w:rFonts w:ascii="Arial" w:hAnsi="Arial" w:cs="Arial"/>
          <w:szCs w:val="24"/>
        </w:rPr>
        <w:t xml:space="preserve"> (</w:t>
      </w:r>
      <w:r w:rsidR="00FB1955" w:rsidRPr="00FB1955">
        <w:rPr>
          <w:rFonts w:ascii="Arial" w:hAnsi="Arial" w:cs="Arial"/>
          <w:i/>
          <w:szCs w:val="24"/>
        </w:rPr>
        <w:t>Annex-18, p4</w:t>
      </w:r>
      <w:r w:rsidR="00FB1955">
        <w:rPr>
          <w:rFonts w:ascii="Arial" w:hAnsi="Arial" w:cs="Arial"/>
          <w:szCs w:val="24"/>
        </w:rPr>
        <w:t>)</w:t>
      </w:r>
      <w:r w:rsidR="0085414E" w:rsidRPr="00723782">
        <w:rPr>
          <w:rFonts w:ascii="Arial" w:hAnsi="Arial" w:cs="Arial"/>
          <w:szCs w:val="24"/>
        </w:rPr>
        <w:t>.</w:t>
      </w:r>
    </w:p>
    <w:p w14:paraId="02B1C45C" w14:textId="653619DD" w:rsidR="000B1D9C" w:rsidRDefault="00003A29" w:rsidP="000B1D9C">
      <w:pPr>
        <w:spacing w:after="0" w:line="240" w:lineRule="auto"/>
        <w:jc w:val="both"/>
        <w:rPr>
          <w:rFonts w:ascii="Arial" w:hAnsi="Arial" w:cs="Arial"/>
        </w:rPr>
      </w:pPr>
      <w:r w:rsidRPr="00003A29">
        <w:rPr>
          <w:rFonts w:ascii="Arial" w:hAnsi="Arial" w:cs="Arial"/>
          <w:b/>
          <w:u w:val="single"/>
        </w:rPr>
        <w:t>3</w:t>
      </w:r>
      <w:r w:rsidR="000B1D9C" w:rsidRPr="00003A29">
        <w:rPr>
          <w:rFonts w:ascii="Arial" w:hAnsi="Arial" w:cs="Arial"/>
          <w:b/>
          <w:u w:val="single"/>
        </w:rPr>
        <w:t>. Lost to follow up</w:t>
      </w:r>
      <w:r w:rsidR="000B1D9C" w:rsidRPr="00B830F1">
        <w:rPr>
          <w:rFonts w:ascii="Arial" w:hAnsi="Arial" w:cs="Arial"/>
          <w:u w:val="single"/>
        </w:rPr>
        <w:t>:</w:t>
      </w:r>
      <w:r w:rsidR="000B1D9C" w:rsidRPr="00B830F1">
        <w:rPr>
          <w:rFonts w:ascii="Arial" w:hAnsi="Arial" w:cs="Arial"/>
        </w:rPr>
        <w:t xml:space="preserve"> </w:t>
      </w:r>
      <w:r w:rsidR="00C57202" w:rsidRPr="00B830F1">
        <w:rPr>
          <w:rFonts w:ascii="Arial" w:hAnsi="Arial" w:cs="Arial"/>
        </w:rPr>
        <w:t xml:space="preserve">There are over 4,000 </w:t>
      </w:r>
      <w:r w:rsidR="00EB0659">
        <w:rPr>
          <w:rFonts w:ascii="Arial" w:hAnsi="Arial" w:cs="Arial"/>
        </w:rPr>
        <w:t>TCs</w:t>
      </w:r>
      <w:r w:rsidR="00C57202" w:rsidRPr="00B830F1">
        <w:rPr>
          <w:rFonts w:ascii="Arial" w:hAnsi="Arial" w:cs="Arial"/>
        </w:rPr>
        <w:t xml:space="preserve"> but only 589 </w:t>
      </w:r>
      <w:r w:rsidR="00162A3A">
        <w:rPr>
          <w:rFonts w:ascii="Arial" w:hAnsi="Arial" w:cs="Arial"/>
        </w:rPr>
        <w:t>MCs</w:t>
      </w:r>
      <w:r w:rsidR="002012C3">
        <w:rPr>
          <w:rFonts w:ascii="Arial" w:hAnsi="Arial" w:cs="Arial"/>
        </w:rPr>
        <w:t xml:space="preserve">, </w:t>
      </w:r>
      <w:r w:rsidR="00227E0C" w:rsidRPr="00B830F1">
        <w:rPr>
          <w:rFonts w:ascii="Arial" w:hAnsi="Arial" w:cs="Arial"/>
        </w:rPr>
        <w:t xml:space="preserve">TB diagnostic and treatment services together were available only in </w:t>
      </w:r>
      <w:r w:rsidR="00EB0659">
        <w:rPr>
          <w:rFonts w:ascii="Arial" w:hAnsi="Arial" w:cs="Arial"/>
        </w:rPr>
        <w:t>3</w:t>
      </w:r>
      <w:r w:rsidR="00227E0C" w:rsidRPr="00B830F1">
        <w:rPr>
          <w:rFonts w:ascii="Arial" w:hAnsi="Arial" w:cs="Arial"/>
        </w:rPr>
        <w:t xml:space="preserve">0% of facilities </w:t>
      </w:r>
      <w:r w:rsidR="003F4497" w:rsidRPr="00B830F1">
        <w:rPr>
          <w:rFonts w:ascii="Arial" w:hAnsi="Arial" w:cs="Arial"/>
        </w:rPr>
        <w:t>(</w:t>
      </w:r>
      <w:r w:rsidR="00227E0C" w:rsidRPr="00B830F1">
        <w:rPr>
          <w:rFonts w:ascii="Arial" w:hAnsi="Arial" w:cs="Arial"/>
          <w:i/>
        </w:rPr>
        <w:t>Annex</w:t>
      </w:r>
      <w:r w:rsidR="002C7DDC" w:rsidRPr="00B830F1">
        <w:rPr>
          <w:rFonts w:ascii="Arial" w:hAnsi="Arial" w:cs="Arial"/>
          <w:i/>
        </w:rPr>
        <w:t>-12,</w:t>
      </w:r>
      <w:r w:rsidR="00227E0C" w:rsidRPr="00B830F1">
        <w:rPr>
          <w:rFonts w:ascii="Arial" w:hAnsi="Arial" w:cs="Arial"/>
          <w:i/>
        </w:rPr>
        <w:t xml:space="preserve"> p</w:t>
      </w:r>
      <w:r w:rsidR="003F4497" w:rsidRPr="00B830F1">
        <w:rPr>
          <w:rFonts w:ascii="Arial" w:hAnsi="Arial" w:cs="Arial"/>
          <w:i/>
        </w:rPr>
        <w:t>195-201</w:t>
      </w:r>
      <w:r w:rsidR="003F4497" w:rsidRPr="00B830F1">
        <w:rPr>
          <w:rFonts w:ascii="Arial" w:hAnsi="Arial" w:cs="Arial"/>
        </w:rPr>
        <w:t xml:space="preserve">). </w:t>
      </w:r>
    </w:p>
    <w:p w14:paraId="0B0D9D4F" w14:textId="34C7AB0D" w:rsidR="005E44C6" w:rsidRDefault="000B1D9C" w:rsidP="00DE747A">
      <w:pPr>
        <w:spacing w:after="0" w:line="240" w:lineRule="auto"/>
        <w:jc w:val="both"/>
        <w:rPr>
          <w:rFonts w:ascii="Arial" w:hAnsi="Arial" w:cs="Arial"/>
        </w:rPr>
      </w:pPr>
      <w:r w:rsidRPr="00B97D45">
        <w:rPr>
          <w:rFonts w:ascii="Arial" w:hAnsi="Arial" w:cs="Arial"/>
          <w:b/>
        </w:rPr>
        <w:t>Lessons learned</w:t>
      </w:r>
      <w:r w:rsidRPr="00D57C02">
        <w:rPr>
          <w:rFonts w:ascii="Arial" w:hAnsi="Arial" w:cs="Arial"/>
        </w:rPr>
        <w:t xml:space="preserve">: </w:t>
      </w:r>
      <w:r w:rsidR="00663087" w:rsidRPr="00DD53EA">
        <w:rPr>
          <w:rFonts w:ascii="Arial" w:hAnsi="Arial" w:cs="Arial"/>
          <w:b/>
        </w:rPr>
        <w:t>(</w:t>
      </w:r>
      <w:proofErr w:type="spellStart"/>
      <w:r w:rsidR="00663087" w:rsidRPr="00DD53EA">
        <w:rPr>
          <w:rFonts w:ascii="Arial" w:hAnsi="Arial" w:cs="Arial"/>
          <w:b/>
        </w:rPr>
        <w:t>i</w:t>
      </w:r>
      <w:proofErr w:type="spellEnd"/>
      <w:r w:rsidR="00663087" w:rsidRPr="00DD53EA">
        <w:rPr>
          <w:rFonts w:ascii="Arial" w:hAnsi="Arial" w:cs="Arial"/>
          <w:b/>
        </w:rPr>
        <w:t>)</w:t>
      </w:r>
      <w:r w:rsidR="00663087">
        <w:rPr>
          <w:rFonts w:ascii="Arial" w:hAnsi="Arial" w:cs="Arial"/>
        </w:rPr>
        <w:t xml:space="preserve"> </w:t>
      </w:r>
      <w:r w:rsidR="000748EA">
        <w:rPr>
          <w:rFonts w:ascii="Arial" w:hAnsi="Arial" w:cs="Arial"/>
        </w:rPr>
        <w:t xml:space="preserve">To accelerate the implementation of the </w:t>
      </w:r>
      <w:proofErr w:type="spellStart"/>
      <w:r w:rsidR="000748EA">
        <w:rPr>
          <w:rFonts w:ascii="Arial" w:hAnsi="Arial" w:cs="Arial"/>
        </w:rPr>
        <w:t>eTB</w:t>
      </w:r>
      <w:proofErr w:type="spellEnd"/>
      <w:r w:rsidR="000748EA">
        <w:rPr>
          <w:rFonts w:ascii="Arial" w:hAnsi="Arial" w:cs="Arial"/>
        </w:rPr>
        <w:t xml:space="preserve"> register through which tracking of ‘lost to follow up’ patients</w:t>
      </w:r>
      <w:r w:rsidR="00727024">
        <w:rPr>
          <w:rFonts w:ascii="Arial" w:hAnsi="Arial" w:cs="Arial"/>
        </w:rPr>
        <w:t>,</w:t>
      </w:r>
      <w:r w:rsidR="000748EA">
        <w:rPr>
          <w:rFonts w:ascii="Arial" w:hAnsi="Arial" w:cs="Arial"/>
        </w:rPr>
        <w:t xml:space="preserve"> </w:t>
      </w:r>
      <w:r w:rsidR="00727024">
        <w:rPr>
          <w:rFonts w:ascii="Arial" w:hAnsi="Arial" w:cs="Arial"/>
        </w:rPr>
        <w:t xml:space="preserve">from </w:t>
      </w:r>
      <w:r w:rsidR="00057691">
        <w:rPr>
          <w:rFonts w:ascii="Arial" w:hAnsi="Arial" w:cs="Arial"/>
        </w:rPr>
        <w:t>both in public and private health sectors</w:t>
      </w:r>
      <w:r w:rsidR="00663087">
        <w:rPr>
          <w:rFonts w:ascii="Arial" w:hAnsi="Arial" w:cs="Arial"/>
        </w:rPr>
        <w:t xml:space="preserve">; </w:t>
      </w:r>
      <w:r w:rsidR="00663087" w:rsidRPr="00DD53EA">
        <w:rPr>
          <w:rFonts w:ascii="Arial" w:hAnsi="Arial" w:cs="Arial"/>
          <w:b/>
        </w:rPr>
        <w:t xml:space="preserve">(ii) </w:t>
      </w:r>
      <w:r w:rsidR="00E26A18" w:rsidRPr="00E26A18">
        <w:rPr>
          <w:rFonts w:ascii="Arial" w:hAnsi="Arial" w:cs="Arial"/>
        </w:rPr>
        <w:t>sensitize</w:t>
      </w:r>
      <w:r w:rsidR="00E26A18">
        <w:rPr>
          <w:rFonts w:ascii="Arial" w:hAnsi="Arial" w:cs="Arial"/>
          <w:b/>
        </w:rPr>
        <w:t xml:space="preserve"> </w:t>
      </w:r>
      <w:r w:rsidR="00663087">
        <w:rPr>
          <w:rFonts w:ascii="Arial" w:hAnsi="Arial" w:cs="Arial"/>
        </w:rPr>
        <w:t>h</w:t>
      </w:r>
      <w:r w:rsidR="00CE6B42">
        <w:rPr>
          <w:rFonts w:ascii="Arial" w:hAnsi="Arial" w:cs="Arial"/>
        </w:rPr>
        <w:t xml:space="preserve">ealth </w:t>
      </w:r>
      <w:r w:rsidR="00057691">
        <w:rPr>
          <w:rFonts w:ascii="Arial" w:hAnsi="Arial" w:cs="Arial"/>
        </w:rPr>
        <w:t xml:space="preserve">staff and community volunteers </w:t>
      </w:r>
      <w:r w:rsidR="00E26A18">
        <w:rPr>
          <w:rFonts w:ascii="Arial" w:hAnsi="Arial" w:cs="Arial"/>
        </w:rPr>
        <w:t>to</w:t>
      </w:r>
      <w:r w:rsidR="00057691">
        <w:rPr>
          <w:rFonts w:ascii="Arial" w:hAnsi="Arial" w:cs="Arial"/>
        </w:rPr>
        <w:t xml:space="preserve"> track ‘lost to follow up’ cases</w:t>
      </w:r>
      <w:r w:rsidR="00CE6B42">
        <w:rPr>
          <w:rFonts w:ascii="Arial" w:hAnsi="Arial" w:cs="Arial"/>
        </w:rPr>
        <w:t xml:space="preserve"> who are initially diagnosed or in the treatment phase</w:t>
      </w:r>
      <w:r w:rsidR="00E26A18">
        <w:rPr>
          <w:rFonts w:ascii="Arial" w:hAnsi="Arial" w:cs="Arial"/>
        </w:rPr>
        <w:t>.</w:t>
      </w:r>
    </w:p>
    <w:p w14:paraId="3CB0675A" w14:textId="77777777" w:rsidR="005E44C6" w:rsidRDefault="005E44C6" w:rsidP="00DE747A">
      <w:pPr>
        <w:spacing w:after="0" w:line="240" w:lineRule="auto"/>
        <w:jc w:val="both"/>
        <w:rPr>
          <w:rFonts w:ascii="Arial" w:hAnsi="Arial" w:cs="Arial"/>
        </w:rPr>
      </w:pPr>
    </w:p>
    <w:p w14:paraId="245160AC" w14:textId="019C2AA0" w:rsidR="00B81904" w:rsidRDefault="00003A29" w:rsidP="0027495C">
      <w:pPr>
        <w:spacing w:after="0" w:line="240" w:lineRule="auto"/>
        <w:jc w:val="both"/>
        <w:rPr>
          <w:rFonts w:ascii="Arial" w:hAnsi="Arial" w:cs="Arial"/>
        </w:rPr>
      </w:pPr>
      <w:r w:rsidRPr="00003A29">
        <w:rPr>
          <w:rFonts w:ascii="Arial" w:hAnsi="Arial" w:cs="Arial"/>
          <w:b/>
          <w:u w:val="single"/>
        </w:rPr>
        <w:t>4</w:t>
      </w:r>
      <w:r w:rsidR="000B1D9C" w:rsidRPr="00003A29">
        <w:rPr>
          <w:rFonts w:ascii="Arial" w:hAnsi="Arial" w:cs="Arial"/>
          <w:b/>
          <w:u w:val="single"/>
        </w:rPr>
        <w:t>. MDR-TB</w:t>
      </w:r>
      <w:r w:rsidR="000B1D9C" w:rsidRPr="00C67C93">
        <w:rPr>
          <w:rFonts w:ascii="Arial" w:hAnsi="Arial" w:cs="Arial"/>
          <w:u w:val="single"/>
        </w:rPr>
        <w:t>:</w:t>
      </w:r>
      <w:r w:rsidR="00DA72DF" w:rsidRPr="00D57C02">
        <w:rPr>
          <w:rFonts w:ascii="Arial" w:hAnsi="Arial" w:cs="Arial"/>
        </w:rPr>
        <w:t xml:space="preserve"> </w:t>
      </w:r>
      <w:r w:rsidR="00B45D26" w:rsidRPr="00590365">
        <w:rPr>
          <w:rFonts w:ascii="Arial" w:hAnsi="Arial" w:cs="Arial"/>
          <w:b/>
        </w:rPr>
        <w:t>Lessons learned</w:t>
      </w:r>
      <w:r w:rsidR="00B45D26" w:rsidRPr="00D57C02">
        <w:rPr>
          <w:rFonts w:ascii="Arial" w:hAnsi="Arial" w:cs="Arial"/>
        </w:rPr>
        <w:t>:</w:t>
      </w:r>
      <w:r w:rsidR="00A921D9" w:rsidRPr="00D57C02">
        <w:rPr>
          <w:rFonts w:ascii="Arial" w:hAnsi="Arial" w:cs="Arial"/>
        </w:rPr>
        <w:t xml:space="preserve"> </w:t>
      </w:r>
      <w:r w:rsidR="00593443" w:rsidRPr="00DD53EA">
        <w:rPr>
          <w:rFonts w:ascii="Arial" w:hAnsi="Arial" w:cs="Arial"/>
          <w:b/>
        </w:rPr>
        <w:t>(</w:t>
      </w:r>
      <w:proofErr w:type="spellStart"/>
      <w:r w:rsidR="00593443" w:rsidRPr="00DD53EA">
        <w:rPr>
          <w:rFonts w:ascii="Arial" w:hAnsi="Arial" w:cs="Arial"/>
          <w:b/>
        </w:rPr>
        <w:t>i</w:t>
      </w:r>
      <w:proofErr w:type="spellEnd"/>
      <w:r w:rsidR="00593443" w:rsidRPr="00DD53EA">
        <w:rPr>
          <w:rFonts w:ascii="Arial" w:hAnsi="Arial" w:cs="Arial"/>
          <w:b/>
        </w:rPr>
        <w:t>)</w:t>
      </w:r>
      <w:r w:rsidR="00593443">
        <w:rPr>
          <w:rFonts w:ascii="Arial" w:hAnsi="Arial" w:cs="Arial"/>
        </w:rPr>
        <w:t xml:space="preserve"> </w:t>
      </w:r>
      <w:r w:rsidR="00B81904">
        <w:rPr>
          <w:rFonts w:ascii="Arial" w:hAnsi="Arial" w:cs="Arial"/>
        </w:rPr>
        <w:t>All presumptive DR TB cases needs to be diagnosed through rapid DST (GX), hence expansion of GX network and sputum transportation system must be in place</w:t>
      </w:r>
      <w:r w:rsidR="00DD53EA">
        <w:rPr>
          <w:rFonts w:ascii="Arial" w:hAnsi="Arial" w:cs="Arial"/>
        </w:rPr>
        <w:t>;</w:t>
      </w:r>
      <w:r w:rsidR="00B81904">
        <w:rPr>
          <w:rFonts w:ascii="Arial" w:hAnsi="Arial" w:cs="Arial"/>
        </w:rPr>
        <w:t xml:space="preserve"> </w:t>
      </w:r>
      <w:r w:rsidR="00593443" w:rsidRPr="00EB0659">
        <w:rPr>
          <w:rFonts w:ascii="Arial" w:hAnsi="Arial" w:cs="Arial"/>
          <w:b/>
        </w:rPr>
        <w:t>(ii)</w:t>
      </w:r>
      <w:r w:rsidR="00593443">
        <w:rPr>
          <w:rFonts w:ascii="Arial" w:hAnsi="Arial" w:cs="Arial"/>
        </w:rPr>
        <w:t xml:space="preserve"> </w:t>
      </w:r>
      <w:r w:rsidR="00EB0659">
        <w:rPr>
          <w:rFonts w:ascii="Arial" w:hAnsi="Arial" w:cs="Arial"/>
        </w:rPr>
        <w:t>f</w:t>
      </w:r>
      <w:r w:rsidR="00593443">
        <w:rPr>
          <w:rFonts w:ascii="Arial" w:hAnsi="Arial" w:cs="Arial"/>
        </w:rPr>
        <w:t xml:space="preserve">or all rifampicin resistant (RR) cases, culture and DST (LPA) for FLD and SLD needs to be done. </w:t>
      </w:r>
      <w:r w:rsidR="00593443" w:rsidRPr="00EB0659">
        <w:rPr>
          <w:rFonts w:ascii="Arial" w:hAnsi="Arial" w:cs="Arial"/>
          <w:b/>
        </w:rPr>
        <w:t>(iii)</w:t>
      </w:r>
      <w:r w:rsidR="00593443">
        <w:rPr>
          <w:rFonts w:ascii="Arial" w:hAnsi="Arial" w:cs="Arial"/>
        </w:rPr>
        <w:t xml:space="preserve"> </w:t>
      </w:r>
      <w:r w:rsidR="00727024">
        <w:rPr>
          <w:rFonts w:ascii="Arial" w:hAnsi="Arial" w:cs="Arial"/>
        </w:rPr>
        <w:t>Short treatment regimen (</w:t>
      </w:r>
      <w:r w:rsidR="00593443">
        <w:rPr>
          <w:rFonts w:ascii="Arial" w:hAnsi="Arial" w:cs="Arial"/>
        </w:rPr>
        <w:t>STR</w:t>
      </w:r>
      <w:r w:rsidR="00727024">
        <w:rPr>
          <w:rFonts w:ascii="Arial" w:hAnsi="Arial" w:cs="Arial"/>
        </w:rPr>
        <w:t>)</w:t>
      </w:r>
      <w:r w:rsidR="00593443">
        <w:rPr>
          <w:rFonts w:ascii="Arial" w:hAnsi="Arial" w:cs="Arial"/>
        </w:rPr>
        <w:t xml:space="preserve"> and new drugs </w:t>
      </w:r>
      <w:r w:rsidR="00EB0659">
        <w:rPr>
          <w:rFonts w:ascii="Arial" w:hAnsi="Arial" w:cs="Arial"/>
        </w:rPr>
        <w:t>must</w:t>
      </w:r>
      <w:r w:rsidR="00593443">
        <w:rPr>
          <w:rFonts w:ascii="Arial" w:hAnsi="Arial" w:cs="Arial"/>
        </w:rPr>
        <w:t xml:space="preserve"> be available to increase treatment success rate</w:t>
      </w:r>
      <w:r w:rsidR="00727024">
        <w:rPr>
          <w:rFonts w:ascii="Arial" w:hAnsi="Arial" w:cs="Arial"/>
        </w:rPr>
        <w:t xml:space="preserve"> from 67% to at least 75%. </w:t>
      </w:r>
      <w:r w:rsidR="00593443">
        <w:rPr>
          <w:rFonts w:ascii="Arial" w:hAnsi="Arial" w:cs="Arial"/>
        </w:rPr>
        <w:t xml:space="preserve">  </w:t>
      </w:r>
    </w:p>
    <w:p w14:paraId="078D6EF2" w14:textId="77777777" w:rsidR="000B1D9C" w:rsidRPr="00D57C02" w:rsidRDefault="000B1D9C" w:rsidP="000B1D9C">
      <w:pPr>
        <w:spacing w:after="0" w:line="240" w:lineRule="auto"/>
        <w:rPr>
          <w:rFonts w:ascii="Arial" w:hAnsi="Arial" w:cs="Arial"/>
        </w:rPr>
      </w:pPr>
    </w:p>
    <w:p w14:paraId="4996C009" w14:textId="06C344F9" w:rsidR="00F6322C" w:rsidRDefault="00003A29" w:rsidP="005F6A32">
      <w:pPr>
        <w:spacing w:after="0" w:line="240" w:lineRule="auto"/>
        <w:jc w:val="both"/>
        <w:rPr>
          <w:rFonts w:ascii="Arial" w:hAnsi="Arial" w:cs="Arial"/>
        </w:rPr>
      </w:pPr>
      <w:r w:rsidRPr="00003A29">
        <w:rPr>
          <w:rFonts w:ascii="Arial" w:hAnsi="Arial" w:cs="Arial"/>
          <w:b/>
          <w:u w:val="single"/>
        </w:rPr>
        <w:t>5</w:t>
      </w:r>
      <w:r w:rsidR="000B1D9C" w:rsidRPr="00003A29">
        <w:rPr>
          <w:rFonts w:ascii="Arial" w:hAnsi="Arial" w:cs="Arial"/>
          <w:b/>
          <w:u w:val="single"/>
        </w:rPr>
        <w:t>.</w:t>
      </w:r>
      <w:r w:rsidR="0014490C" w:rsidRPr="00003A29">
        <w:rPr>
          <w:rFonts w:ascii="Arial" w:hAnsi="Arial" w:cs="Arial"/>
          <w:b/>
          <w:u w:val="single"/>
        </w:rPr>
        <w:t xml:space="preserve"> </w:t>
      </w:r>
      <w:r w:rsidR="000B1D9C" w:rsidRPr="00003A29">
        <w:rPr>
          <w:rFonts w:ascii="Arial" w:hAnsi="Arial" w:cs="Arial"/>
          <w:b/>
          <w:u w:val="single"/>
        </w:rPr>
        <w:t>TB/HIV</w:t>
      </w:r>
      <w:r w:rsidR="000B1D9C" w:rsidRPr="00D57C02">
        <w:rPr>
          <w:rFonts w:ascii="Arial" w:hAnsi="Arial" w:cs="Arial"/>
          <w:u w:val="single"/>
        </w:rPr>
        <w:t>:</w:t>
      </w:r>
      <w:r w:rsidR="00284820" w:rsidRPr="00D57C02">
        <w:rPr>
          <w:rFonts w:ascii="Arial" w:hAnsi="Arial" w:cs="Arial"/>
        </w:rPr>
        <w:t xml:space="preserve"> </w:t>
      </w:r>
      <w:r w:rsidR="00B45D26" w:rsidRPr="00F015FB">
        <w:rPr>
          <w:rFonts w:ascii="Arial" w:hAnsi="Arial" w:cs="Arial"/>
          <w:b/>
        </w:rPr>
        <w:t>Lessons learned</w:t>
      </w:r>
      <w:r w:rsidR="00FE3780">
        <w:rPr>
          <w:rFonts w:ascii="Arial" w:hAnsi="Arial" w:cs="Arial"/>
          <w:b/>
        </w:rPr>
        <w:t>:</w:t>
      </w:r>
      <w:r w:rsidR="00AE7733">
        <w:rPr>
          <w:rFonts w:ascii="Arial" w:hAnsi="Arial" w:cs="Arial"/>
          <w:b/>
        </w:rPr>
        <w:t xml:space="preserve"> </w:t>
      </w:r>
      <w:r w:rsidR="00593443" w:rsidRPr="006222D6">
        <w:rPr>
          <w:rFonts w:ascii="Arial" w:hAnsi="Arial" w:cs="Arial"/>
          <w:b/>
        </w:rPr>
        <w:t>(</w:t>
      </w:r>
      <w:proofErr w:type="spellStart"/>
      <w:r w:rsidR="00593443" w:rsidRPr="006222D6">
        <w:rPr>
          <w:rFonts w:ascii="Arial" w:hAnsi="Arial" w:cs="Arial"/>
          <w:b/>
        </w:rPr>
        <w:t>i</w:t>
      </w:r>
      <w:proofErr w:type="spellEnd"/>
      <w:r w:rsidR="00593443" w:rsidRPr="006222D6">
        <w:rPr>
          <w:rFonts w:ascii="Arial" w:hAnsi="Arial" w:cs="Arial"/>
          <w:b/>
        </w:rPr>
        <w:t>)</w:t>
      </w:r>
      <w:r w:rsidR="00593443">
        <w:rPr>
          <w:rFonts w:ascii="Arial" w:hAnsi="Arial" w:cs="Arial"/>
        </w:rPr>
        <w:t xml:space="preserve"> Reinforce coordination between NTP and the National HIV</w:t>
      </w:r>
      <w:r w:rsidR="00F6322C" w:rsidRPr="00D57C02">
        <w:rPr>
          <w:rFonts w:ascii="Arial" w:hAnsi="Arial" w:cs="Arial"/>
        </w:rPr>
        <w:t xml:space="preserve"> </w:t>
      </w:r>
      <w:r w:rsidR="00593443">
        <w:rPr>
          <w:rFonts w:ascii="Arial" w:hAnsi="Arial" w:cs="Arial"/>
        </w:rPr>
        <w:t>Programme at all levels</w:t>
      </w:r>
      <w:r w:rsidR="001312BD">
        <w:rPr>
          <w:rFonts w:ascii="Arial" w:hAnsi="Arial" w:cs="Arial"/>
        </w:rPr>
        <w:t xml:space="preserve"> and ART is available for all PLHIV and co-infected cases</w:t>
      </w:r>
      <w:r w:rsidR="00593443">
        <w:rPr>
          <w:rFonts w:ascii="Arial" w:hAnsi="Arial" w:cs="Arial"/>
        </w:rPr>
        <w:t xml:space="preserve">; </w:t>
      </w:r>
      <w:r w:rsidR="00593443" w:rsidRPr="006222D6">
        <w:rPr>
          <w:rFonts w:ascii="Arial" w:hAnsi="Arial" w:cs="Arial"/>
          <w:b/>
        </w:rPr>
        <w:t>(ii)</w:t>
      </w:r>
      <w:r w:rsidR="00593443">
        <w:rPr>
          <w:rFonts w:ascii="Arial" w:hAnsi="Arial" w:cs="Arial"/>
        </w:rPr>
        <w:t xml:space="preserve"> </w:t>
      </w:r>
      <w:r w:rsidR="00F015FB" w:rsidRPr="00593443">
        <w:rPr>
          <w:rFonts w:ascii="Arial" w:hAnsi="Arial" w:cs="Arial"/>
        </w:rPr>
        <w:t xml:space="preserve">High-level advocacy required to mobilize </w:t>
      </w:r>
      <w:r w:rsidR="001312BD">
        <w:rPr>
          <w:rFonts w:ascii="Arial" w:hAnsi="Arial" w:cs="Arial"/>
        </w:rPr>
        <w:t>government</w:t>
      </w:r>
      <w:r w:rsidR="00F015FB" w:rsidRPr="00593443">
        <w:rPr>
          <w:rFonts w:ascii="Arial" w:hAnsi="Arial" w:cs="Arial"/>
        </w:rPr>
        <w:t xml:space="preserve"> resources for TB/HIV</w:t>
      </w:r>
      <w:r w:rsidR="00593443">
        <w:rPr>
          <w:rFonts w:ascii="Arial" w:hAnsi="Arial" w:cs="Arial"/>
        </w:rPr>
        <w:t xml:space="preserve"> </w:t>
      </w:r>
      <w:r w:rsidR="00FE3780">
        <w:rPr>
          <w:rFonts w:ascii="Arial" w:hAnsi="Arial" w:cs="Arial"/>
        </w:rPr>
        <w:t xml:space="preserve">as </w:t>
      </w:r>
      <w:r w:rsidR="00593443">
        <w:rPr>
          <w:rFonts w:ascii="Arial" w:hAnsi="Arial" w:cs="Arial"/>
        </w:rPr>
        <w:t>domestic funding is not allocated</w:t>
      </w:r>
      <w:r w:rsidR="00394585" w:rsidRPr="00C67C93">
        <w:rPr>
          <w:rFonts w:ascii="Arial" w:hAnsi="Arial" w:cs="Arial"/>
        </w:rPr>
        <w:t>.</w:t>
      </w:r>
      <w:r w:rsidR="00394585" w:rsidRPr="00D57C02">
        <w:rPr>
          <w:rFonts w:ascii="Arial" w:hAnsi="Arial" w:cs="Arial"/>
        </w:rPr>
        <w:t xml:space="preserve"> </w:t>
      </w:r>
    </w:p>
    <w:p w14:paraId="03AF8DE3" w14:textId="6531FAA3" w:rsidR="005F6A32" w:rsidRDefault="005F6A32" w:rsidP="005F6A32">
      <w:pPr>
        <w:spacing w:after="0" w:line="240" w:lineRule="auto"/>
        <w:jc w:val="both"/>
        <w:rPr>
          <w:rFonts w:ascii="Arial" w:hAnsi="Arial" w:cs="Arial"/>
        </w:rPr>
      </w:pPr>
    </w:p>
    <w:p w14:paraId="49693095" w14:textId="6735687C" w:rsidR="000F5510" w:rsidRDefault="000F5510" w:rsidP="005F6A32">
      <w:pPr>
        <w:spacing w:after="0" w:line="240" w:lineRule="auto"/>
        <w:jc w:val="both"/>
        <w:rPr>
          <w:rFonts w:ascii="Arial" w:hAnsi="Arial" w:cs="Arial"/>
          <w:b/>
        </w:rPr>
      </w:pPr>
      <w:r w:rsidRPr="000F5510">
        <w:rPr>
          <w:rFonts w:ascii="Arial" w:hAnsi="Arial" w:cs="Arial"/>
          <w:b/>
        </w:rPr>
        <w:t>b) HSS investments embedded in the funding request</w:t>
      </w:r>
    </w:p>
    <w:p w14:paraId="06F639E3" w14:textId="77777777" w:rsidR="000F5510" w:rsidRPr="000F5510" w:rsidRDefault="000F5510" w:rsidP="005F6A32">
      <w:pPr>
        <w:spacing w:after="0" w:line="240" w:lineRule="auto"/>
        <w:jc w:val="both"/>
        <w:rPr>
          <w:rFonts w:ascii="Arial" w:hAnsi="Arial" w:cs="Arial"/>
          <w:b/>
        </w:rPr>
      </w:pPr>
    </w:p>
    <w:p w14:paraId="02A9BDC3" w14:textId="2E33AD13" w:rsidR="00F015FB" w:rsidRPr="00A267FE" w:rsidRDefault="00ED36D0" w:rsidP="004A3AB6">
      <w:pPr>
        <w:spacing w:after="0" w:line="240" w:lineRule="auto"/>
        <w:jc w:val="both"/>
        <w:rPr>
          <w:rFonts w:ascii="Arial" w:hAnsi="Arial" w:cs="Arial"/>
        </w:rPr>
      </w:pPr>
      <w:r w:rsidRPr="00782A4E">
        <w:rPr>
          <w:rFonts w:ascii="Arial" w:hAnsi="Arial" w:cs="Arial"/>
          <w:b/>
          <w:u w:val="single"/>
        </w:rPr>
        <w:t>Human resources</w:t>
      </w:r>
      <w:r w:rsidR="00B83498" w:rsidRPr="00A267FE">
        <w:rPr>
          <w:rFonts w:ascii="Arial" w:hAnsi="Arial" w:cs="Arial"/>
          <w:u w:val="single"/>
        </w:rPr>
        <w:t>:</w:t>
      </w:r>
      <w:r w:rsidR="00B83498" w:rsidRPr="00A267FE">
        <w:rPr>
          <w:rFonts w:ascii="Arial" w:hAnsi="Arial" w:cs="Arial"/>
        </w:rPr>
        <w:t xml:space="preserve"> </w:t>
      </w:r>
      <w:r w:rsidR="00E27DAA" w:rsidRPr="00A267FE">
        <w:rPr>
          <w:rFonts w:ascii="Arial" w:hAnsi="Arial" w:cs="Arial"/>
        </w:rPr>
        <w:t xml:space="preserve">Currently, </w:t>
      </w:r>
      <w:r w:rsidR="00AE006B">
        <w:rPr>
          <w:rFonts w:ascii="Arial" w:hAnsi="Arial" w:cs="Arial"/>
        </w:rPr>
        <w:t xml:space="preserve">the Project Management Unit (PMU) based at the </w:t>
      </w:r>
      <w:r w:rsidR="00AE006B" w:rsidRPr="00A267FE">
        <w:rPr>
          <w:rFonts w:ascii="Arial" w:hAnsi="Arial" w:cs="Arial"/>
        </w:rPr>
        <w:t>National TB Centre (NTC)</w:t>
      </w:r>
      <w:r w:rsidR="00AE006B">
        <w:rPr>
          <w:rFonts w:ascii="Arial" w:hAnsi="Arial" w:cs="Arial"/>
        </w:rPr>
        <w:t xml:space="preserve"> supported by global fund grant is providing the technical and operational assistance to </w:t>
      </w:r>
      <w:r w:rsidR="00130ECD" w:rsidRPr="00A267FE">
        <w:rPr>
          <w:rFonts w:ascii="Arial" w:hAnsi="Arial" w:cs="Arial"/>
        </w:rPr>
        <w:t>the</w:t>
      </w:r>
      <w:r w:rsidR="00AE006B">
        <w:rPr>
          <w:rFonts w:ascii="Arial" w:hAnsi="Arial" w:cs="Arial"/>
        </w:rPr>
        <w:t xml:space="preserve"> </w:t>
      </w:r>
      <w:r w:rsidR="00782A4E">
        <w:rPr>
          <w:rFonts w:ascii="Arial" w:hAnsi="Arial" w:cs="Arial"/>
        </w:rPr>
        <w:t>NTP</w:t>
      </w:r>
      <w:r w:rsidR="00E27DAA" w:rsidRPr="00A267FE">
        <w:rPr>
          <w:rFonts w:ascii="Arial" w:hAnsi="Arial" w:cs="Arial"/>
        </w:rPr>
        <w:t xml:space="preserve">. </w:t>
      </w:r>
      <w:r w:rsidR="00A267FE">
        <w:rPr>
          <w:rFonts w:ascii="Arial" w:hAnsi="Arial" w:cs="Arial"/>
        </w:rPr>
        <w:t xml:space="preserve">However, </w:t>
      </w:r>
      <w:r w:rsidR="006222D6">
        <w:rPr>
          <w:rFonts w:ascii="Arial" w:hAnsi="Arial" w:cs="Arial"/>
        </w:rPr>
        <w:t>this is not ad</w:t>
      </w:r>
      <w:r w:rsidR="008069E2">
        <w:rPr>
          <w:rFonts w:ascii="Arial" w:hAnsi="Arial" w:cs="Arial"/>
        </w:rPr>
        <w:t>e</w:t>
      </w:r>
      <w:r w:rsidR="006222D6">
        <w:rPr>
          <w:rFonts w:ascii="Arial" w:hAnsi="Arial" w:cs="Arial"/>
        </w:rPr>
        <w:t>quate</w:t>
      </w:r>
      <w:r w:rsidR="00A267FE" w:rsidRPr="00A267FE">
        <w:rPr>
          <w:rFonts w:ascii="Arial" w:hAnsi="Arial" w:cs="Arial"/>
        </w:rPr>
        <w:t xml:space="preserve"> to improve clinical and administrative management processes at central and sub-national levels under the new federal structure</w:t>
      </w:r>
      <w:r w:rsidR="00A267FE">
        <w:rPr>
          <w:rFonts w:ascii="Arial" w:hAnsi="Arial" w:cs="Arial"/>
        </w:rPr>
        <w:t xml:space="preserve"> </w:t>
      </w:r>
      <w:r w:rsidR="00A267FE" w:rsidRPr="00541143">
        <w:rPr>
          <w:rFonts w:ascii="Arial" w:hAnsi="Arial" w:cs="Arial"/>
        </w:rPr>
        <w:t>(</w:t>
      </w:r>
      <w:r w:rsidR="00A267FE" w:rsidRPr="00C67C93">
        <w:rPr>
          <w:rFonts w:ascii="Arial" w:hAnsi="Arial" w:cs="Arial"/>
          <w:i/>
        </w:rPr>
        <w:t>Annex-7, p65</w:t>
      </w:r>
      <w:r w:rsidR="00A267FE" w:rsidRPr="00C67C93">
        <w:rPr>
          <w:rFonts w:ascii="Arial" w:hAnsi="Arial" w:cs="Arial"/>
        </w:rPr>
        <w:t>)</w:t>
      </w:r>
      <w:r w:rsidR="00A267FE">
        <w:rPr>
          <w:rFonts w:ascii="Arial" w:hAnsi="Arial" w:cs="Arial"/>
        </w:rPr>
        <w:t xml:space="preserve">. </w:t>
      </w:r>
      <w:r w:rsidR="00F94F06">
        <w:rPr>
          <w:rFonts w:ascii="Arial" w:hAnsi="Arial" w:cs="Arial"/>
        </w:rPr>
        <w:t>O</w:t>
      </w:r>
      <w:r w:rsidR="00541143" w:rsidRPr="00A267FE">
        <w:rPr>
          <w:rFonts w:ascii="Arial" w:hAnsi="Arial" w:cs="Arial"/>
        </w:rPr>
        <w:t>nly 17</w:t>
      </w:r>
      <w:r w:rsidR="0029750B" w:rsidRPr="00A267FE">
        <w:rPr>
          <w:rFonts w:ascii="Arial" w:hAnsi="Arial" w:cs="Arial"/>
        </w:rPr>
        <w:t>%</w:t>
      </w:r>
      <w:r w:rsidR="00541143" w:rsidRPr="00A267FE">
        <w:rPr>
          <w:rFonts w:ascii="Arial" w:hAnsi="Arial" w:cs="Arial"/>
        </w:rPr>
        <w:t xml:space="preserve"> of facilities offer</w:t>
      </w:r>
      <w:r w:rsidR="00F94F06">
        <w:rPr>
          <w:rFonts w:ascii="Arial" w:hAnsi="Arial" w:cs="Arial"/>
        </w:rPr>
        <w:t>ing</w:t>
      </w:r>
      <w:r w:rsidR="00541143" w:rsidRPr="00A267FE">
        <w:rPr>
          <w:rFonts w:ascii="Arial" w:hAnsi="Arial" w:cs="Arial"/>
        </w:rPr>
        <w:t xml:space="preserve"> TB diagnosis and/or treatment services had staff with any recent in-service </w:t>
      </w:r>
      <w:r w:rsidR="00F94F06">
        <w:rPr>
          <w:rFonts w:ascii="Arial" w:hAnsi="Arial" w:cs="Arial"/>
        </w:rPr>
        <w:t xml:space="preserve">TB </w:t>
      </w:r>
      <w:r w:rsidR="00541143" w:rsidRPr="00A267FE">
        <w:rPr>
          <w:rFonts w:ascii="Arial" w:hAnsi="Arial" w:cs="Arial"/>
        </w:rPr>
        <w:t>training (</w:t>
      </w:r>
      <w:r w:rsidR="00541143" w:rsidRPr="00A267FE">
        <w:rPr>
          <w:rFonts w:ascii="Arial" w:hAnsi="Arial" w:cs="Arial"/>
          <w:i/>
        </w:rPr>
        <w:t>Annex</w:t>
      </w:r>
      <w:r w:rsidR="00815CA9" w:rsidRPr="00A267FE">
        <w:rPr>
          <w:rFonts w:ascii="Arial" w:hAnsi="Arial" w:cs="Arial"/>
          <w:i/>
        </w:rPr>
        <w:t>-12</w:t>
      </w:r>
      <w:r w:rsidR="00541143" w:rsidRPr="00A267FE">
        <w:rPr>
          <w:rFonts w:ascii="Arial" w:hAnsi="Arial" w:cs="Arial"/>
          <w:i/>
        </w:rPr>
        <w:t>,</w:t>
      </w:r>
      <w:r w:rsidR="008755B8" w:rsidRPr="00A267FE">
        <w:rPr>
          <w:rFonts w:ascii="Arial" w:hAnsi="Arial" w:cs="Arial"/>
          <w:i/>
        </w:rPr>
        <w:t xml:space="preserve"> p</w:t>
      </w:r>
      <w:r w:rsidR="00541143" w:rsidRPr="00A267FE">
        <w:rPr>
          <w:rFonts w:ascii="Arial" w:hAnsi="Arial" w:cs="Arial"/>
          <w:i/>
        </w:rPr>
        <w:t>195-201</w:t>
      </w:r>
      <w:r w:rsidR="00541143" w:rsidRPr="00A267FE">
        <w:rPr>
          <w:rFonts w:ascii="Arial" w:hAnsi="Arial" w:cs="Arial"/>
        </w:rPr>
        <w:t>).</w:t>
      </w:r>
      <w:r w:rsidR="00823296" w:rsidRPr="00A267FE">
        <w:rPr>
          <w:rFonts w:ascii="Arial" w:hAnsi="Arial" w:cs="Arial"/>
        </w:rPr>
        <w:t xml:space="preserve"> </w:t>
      </w:r>
    </w:p>
    <w:p w14:paraId="7C4F0CBD" w14:textId="1DECCADF" w:rsidR="00A267FE" w:rsidRDefault="00F015FB" w:rsidP="00A267FE">
      <w:pPr>
        <w:spacing w:after="0" w:line="240" w:lineRule="auto"/>
        <w:jc w:val="both"/>
        <w:rPr>
          <w:rFonts w:ascii="Arial" w:hAnsi="Arial" w:cs="Arial"/>
          <w:bCs/>
          <w:lang w:val="en-US"/>
        </w:rPr>
      </w:pPr>
      <w:r w:rsidRPr="00F015FB">
        <w:rPr>
          <w:rFonts w:ascii="Arial" w:hAnsi="Arial" w:cs="Arial"/>
          <w:b/>
        </w:rPr>
        <w:t>Lessons learned</w:t>
      </w:r>
      <w:r w:rsidRPr="00F015FB">
        <w:rPr>
          <w:rFonts w:ascii="Arial" w:hAnsi="Arial" w:cs="Arial"/>
        </w:rPr>
        <w:t>:</w:t>
      </w:r>
      <w:r w:rsidRPr="00F015FB">
        <w:t xml:space="preserve"> </w:t>
      </w:r>
      <w:r w:rsidR="006222D6" w:rsidRPr="006222D6">
        <w:rPr>
          <w:b/>
        </w:rPr>
        <w:t>(</w:t>
      </w:r>
      <w:proofErr w:type="spellStart"/>
      <w:r w:rsidR="006222D6" w:rsidRPr="00920DD6">
        <w:rPr>
          <w:rFonts w:ascii="Arial" w:hAnsi="Arial" w:cs="Arial"/>
          <w:b/>
        </w:rPr>
        <w:t>i</w:t>
      </w:r>
      <w:proofErr w:type="spellEnd"/>
      <w:r w:rsidR="006222D6" w:rsidRPr="006222D6">
        <w:rPr>
          <w:b/>
        </w:rPr>
        <w:t>)</w:t>
      </w:r>
      <w:r w:rsidR="006222D6">
        <w:t xml:space="preserve"> </w:t>
      </w:r>
      <w:r w:rsidR="00A267FE" w:rsidRPr="001862D3">
        <w:rPr>
          <w:rFonts w:ascii="Arial" w:hAnsi="Arial" w:cs="Arial"/>
        </w:rPr>
        <w:t xml:space="preserve">Additional reinforcement </w:t>
      </w:r>
      <w:r w:rsidR="001862D3" w:rsidRPr="001862D3">
        <w:rPr>
          <w:rFonts w:ascii="Arial" w:hAnsi="Arial" w:cs="Arial"/>
        </w:rPr>
        <w:t xml:space="preserve">of technical staff </w:t>
      </w:r>
      <w:r w:rsidR="006222D6">
        <w:rPr>
          <w:rFonts w:ascii="Arial" w:hAnsi="Arial" w:cs="Arial"/>
        </w:rPr>
        <w:t xml:space="preserve">is </w:t>
      </w:r>
      <w:r w:rsidR="00A267FE" w:rsidRPr="001862D3">
        <w:rPr>
          <w:rFonts w:ascii="Arial" w:hAnsi="Arial" w:cs="Arial"/>
        </w:rPr>
        <w:t xml:space="preserve">required </w:t>
      </w:r>
      <w:r w:rsidR="00A267FE" w:rsidRPr="001862D3">
        <w:rPr>
          <w:rFonts w:ascii="Arial" w:hAnsi="Arial" w:cs="Arial"/>
          <w:bCs/>
          <w:lang w:val="en-US"/>
        </w:rPr>
        <w:t>t</w:t>
      </w:r>
      <w:r w:rsidR="00A267FE" w:rsidRPr="00A267FE">
        <w:rPr>
          <w:rFonts w:ascii="Arial" w:hAnsi="Arial" w:cs="Arial"/>
          <w:bCs/>
          <w:lang w:val="en-US"/>
        </w:rPr>
        <w:t xml:space="preserve">o improve </w:t>
      </w:r>
      <w:proofErr w:type="spellStart"/>
      <w:r w:rsidR="00A267FE" w:rsidRPr="00A267FE">
        <w:rPr>
          <w:rFonts w:ascii="Arial" w:hAnsi="Arial" w:cs="Arial"/>
          <w:bCs/>
          <w:lang w:val="en-US"/>
        </w:rPr>
        <w:t>programme</w:t>
      </w:r>
      <w:proofErr w:type="spellEnd"/>
      <w:r w:rsidR="00A267FE" w:rsidRPr="00A267FE">
        <w:rPr>
          <w:rFonts w:ascii="Arial" w:hAnsi="Arial" w:cs="Arial"/>
          <w:bCs/>
          <w:lang w:val="en-US"/>
        </w:rPr>
        <w:t xml:space="preserve"> oversight</w:t>
      </w:r>
      <w:r w:rsidR="004A3AB6">
        <w:rPr>
          <w:rFonts w:ascii="Arial" w:hAnsi="Arial" w:cs="Arial"/>
          <w:bCs/>
          <w:lang w:val="en-US"/>
        </w:rPr>
        <w:t xml:space="preserve">, </w:t>
      </w:r>
      <w:r w:rsidR="004A3AB6" w:rsidRPr="00A267FE">
        <w:rPr>
          <w:rFonts w:ascii="Arial" w:hAnsi="Arial" w:cs="Arial"/>
          <w:bCs/>
          <w:lang w:val="en-US"/>
        </w:rPr>
        <w:t>coordination</w:t>
      </w:r>
      <w:r w:rsidR="00781794">
        <w:rPr>
          <w:rFonts w:ascii="Arial" w:hAnsi="Arial" w:cs="Arial"/>
          <w:bCs/>
          <w:lang w:val="en-US"/>
        </w:rPr>
        <w:t>,</w:t>
      </w:r>
      <w:r w:rsidR="004A3AB6" w:rsidRPr="00A267FE">
        <w:rPr>
          <w:rFonts w:ascii="Arial" w:hAnsi="Arial" w:cs="Arial"/>
          <w:bCs/>
          <w:lang w:val="en-US"/>
        </w:rPr>
        <w:t xml:space="preserve"> management </w:t>
      </w:r>
      <w:r w:rsidR="00A267FE" w:rsidRPr="00A267FE">
        <w:rPr>
          <w:rFonts w:ascii="Arial" w:hAnsi="Arial" w:cs="Arial"/>
          <w:bCs/>
          <w:lang w:val="en-US"/>
        </w:rPr>
        <w:t>and capacity building</w:t>
      </w:r>
      <w:r w:rsidR="001862D3">
        <w:rPr>
          <w:rFonts w:ascii="Arial" w:hAnsi="Arial" w:cs="Arial"/>
          <w:bCs/>
          <w:lang w:val="en-US"/>
        </w:rPr>
        <w:t xml:space="preserve"> as the </w:t>
      </w:r>
      <w:proofErr w:type="spellStart"/>
      <w:r w:rsidR="001862D3">
        <w:rPr>
          <w:rFonts w:ascii="Arial" w:hAnsi="Arial" w:cs="Arial"/>
          <w:bCs/>
          <w:lang w:val="en-US"/>
        </w:rPr>
        <w:t>GoN</w:t>
      </w:r>
      <w:proofErr w:type="spellEnd"/>
      <w:r w:rsidR="001862D3">
        <w:rPr>
          <w:rFonts w:ascii="Arial" w:hAnsi="Arial" w:cs="Arial"/>
          <w:bCs/>
          <w:lang w:val="en-US"/>
        </w:rPr>
        <w:t xml:space="preserve"> will establish provincial TB units under the federal set up</w:t>
      </w:r>
      <w:r w:rsidR="006222D6">
        <w:rPr>
          <w:rFonts w:ascii="Arial" w:hAnsi="Arial" w:cs="Arial"/>
          <w:bCs/>
          <w:lang w:val="en-US"/>
        </w:rPr>
        <w:t xml:space="preserve">; </w:t>
      </w:r>
      <w:r w:rsidR="006222D6" w:rsidRPr="006222D6">
        <w:rPr>
          <w:rFonts w:ascii="Arial" w:hAnsi="Arial" w:cs="Arial"/>
          <w:b/>
          <w:bCs/>
          <w:lang w:val="en-US"/>
        </w:rPr>
        <w:t>(ii)</w:t>
      </w:r>
      <w:r w:rsidR="00383DB0">
        <w:rPr>
          <w:rFonts w:ascii="Arial" w:hAnsi="Arial" w:cs="Arial"/>
          <w:bCs/>
          <w:lang w:val="en-US"/>
        </w:rPr>
        <w:t xml:space="preserve"> </w:t>
      </w:r>
      <w:r w:rsidR="006222D6">
        <w:rPr>
          <w:rFonts w:ascii="Arial" w:hAnsi="Arial" w:cs="Arial"/>
          <w:bCs/>
          <w:lang w:val="en-US"/>
        </w:rPr>
        <w:t>s</w:t>
      </w:r>
      <w:r w:rsidR="00782A4E">
        <w:rPr>
          <w:rFonts w:ascii="Arial" w:hAnsi="Arial" w:cs="Arial"/>
          <w:bCs/>
          <w:lang w:val="en-US"/>
        </w:rPr>
        <w:t>imilarly,</w:t>
      </w:r>
      <w:r w:rsidR="00383DB0">
        <w:rPr>
          <w:rFonts w:ascii="Arial" w:hAnsi="Arial" w:cs="Arial"/>
          <w:bCs/>
          <w:lang w:val="en-US"/>
        </w:rPr>
        <w:t xml:space="preserve"> a focal point will be designated for TB at every </w:t>
      </w:r>
      <w:proofErr w:type="spellStart"/>
      <w:r w:rsidR="00383DB0">
        <w:rPr>
          <w:rFonts w:ascii="Arial" w:hAnsi="Arial" w:cs="Arial"/>
          <w:bCs/>
          <w:lang w:val="en-US"/>
        </w:rPr>
        <w:t>palika</w:t>
      </w:r>
      <w:proofErr w:type="spellEnd"/>
      <w:r w:rsidR="00383DB0">
        <w:rPr>
          <w:rFonts w:ascii="Arial" w:hAnsi="Arial" w:cs="Arial"/>
          <w:bCs/>
          <w:lang w:val="en-US"/>
        </w:rPr>
        <w:t xml:space="preserve"> (</w:t>
      </w:r>
      <w:r w:rsidR="00920DD6">
        <w:rPr>
          <w:rFonts w:ascii="Arial" w:hAnsi="Arial" w:cs="Arial"/>
          <w:bCs/>
          <w:lang w:val="en-US"/>
        </w:rPr>
        <w:t>&gt;</w:t>
      </w:r>
      <w:r w:rsidR="00383DB0">
        <w:rPr>
          <w:rFonts w:ascii="Arial" w:hAnsi="Arial" w:cs="Arial"/>
          <w:bCs/>
          <w:lang w:val="en-US"/>
        </w:rPr>
        <w:t>744 across country)</w:t>
      </w:r>
      <w:r w:rsidR="00CD211B">
        <w:rPr>
          <w:rFonts w:ascii="Arial" w:hAnsi="Arial" w:cs="Arial"/>
          <w:bCs/>
          <w:lang w:val="en-US"/>
        </w:rPr>
        <w:t xml:space="preserve">; </w:t>
      </w:r>
      <w:r w:rsidR="00CD211B" w:rsidRPr="00CD211B">
        <w:rPr>
          <w:rFonts w:ascii="Arial" w:hAnsi="Arial" w:cs="Arial"/>
          <w:b/>
          <w:bCs/>
          <w:lang w:val="en-US"/>
        </w:rPr>
        <w:t>(iii)</w:t>
      </w:r>
      <w:r w:rsidR="002B1EB6">
        <w:rPr>
          <w:rFonts w:ascii="Arial" w:hAnsi="Arial" w:cs="Arial"/>
          <w:bCs/>
          <w:lang w:val="en-US"/>
        </w:rPr>
        <w:t xml:space="preserve"> </w:t>
      </w:r>
      <w:r w:rsidR="00CD211B">
        <w:rPr>
          <w:rFonts w:ascii="Arial" w:hAnsi="Arial" w:cs="Arial"/>
          <w:bCs/>
          <w:lang w:val="en-US"/>
        </w:rPr>
        <w:t>s</w:t>
      </w:r>
      <w:r w:rsidR="004A3AB6">
        <w:rPr>
          <w:rFonts w:ascii="Arial" w:hAnsi="Arial" w:cs="Arial"/>
          <w:bCs/>
          <w:lang w:val="en-US"/>
        </w:rPr>
        <w:t>upport from GF for human resources during the i</w:t>
      </w:r>
      <w:r w:rsidR="00AE006B">
        <w:rPr>
          <w:rFonts w:ascii="Arial" w:hAnsi="Arial" w:cs="Arial"/>
          <w:bCs/>
          <w:lang w:val="en-US"/>
        </w:rPr>
        <w:t xml:space="preserve">nitial period would be required for capacity building of the staff at provincial and </w:t>
      </w:r>
      <w:proofErr w:type="spellStart"/>
      <w:r w:rsidR="00AE006B">
        <w:rPr>
          <w:rFonts w:ascii="Arial" w:hAnsi="Arial" w:cs="Arial"/>
          <w:bCs/>
          <w:lang w:val="en-US"/>
        </w:rPr>
        <w:t>palika</w:t>
      </w:r>
      <w:proofErr w:type="spellEnd"/>
      <w:r w:rsidR="00383DB0">
        <w:rPr>
          <w:rFonts w:ascii="Arial" w:hAnsi="Arial" w:cs="Arial"/>
          <w:bCs/>
          <w:lang w:val="en-US"/>
        </w:rPr>
        <w:t xml:space="preserve"> (</w:t>
      </w:r>
      <w:r w:rsidR="00920DD6">
        <w:rPr>
          <w:rFonts w:ascii="Arial" w:hAnsi="Arial" w:cs="Arial"/>
          <w:bCs/>
          <w:lang w:val="en-US"/>
        </w:rPr>
        <w:t>&gt;</w:t>
      </w:r>
      <w:r w:rsidR="00383DB0">
        <w:rPr>
          <w:rFonts w:ascii="Arial" w:hAnsi="Arial" w:cs="Arial"/>
          <w:bCs/>
          <w:lang w:val="en-US"/>
        </w:rPr>
        <w:t>744)</w:t>
      </w:r>
      <w:r w:rsidR="00AE006B">
        <w:rPr>
          <w:rFonts w:ascii="Arial" w:hAnsi="Arial" w:cs="Arial"/>
          <w:bCs/>
          <w:lang w:val="en-US"/>
        </w:rPr>
        <w:t xml:space="preserve"> level</w:t>
      </w:r>
      <w:r w:rsidR="00782A4E">
        <w:rPr>
          <w:rFonts w:ascii="Arial" w:hAnsi="Arial" w:cs="Arial"/>
          <w:bCs/>
          <w:lang w:val="en-US"/>
        </w:rPr>
        <w:t>s</w:t>
      </w:r>
      <w:r w:rsidR="00383DB0">
        <w:rPr>
          <w:rFonts w:ascii="Arial" w:hAnsi="Arial" w:cs="Arial"/>
          <w:bCs/>
          <w:lang w:val="en-US"/>
        </w:rPr>
        <w:t xml:space="preserve"> through the technical assistance units based </w:t>
      </w:r>
      <w:r w:rsidR="00CD211B">
        <w:rPr>
          <w:rFonts w:ascii="Arial" w:hAnsi="Arial" w:cs="Arial"/>
          <w:bCs/>
          <w:lang w:val="en-US"/>
        </w:rPr>
        <w:t xml:space="preserve">in </w:t>
      </w:r>
      <w:r w:rsidR="00383DB0">
        <w:rPr>
          <w:rFonts w:ascii="Arial" w:hAnsi="Arial" w:cs="Arial"/>
          <w:bCs/>
          <w:lang w:val="en-US"/>
        </w:rPr>
        <w:t>provinc</w:t>
      </w:r>
      <w:r w:rsidR="00CD211B">
        <w:rPr>
          <w:rFonts w:ascii="Arial" w:hAnsi="Arial" w:cs="Arial"/>
          <w:bCs/>
          <w:lang w:val="en-US"/>
        </w:rPr>
        <w:t>es</w:t>
      </w:r>
      <w:r w:rsidR="00AE006B">
        <w:rPr>
          <w:rFonts w:ascii="Arial" w:hAnsi="Arial" w:cs="Arial"/>
          <w:bCs/>
          <w:lang w:val="en-US"/>
        </w:rPr>
        <w:t>.</w:t>
      </w:r>
    </w:p>
    <w:p w14:paraId="0AB23488" w14:textId="77777777" w:rsidR="00E64676" w:rsidRPr="00A267FE" w:rsidRDefault="00E64676" w:rsidP="00A267FE">
      <w:pPr>
        <w:spacing w:after="0" w:line="240" w:lineRule="auto"/>
        <w:jc w:val="both"/>
        <w:rPr>
          <w:rFonts w:ascii="Arial" w:hAnsi="Arial" w:cs="Arial"/>
        </w:rPr>
      </w:pPr>
    </w:p>
    <w:p w14:paraId="2B31B970" w14:textId="2259EBAC" w:rsidR="004D2FB7" w:rsidRDefault="00A67C75" w:rsidP="004D2FB7">
      <w:pPr>
        <w:spacing w:after="0" w:line="240" w:lineRule="auto"/>
        <w:jc w:val="both"/>
        <w:rPr>
          <w:rFonts w:ascii="Arial" w:hAnsi="Arial" w:cs="Arial"/>
          <w:bCs/>
        </w:rPr>
      </w:pPr>
      <w:r w:rsidRPr="00DA0594">
        <w:rPr>
          <w:rFonts w:ascii="Arial" w:hAnsi="Arial" w:cs="Arial"/>
          <w:b/>
          <w:u w:val="single"/>
        </w:rPr>
        <w:t>Monitoring and Evaluation</w:t>
      </w:r>
      <w:r w:rsidRPr="004D2FB7">
        <w:rPr>
          <w:rFonts w:ascii="Arial" w:hAnsi="Arial" w:cs="Arial"/>
          <w:u w:val="single"/>
        </w:rPr>
        <w:t>:</w:t>
      </w:r>
      <w:r w:rsidR="004D2FB7" w:rsidRPr="00DA0594">
        <w:rPr>
          <w:rFonts w:ascii="Arial" w:hAnsi="Arial" w:cs="Arial"/>
        </w:rPr>
        <w:t xml:space="preserve"> </w:t>
      </w:r>
      <w:r w:rsidR="004D2FB7" w:rsidRPr="004D2FB7">
        <w:rPr>
          <w:rFonts w:ascii="Arial" w:hAnsi="Arial" w:cs="Arial"/>
          <w:bCs/>
        </w:rPr>
        <w:t>The primary challenges of the system include the inappropriate storage of aggregated, national and sub-national level TB surveillance data</w:t>
      </w:r>
      <w:r w:rsidR="007536A6">
        <w:rPr>
          <w:rFonts w:ascii="Arial" w:hAnsi="Arial" w:cs="Arial"/>
          <w:bCs/>
        </w:rPr>
        <w:t xml:space="preserve"> and </w:t>
      </w:r>
      <w:r w:rsidR="004D2FB7" w:rsidRPr="004D2FB7">
        <w:rPr>
          <w:rFonts w:ascii="Arial" w:hAnsi="Arial" w:cs="Arial"/>
          <w:bCs/>
        </w:rPr>
        <w:t>lack of capacity for routine analysis of TB data and systematic feed</w:t>
      </w:r>
      <w:r w:rsidR="00A11A9A">
        <w:rPr>
          <w:rFonts w:ascii="Arial" w:hAnsi="Arial" w:cs="Arial"/>
          <w:bCs/>
        </w:rPr>
        <w:t>back</w:t>
      </w:r>
      <w:r w:rsidR="004D2FB7" w:rsidRPr="004D2FB7">
        <w:rPr>
          <w:rFonts w:ascii="Arial" w:hAnsi="Arial" w:cs="Arial"/>
          <w:bCs/>
        </w:rPr>
        <w:t xml:space="preserve"> </w:t>
      </w:r>
      <w:r w:rsidR="004D2FB7" w:rsidRPr="00C67C93">
        <w:rPr>
          <w:rFonts w:ascii="Arial" w:hAnsi="Arial" w:cs="Arial"/>
          <w:bCs/>
        </w:rPr>
        <w:t>(</w:t>
      </w:r>
      <w:r w:rsidR="004D2FB7" w:rsidRPr="00C67C93">
        <w:rPr>
          <w:rFonts w:ascii="Arial" w:hAnsi="Arial" w:cs="Arial"/>
          <w:bCs/>
          <w:i/>
        </w:rPr>
        <w:t>Annex</w:t>
      </w:r>
      <w:r w:rsidR="00815CA9" w:rsidRPr="00C67C93">
        <w:rPr>
          <w:rFonts w:ascii="Arial" w:hAnsi="Arial" w:cs="Arial"/>
          <w:bCs/>
          <w:i/>
        </w:rPr>
        <w:t>-21</w:t>
      </w:r>
      <w:r w:rsidR="004D2FB7" w:rsidRPr="00C67C93">
        <w:rPr>
          <w:rFonts w:ascii="Arial" w:hAnsi="Arial" w:cs="Arial"/>
          <w:bCs/>
          <w:i/>
        </w:rPr>
        <w:t>, p</w:t>
      </w:r>
      <w:r w:rsidR="003D2158" w:rsidRPr="00C67C93">
        <w:rPr>
          <w:rFonts w:ascii="Arial" w:hAnsi="Arial" w:cs="Arial"/>
          <w:bCs/>
          <w:i/>
        </w:rPr>
        <w:t>4-5</w:t>
      </w:r>
      <w:r w:rsidR="004D2FB7" w:rsidRPr="00C67C93">
        <w:rPr>
          <w:rFonts w:ascii="Arial" w:hAnsi="Arial" w:cs="Arial"/>
          <w:bCs/>
        </w:rPr>
        <w:t>).</w:t>
      </w:r>
    </w:p>
    <w:p w14:paraId="1C1491E2" w14:textId="00DCAF2E" w:rsidR="000F05ED" w:rsidRDefault="004D2FB7" w:rsidP="00DA0594">
      <w:pPr>
        <w:spacing w:after="0" w:line="240" w:lineRule="auto"/>
        <w:jc w:val="both"/>
        <w:rPr>
          <w:rFonts w:ascii="Arial" w:hAnsi="Arial" w:cs="Arial"/>
          <w:bCs/>
        </w:rPr>
      </w:pPr>
      <w:r w:rsidRPr="00F015FB">
        <w:rPr>
          <w:rFonts w:ascii="Arial" w:hAnsi="Arial" w:cs="Arial"/>
          <w:b/>
        </w:rPr>
        <w:t>Lessons learned</w:t>
      </w:r>
      <w:r>
        <w:rPr>
          <w:rFonts w:ascii="Arial" w:hAnsi="Arial" w:cs="Arial"/>
          <w:b/>
        </w:rPr>
        <w:t xml:space="preserve">: </w:t>
      </w:r>
      <w:r w:rsidR="00AE7733" w:rsidRPr="007536A6">
        <w:rPr>
          <w:rFonts w:ascii="Arial" w:hAnsi="Arial" w:cs="Arial"/>
          <w:b/>
        </w:rPr>
        <w:t>(</w:t>
      </w:r>
      <w:proofErr w:type="spellStart"/>
      <w:r w:rsidR="00AE7733" w:rsidRPr="007536A6">
        <w:rPr>
          <w:rFonts w:ascii="Arial" w:hAnsi="Arial" w:cs="Arial"/>
          <w:b/>
        </w:rPr>
        <w:t>i</w:t>
      </w:r>
      <w:proofErr w:type="spellEnd"/>
      <w:r w:rsidR="00AE7733" w:rsidRPr="007536A6">
        <w:rPr>
          <w:rFonts w:ascii="Arial" w:hAnsi="Arial" w:cs="Arial"/>
          <w:b/>
        </w:rPr>
        <w:t>)</w:t>
      </w:r>
      <w:r w:rsidR="001D2A97" w:rsidRPr="001D2A97">
        <w:rPr>
          <w:rFonts w:ascii="Arial" w:hAnsi="Arial" w:cs="Arial"/>
          <w:bCs/>
        </w:rPr>
        <w:t xml:space="preserve"> </w:t>
      </w:r>
      <w:r w:rsidR="001D2A97" w:rsidRPr="004D2FB7">
        <w:rPr>
          <w:rFonts w:ascii="Arial" w:hAnsi="Arial" w:cs="Arial"/>
          <w:bCs/>
        </w:rPr>
        <w:t xml:space="preserve">The health management information system (HMIS) of the </w:t>
      </w:r>
      <w:proofErr w:type="spellStart"/>
      <w:r w:rsidR="001D2A97" w:rsidRPr="004D2FB7">
        <w:rPr>
          <w:rFonts w:ascii="Arial" w:hAnsi="Arial" w:cs="Arial"/>
          <w:bCs/>
        </w:rPr>
        <w:t>MoH</w:t>
      </w:r>
      <w:proofErr w:type="spellEnd"/>
      <w:r w:rsidR="001D2A97" w:rsidRPr="004D2FB7">
        <w:rPr>
          <w:rFonts w:ascii="Arial" w:hAnsi="Arial" w:cs="Arial"/>
          <w:bCs/>
        </w:rPr>
        <w:t xml:space="preserve"> collects aggregate health information from the districts, but it does not provide information on individual patients</w:t>
      </w:r>
      <w:r w:rsidR="001D2A97">
        <w:rPr>
          <w:rFonts w:ascii="Arial" w:hAnsi="Arial" w:cs="Arial"/>
          <w:bCs/>
        </w:rPr>
        <w:t>;</w:t>
      </w:r>
      <w:r w:rsidR="001D2A97" w:rsidRPr="004D2FB7">
        <w:rPr>
          <w:rFonts w:ascii="Arial" w:hAnsi="Arial" w:cs="Arial"/>
          <w:bCs/>
        </w:rPr>
        <w:t xml:space="preserve"> </w:t>
      </w:r>
      <w:r w:rsidR="001D2A97" w:rsidRPr="007536A6">
        <w:rPr>
          <w:rFonts w:ascii="Arial" w:hAnsi="Arial" w:cs="Arial"/>
          <w:b/>
        </w:rPr>
        <w:t>(ii)</w:t>
      </w:r>
      <w:r w:rsidR="001D2A97" w:rsidRPr="009F6F44">
        <w:rPr>
          <w:rFonts w:ascii="Arial" w:hAnsi="Arial" w:cs="Arial"/>
          <w:b/>
        </w:rPr>
        <w:t xml:space="preserve"> </w:t>
      </w:r>
      <w:r w:rsidR="001D2A97">
        <w:rPr>
          <w:rFonts w:ascii="Arial" w:hAnsi="Arial" w:cs="Arial"/>
          <w:b/>
        </w:rPr>
        <w:t>t</w:t>
      </w:r>
      <w:r w:rsidR="001D2A97" w:rsidRPr="004D2FB7">
        <w:rPr>
          <w:rFonts w:ascii="Arial" w:hAnsi="Arial" w:cs="Arial"/>
          <w:bCs/>
        </w:rPr>
        <w:t>he NTC on the other hand, requires a software for individual monitoring of TB patients monthly which covers all aspects of TB- diagnosis, case management including follow up and completion of treatment</w:t>
      </w:r>
      <w:r w:rsidR="001D2A97">
        <w:rPr>
          <w:rFonts w:ascii="Arial" w:hAnsi="Arial" w:cs="Arial"/>
          <w:bCs/>
        </w:rPr>
        <w:t xml:space="preserve">; </w:t>
      </w:r>
      <w:r w:rsidR="001D2A97" w:rsidRPr="001D2A97">
        <w:rPr>
          <w:rFonts w:ascii="Arial" w:hAnsi="Arial" w:cs="Arial"/>
          <w:b/>
          <w:bCs/>
        </w:rPr>
        <w:t>(iii)</w:t>
      </w:r>
      <w:r w:rsidR="001D2A97">
        <w:rPr>
          <w:rFonts w:ascii="Arial" w:hAnsi="Arial" w:cs="Arial"/>
          <w:bCs/>
        </w:rPr>
        <w:t xml:space="preserve"> there is a need to harmonize the </w:t>
      </w:r>
      <w:r w:rsidR="00922BD4">
        <w:rPr>
          <w:rFonts w:ascii="Arial" w:hAnsi="Arial" w:cs="Arial"/>
          <w:bCs/>
        </w:rPr>
        <w:t>two streams of data.</w:t>
      </w:r>
      <w:r w:rsidR="001D2A97">
        <w:rPr>
          <w:rFonts w:ascii="Arial" w:hAnsi="Arial" w:cs="Arial"/>
          <w:bCs/>
        </w:rPr>
        <w:t xml:space="preserve"> </w:t>
      </w:r>
      <w:r w:rsidR="00AE7733" w:rsidRPr="001D2A97">
        <w:rPr>
          <w:rFonts w:ascii="Arial" w:hAnsi="Arial" w:cs="Arial"/>
          <w:bCs/>
        </w:rPr>
        <w:t xml:space="preserve"> </w:t>
      </w:r>
    </w:p>
    <w:p w14:paraId="2BC18F21" w14:textId="77777777" w:rsidR="00DA0594" w:rsidRDefault="00DA0594" w:rsidP="00DA0594">
      <w:pPr>
        <w:spacing w:after="0" w:line="240" w:lineRule="auto"/>
        <w:jc w:val="both"/>
        <w:rPr>
          <w:rFonts w:ascii="Arial" w:hAnsi="Arial" w:cs="Arial"/>
        </w:rPr>
      </w:pPr>
    </w:p>
    <w:p w14:paraId="2911F294" w14:textId="77777777" w:rsidR="008069E2" w:rsidRDefault="00FE5FAB" w:rsidP="009F6F44">
      <w:pPr>
        <w:spacing w:after="0" w:line="240" w:lineRule="auto"/>
        <w:jc w:val="both"/>
        <w:rPr>
          <w:rFonts w:ascii="Arial" w:hAnsi="Arial" w:cs="Arial"/>
        </w:rPr>
      </w:pPr>
      <w:r w:rsidRPr="001C7B90">
        <w:rPr>
          <w:rFonts w:ascii="Arial" w:hAnsi="Arial" w:cs="Arial"/>
          <w:b/>
          <w:u w:val="single"/>
        </w:rPr>
        <w:t>Public-Private-</w:t>
      </w:r>
      <w:r w:rsidR="004D56C2" w:rsidRPr="001C7B90">
        <w:rPr>
          <w:rFonts w:ascii="Arial" w:hAnsi="Arial" w:cs="Arial"/>
          <w:b/>
          <w:u w:val="single"/>
        </w:rPr>
        <w:t>Mix</w:t>
      </w:r>
      <w:r w:rsidRPr="00C8669F">
        <w:rPr>
          <w:rFonts w:ascii="Arial" w:hAnsi="Arial" w:cs="Arial"/>
          <w:u w:val="single"/>
        </w:rPr>
        <w:t>:</w:t>
      </w:r>
      <w:r w:rsidR="007C7B27" w:rsidRPr="00C8669F">
        <w:rPr>
          <w:rFonts w:ascii="Arial" w:hAnsi="Arial" w:cs="Arial"/>
        </w:rPr>
        <w:t xml:space="preserve"> </w:t>
      </w:r>
      <w:r w:rsidR="00EA2FB4" w:rsidRPr="00C8669F">
        <w:rPr>
          <w:rFonts w:ascii="Arial" w:hAnsi="Arial" w:cs="Arial"/>
        </w:rPr>
        <w:t>The private health sector is very dominant</w:t>
      </w:r>
      <w:r w:rsidR="00C8669F" w:rsidRPr="00C8669F">
        <w:rPr>
          <w:rFonts w:ascii="Arial" w:hAnsi="Arial" w:cs="Arial"/>
        </w:rPr>
        <w:t xml:space="preserve"> in Nepal. </w:t>
      </w:r>
      <w:r w:rsidR="000300AF" w:rsidRPr="00C8669F">
        <w:rPr>
          <w:rFonts w:ascii="Arial" w:hAnsi="Arial" w:cs="Arial"/>
        </w:rPr>
        <w:t>Studies</w:t>
      </w:r>
      <w:r w:rsidR="000300AF" w:rsidRPr="000300AF">
        <w:rPr>
          <w:rFonts w:ascii="Arial" w:hAnsi="Arial" w:cs="Arial"/>
        </w:rPr>
        <w:t xml:space="preserve"> show</w:t>
      </w:r>
      <w:r w:rsidR="000300AF">
        <w:rPr>
          <w:rFonts w:ascii="Arial" w:hAnsi="Arial" w:cs="Arial"/>
        </w:rPr>
        <w:t>ed</w:t>
      </w:r>
      <w:r w:rsidR="000300AF" w:rsidRPr="000300AF">
        <w:rPr>
          <w:rFonts w:ascii="Arial" w:hAnsi="Arial" w:cs="Arial"/>
        </w:rPr>
        <w:t xml:space="preserve"> that 80% of pharmacies have presumptive TB patients</w:t>
      </w:r>
      <w:r w:rsidR="000300AF">
        <w:rPr>
          <w:rFonts w:ascii="Arial" w:hAnsi="Arial" w:cs="Arial"/>
        </w:rPr>
        <w:t xml:space="preserve">. </w:t>
      </w:r>
      <w:r w:rsidR="009D77CB">
        <w:rPr>
          <w:rFonts w:ascii="Arial" w:hAnsi="Arial" w:cs="Arial"/>
        </w:rPr>
        <w:t>In the absence of a</w:t>
      </w:r>
      <w:r w:rsidR="00665C85">
        <w:rPr>
          <w:rFonts w:ascii="Arial" w:hAnsi="Arial" w:cs="Arial"/>
        </w:rPr>
        <w:t xml:space="preserve"> formal </w:t>
      </w:r>
      <w:r w:rsidR="009D77CB">
        <w:rPr>
          <w:rFonts w:ascii="Arial" w:hAnsi="Arial" w:cs="Arial"/>
        </w:rPr>
        <w:t xml:space="preserve">collaborative </w:t>
      </w:r>
      <w:r w:rsidR="00665C85">
        <w:rPr>
          <w:rFonts w:ascii="Arial" w:hAnsi="Arial" w:cs="Arial"/>
        </w:rPr>
        <w:t>mechanism between the public and private sectors, t</w:t>
      </w:r>
      <w:r w:rsidR="007C7B27" w:rsidRPr="00EA2FB4">
        <w:rPr>
          <w:rFonts w:ascii="Arial" w:hAnsi="Arial" w:cs="Arial"/>
        </w:rPr>
        <w:t xml:space="preserve">he referral of TB cases from the private sector </w:t>
      </w:r>
      <w:r w:rsidR="00665C85">
        <w:rPr>
          <w:rFonts w:ascii="Arial" w:hAnsi="Arial" w:cs="Arial"/>
        </w:rPr>
        <w:t>h</w:t>
      </w:r>
      <w:r w:rsidR="007C7B27" w:rsidRPr="00EA2FB4">
        <w:rPr>
          <w:rFonts w:ascii="Arial" w:hAnsi="Arial" w:cs="Arial"/>
        </w:rPr>
        <w:t xml:space="preserve">as </w:t>
      </w:r>
      <w:r w:rsidR="00665C85">
        <w:rPr>
          <w:rFonts w:ascii="Arial" w:hAnsi="Arial" w:cs="Arial"/>
        </w:rPr>
        <w:t>been low</w:t>
      </w:r>
      <w:r w:rsidR="009D77CB">
        <w:rPr>
          <w:rFonts w:ascii="Arial" w:hAnsi="Arial" w:cs="Arial"/>
        </w:rPr>
        <w:t xml:space="preserve"> (</w:t>
      </w:r>
      <w:r w:rsidR="00CD2220">
        <w:rPr>
          <w:rFonts w:ascii="Arial" w:hAnsi="Arial" w:cs="Arial"/>
        </w:rPr>
        <w:t>18</w:t>
      </w:r>
      <w:r w:rsidR="007C7B27" w:rsidRPr="00EA2FB4">
        <w:rPr>
          <w:rFonts w:ascii="Arial" w:hAnsi="Arial" w:cs="Arial"/>
        </w:rPr>
        <w:t>%</w:t>
      </w:r>
      <w:r w:rsidR="009D77CB">
        <w:rPr>
          <w:rFonts w:ascii="Arial" w:hAnsi="Arial" w:cs="Arial"/>
        </w:rPr>
        <w:t>); c</w:t>
      </w:r>
      <w:r w:rsidR="007C7B27" w:rsidRPr="00D57C02">
        <w:rPr>
          <w:rFonts w:ascii="Arial" w:hAnsi="Arial" w:cs="Arial"/>
        </w:rPr>
        <w:t xml:space="preserve">ommunity referrals accounted for </w:t>
      </w:r>
      <w:r w:rsidR="00CD2220">
        <w:rPr>
          <w:rFonts w:ascii="Arial" w:hAnsi="Arial" w:cs="Arial"/>
        </w:rPr>
        <w:t>21</w:t>
      </w:r>
      <w:r w:rsidR="007C7B27" w:rsidRPr="00D57C02">
        <w:rPr>
          <w:rFonts w:ascii="Arial" w:hAnsi="Arial" w:cs="Arial"/>
        </w:rPr>
        <w:t xml:space="preserve">% </w:t>
      </w:r>
      <w:r w:rsidR="007C7B27" w:rsidRPr="00EA2FB4">
        <w:rPr>
          <w:rFonts w:ascii="Arial" w:hAnsi="Arial" w:cs="Arial"/>
        </w:rPr>
        <w:t>(</w:t>
      </w:r>
      <w:r w:rsidR="009D7228" w:rsidRPr="00C613ED">
        <w:rPr>
          <w:rFonts w:ascii="Arial" w:hAnsi="Arial" w:cs="Arial"/>
          <w:i/>
        </w:rPr>
        <w:t>Annex</w:t>
      </w:r>
      <w:r w:rsidR="003D2158" w:rsidRPr="00C613ED">
        <w:rPr>
          <w:rFonts w:ascii="Arial" w:hAnsi="Arial" w:cs="Arial"/>
          <w:i/>
        </w:rPr>
        <w:t xml:space="preserve">-8, </w:t>
      </w:r>
      <w:r w:rsidR="007C7B27" w:rsidRPr="00C613ED">
        <w:rPr>
          <w:rFonts w:ascii="Arial" w:hAnsi="Arial" w:cs="Arial"/>
          <w:i/>
        </w:rPr>
        <w:t>p19</w:t>
      </w:r>
      <w:r w:rsidR="007C7B27" w:rsidRPr="00EA2FB4">
        <w:rPr>
          <w:rFonts w:ascii="Arial" w:hAnsi="Arial" w:cs="Arial"/>
        </w:rPr>
        <w:t>).</w:t>
      </w:r>
      <w:r w:rsidR="00E64676">
        <w:rPr>
          <w:rFonts w:ascii="Arial" w:hAnsi="Arial" w:cs="Arial"/>
        </w:rPr>
        <w:t xml:space="preserve"> </w:t>
      </w:r>
    </w:p>
    <w:p w14:paraId="4695BD9F" w14:textId="1E4DC882" w:rsidR="00D04653" w:rsidRDefault="00D04653" w:rsidP="009F6F44">
      <w:pPr>
        <w:spacing w:after="0" w:line="240" w:lineRule="auto"/>
        <w:jc w:val="both"/>
        <w:rPr>
          <w:rFonts w:ascii="Arial" w:hAnsi="Arial" w:cs="Arial"/>
        </w:rPr>
      </w:pPr>
      <w:r w:rsidRPr="00F015FB">
        <w:rPr>
          <w:rFonts w:ascii="Arial" w:hAnsi="Arial" w:cs="Arial"/>
          <w:b/>
        </w:rPr>
        <w:t>Lessons learned</w:t>
      </w:r>
      <w:r>
        <w:rPr>
          <w:rFonts w:ascii="Arial" w:hAnsi="Arial" w:cs="Arial"/>
        </w:rPr>
        <w:t xml:space="preserve">: </w:t>
      </w:r>
      <w:r w:rsidR="009F6F44" w:rsidRPr="000F5510">
        <w:rPr>
          <w:rFonts w:ascii="Arial" w:hAnsi="Arial" w:cs="Arial"/>
          <w:b/>
        </w:rPr>
        <w:t>(</w:t>
      </w:r>
      <w:proofErr w:type="spellStart"/>
      <w:r w:rsidR="009F6F44" w:rsidRPr="000F5510">
        <w:rPr>
          <w:rFonts w:ascii="Arial" w:hAnsi="Arial" w:cs="Arial"/>
          <w:b/>
        </w:rPr>
        <w:t>i</w:t>
      </w:r>
      <w:proofErr w:type="spellEnd"/>
      <w:r w:rsidR="009F6F44" w:rsidRPr="000F5510">
        <w:rPr>
          <w:rFonts w:ascii="Arial" w:hAnsi="Arial" w:cs="Arial"/>
          <w:b/>
        </w:rPr>
        <w:t>)</w:t>
      </w:r>
      <w:r w:rsidR="009F6F44">
        <w:rPr>
          <w:rFonts w:ascii="Arial" w:hAnsi="Arial" w:cs="Arial"/>
        </w:rPr>
        <w:t xml:space="preserve"> </w:t>
      </w:r>
      <w:r w:rsidR="00922BD4">
        <w:rPr>
          <w:rFonts w:ascii="Arial" w:hAnsi="Arial" w:cs="Arial"/>
        </w:rPr>
        <w:t>Setting up of a task force at national and sub-national levels</w:t>
      </w:r>
      <w:r w:rsidR="00922BD4" w:rsidRPr="00247C83">
        <w:rPr>
          <w:rFonts w:ascii="Arial" w:hAnsi="Arial" w:cs="Arial"/>
        </w:rPr>
        <w:t xml:space="preserve"> </w:t>
      </w:r>
      <w:r w:rsidR="00922BD4">
        <w:rPr>
          <w:rFonts w:ascii="Arial" w:hAnsi="Arial" w:cs="Arial"/>
        </w:rPr>
        <w:t>will strengthen the p</w:t>
      </w:r>
      <w:r w:rsidRPr="00247C83">
        <w:rPr>
          <w:rFonts w:ascii="Arial" w:hAnsi="Arial" w:cs="Arial"/>
        </w:rPr>
        <w:t xml:space="preserve">artnership </w:t>
      </w:r>
      <w:r w:rsidR="00922BD4">
        <w:rPr>
          <w:rFonts w:ascii="Arial" w:hAnsi="Arial" w:cs="Arial"/>
        </w:rPr>
        <w:t>between</w:t>
      </w:r>
      <w:r w:rsidRPr="00247C83">
        <w:rPr>
          <w:rFonts w:ascii="Arial" w:hAnsi="Arial" w:cs="Arial"/>
        </w:rPr>
        <w:t xml:space="preserve"> the dominant private health sector </w:t>
      </w:r>
      <w:r w:rsidR="00922BD4">
        <w:rPr>
          <w:rFonts w:ascii="Arial" w:hAnsi="Arial" w:cs="Arial"/>
        </w:rPr>
        <w:t>and</w:t>
      </w:r>
      <w:r w:rsidRPr="00247C83">
        <w:rPr>
          <w:rFonts w:ascii="Arial" w:hAnsi="Arial" w:cs="Arial"/>
        </w:rPr>
        <w:t xml:space="preserve"> the NTP</w:t>
      </w:r>
      <w:r w:rsidR="009F6F44">
        <w:rPr>
          <w:rFonts w:ascii="Arial" w:hAnsi="Arial" w:cs="Arial"/>
        </w:rPr>
        <w:t xml:space="preserve">; </w:t>
      </w:r>
      <w:r w:rsidR="009F6F44" w:rsidRPr="000F5510">
        <w:rPr>
          <w:rFonts w:ascii="Arial" w:hAnsi="Arial" w:cs="Arial"/>
          <w:b/>
        </w:rPr>
        <w:t>(ii)</w:t>
      </w:r>
      <w:r w:rsidR="009F6F44">
        <w:rPr>
          <w:rFonts w:ascii="Arial" w:hAnsi="Arial" w:cs="Arial"/>
        </w:rPr>
        <w:t xml:space="preserve"> the PPM strategy and guidelines should be steered by the National Task Force and </w:t>
      </w:r>
      <w:r w:rsidR="004531E6">
        <w:rPr>
          <w:rFonts w:ascii="Arial" w:hAnsi="Arial" w:cs="Arial"/>
        </w:rPr>
        <w:t xml:space="preserve">led by NTP </w:t>
      </w:r>
      <w:r w:rsidR="009F6F44" w:rsidRPr="000F5510">
        <w:rPr>
          <w:rFonts w:ascii="Arial" w:hAnsi="Arial" w:cs="Arial"/>
          <w:b/>
        </w:rPr>
        <w:t>(ii</w:t>
      </w:r>
      <w:r w:rsidR="00922BD4" w:rsidRPr="000F5510">
        <w:rPr>
          <w:rFonts w:ascii="Arial" w:hAnsi="Arial" w:cs="Arial"/>
          <w:b/>
        </w:rPr>
        <w:t>i</w:t>
      </w:r>
      <w:r w:rsidR="009F6F44" w:rsidRPr="000F5510">
        <w:rPr>
          <w:rFonts w:ascii="Arial" w:hAnsi="Arial" w:cs="Arial"/>
          <w:b/>
        </w:rPr>
        <w:t>)</w:t>
      </w:r>
      <w:r w:rsidR="009F6F44">
        <w:rPr>
          <w:rFonts w:ascii="Arial" w:hAnsi="Arial" w:cs="Arial"/>
        </w:rPr>
        <w:t xml:space="preserve"> government legislation of the TB Act </w:t>
      </w:r>
      <w:r w:rsidR="00922BD4">
        <w:rPr>
          <w:rFonts w:ascii="Arial" w:hAnsi="Arial" w:cs="Arial"/>
        </w:rPr>
        <w:t>making</w:t>
      </w:r>
      <w:r w:rsidR="009F6F44">
        <w:rPr>
          <w:rFonts w:ascii="Arial" w:hAnsi="Arial" w:cs="Arial"/>
        </w:rPr>
        <w:t xml:space="preserve"> TB notification </w:t>
      </w:r>
      <w:r w:rsidR="00922BD4">
        <w:rPr>
          <w:rFonts w:ascii="Arial" w:hAnsi="Arial" w:cs="Arial"/>
        </w:rPr>
        <w:t xml:space="preserve">mandatory from the private sector </w:t>
      </w:r>
      <w:r w:rsidR="009F6F44">
        <w:rPr>
          <w:rFonts w:ascii="Arial" w:hAnsi="Arial" w:cs="Arial"/>
        </w:rPr>
        <w:t xml:space="preserve">must be implemented </w:t>
      </w:r>
      <w:r>
        <w:rPr>
          <w:rFonts w:ascii="Arial" w:hAnsi="Arial" w:cs="Arial"/>
        </w:rPr>
        <w:t>(</w:t>
      </w:r>
      <w:r w:rsidR="009A2BAC" w:rsidRPr="009A2BAC">
        <w:rPr>
          <w:rFonts w:ascii="Arial" w:hAnsi="Arial" w:cs="Arial"/>
          <w:i/>
        </w:rPr>
        <w:t>Annex-22, p7</w:t>
      </w:r>
      <w:r>
        <w:rPr>
          <w:rFonts w:ascii="Arial" w:hAnsi="Arial" w:cs="Arial"/>
        </w:rPr>
        <w:t>)</w:t>
      </w:r>
      <w:r w:rsidR="009F6F44">
        <w:rPr>
          <w:rFonts w:ascii="Arial" w:hAnsi="Arial" w:cs="Arial"/>
        </w:rPr>
        <w:t xml:space="preserve">. </w:t>
      </w:r>
    </w:p>
    <w:p w14:paraId="51BF6084" w14:textId="1E4EDF86" w:rsidR="009F6F44" w:rsidRDefault="009F6F44" w:rsidP="00CC2D30">
      <w:pPr>
        <w:pStyle w:val="ListParagraph"/>
        <w:spacing w:after="0" w:line="240" w:lineRule="auto"/>
        <w:ind w:left="0"/>
        <w:jc w:val="both"/>
        <w:rPr>
          <w:rFonts w:ascii="Arial" w:hAnsi="Arial" w:cs="Arial"/>
        </w:rPr>
      </w:pPr>
    </w:p>
    <w:p w14:paraId="52E1CE27" w14:textId="3D3F21F2" w:rsidR="006262D7" w:rsidRDefault="006262D7" w:rsidP="00CC2D30">
      <w:pPr>
        <w:pStyle w:val="ListParagraph"/>
        <w:spacing w:after="0" w:line="240" w:lineRule="auto"/>
        <w:ind w:left="0"/>
        <w:jc w:val="both"/>
        <w:rPr>
          <w:rFonts w:ascii="Arial" w:hAnsi="Arial" w:cs="Arial"/>
        </w:rPr>
      </w:pPr>
    </w:p>
    <w:p w14:paraId="3A060A1F" w14:textId="77777777" w:rsidR="006262D7" w:rsidRDefault="006262D7" w:rsidP="00CC2D30">
      <w:pPr>
        <w:pStyle w:val="ListParagraph"/>
        <w:spacing w:after="0" w:line="240" w:lineRule="auto"/>
        <w:ind w:left="0"/>
        <w:jc w:val="both"/>
        <w:rPr>
          <w:rFonts w:ascii="Arial" w:hAnsi="Arial" w:cs="Arial"/>
        </w:rPr>
      </w:pPr>
    </w:p>
    <w:p w14:paraId="797B2D8E" w14:textId="11F11094" w:rsidR="000B1D9C" w:rsidRPr="002D49E7" w:rsidRDefault="000F5510" w:rsidP="00A60E34">
      <w:pPr>
        <w:jc w:val="both"/>
        <w:rPr>
          <w:rFonts w:ascii="Arial" w:hAnsi="Arial" w:cs="Arial"/>
          <w:b/>
        </w:rPr>
      </w:pPr>
      <w:r>
        <w:rPr>
          <w:rFonts w:ascii="Arial" w:hAnsi="Arial" w:cs="Arial"/>
          <w:b/>
        </w:rPr>
        <w:t xml:space="preserve">c) </w:t>
      </w:r>
      <w:r w:rsidR="00484519" w:rsidRPr="002D49E7">
        <w:rPr>
          <w:rFonts w:ascii="Arial" w:hAnsi="Arial" w:cs="Arial"/>
          <w:b/>
        </w:rPr>
        <w:t>I</w:t>
      </w:r>
      <w:r w:rsidR="00A60E34" w:rsidRPr="002D49E7">
        <w:rPr>
          <w:rFonts w:ascii="Arial" w:hAnsi="Arial" w:cs="Arial"/>
          <w:b/>
        </w:rPr>
        <w:t xml:space="preserve">nvestment </w:t>
      </w:r>
      <w:r w:rsidR="00484519" w:rsidRPr="002D49E7">
        <w:rPr>
          <w:rFonts w:ascii="Arial" w:hAnsi="Arial" w:cs="Arial"/>
          <w:b/>
        </w:rPr>
        <w:t>by</w:t>
      </w:r>
      <w:r w:rsidR="00A60E34" w:rsidRPr="002D49E7">
        <w:rPr>
          <w:rFonts w:ascii="Arial" w:hAnsi="Arial" w:cs="Arial"/>
          <w:b/>
        </w:rPr>
        <w:t xml:space="preserve"> other </w:t>
      </w:r>
      <w:r w:rsidR="00AF01D9" w:rsidRPr="002D49E7">
        <w:rPr>
          <w:rFonts w:ascii="Arial" w:hAnsi="Arial" w:cs="Arial"/>
          <w:b/>
        </w:rPr>
        <w:t>technical partners</w:t>
      </w:r>
      <w:r w:rsidR="00484519" w:rsidRPr="002D49E7">
        <w:rPr>
          <w:rFonts w:ascii="Arial" w:hAnsi="Arial" w:cs="Arial"/>
          <w:b/>
        </w:rPr>
        <w:t xml:space="preserve"> </w:t>
      </w:r>
      <w:r w:rsidR="00223BA2" w:rsidRPr="002D49E7">
        <w:rPr>
          <w:rFonts w:ascii="Arial" w:hAnsi="Arial" w:cs="Arial"/>
          <w:b/>
        </w:rPr>
        <w:t>we</w:t>
      </w:r>
      <w:r w:rsidR="00484519" w:rsidRPr="002D49E7">
        <w:rPr>
          <w:rFonts w:ascii="Arial" w:hAnsi="Arial" w:cs="Arial"/>
          <w:b/>
        </w:rPr>
        <w:t>re</w:t>
      </w:r>
      <w:r w:rsidR="00646AB0" w:rsidRPr="002D49E7">
        <w:rPr>
          <w:rFonts w:ascii="Arial" w:hAnsi="Arial" w:cs="Arial"/>
          <w:b/>
        </w:rPr>
        <w:t xml:space="preserve"> </w:t>
      </w:r>
      <w:r w:rsidR="00484519" w:rsidRPr="002D49E7">
        <w:rPr>
          <w:rFonts w:ascii="Arial" w:hAnsi="Arial" w:cs="Arial"/>
          <w:b/>
        </w:rPr>
        <w:t>e</w:t>
      </w:r>
      <w:r w:rsidR="00646AB0" w:rsidRPr="002D49E7">
        <w:rPr>
          <w:rFonts w:ascii="Arial" w:hAnsi="Arial" w:cs="Arial"/>
          <w:b/>
        </w:rPr>
        <w:t>ssential for annual reviews, surveys, development of guidelines</w:t>
      </w:r>
      <w:r w:rsidR="0082140F" w:rsidRPr="002D49E7">
        <w:rPr>
          <w:rFonts w:ascii="Arial" w:hAnsi="Arial" w:cs="Arial"/>
          <w:b/>
        </w:rPr>
        <w:t xml:space="preserve">, </w:t>
      </w:r>
      <w:r w:rsidR="00646AB0" w:rsidRPr="002D49E7">
        <w:rPr>
          <w:rFonts w:ascii="Arial" w:hAnsi="Arial" w:cs="Arial"/>
          <w:b/>
        </w:rPr>
        <w:t>capacity building</w:t>
      </w:r>
      <w:r w:rsidR="0082140F" w:rsidRPr="002D49E7">
        <w:rPr>
          <w:rFonts w:ascii="Arial" w:hAnsi="Arial" w:cs="Arial"/>
          <w:b/>
        </w:rPr>
        <w:t xml:space="preserve"> and quality assurance</w:t>
      </w:r>
      <w:r w:rsidR="00CE073F" w:rsidRPr="002D49E7">
        <w:rPr>
          <w:rFonts w:ascii="Arial" w:hAnsi="Arial" w:cs="Arial"/>
          <w:b/>
        </w:rPr>
        <w:t xml:space="preserve"> (QA)</w:t>
      </w:r>
    </w:p>
    <w:p w14:paraId="1199E5CB" w14:textId="0F1F7643" w:rsidR="003400C5" w:rsidRPr="00D57C02" w:rsidRDefault="003400C5" w:rsidP="00CD02E9">
      <w:pPr>
        <w:spacing w:line="240" w:lineRule="auto"/>
        <w:jc w:val="both"/>
        <w:rPr>
          <w:rFonts w:ascii="Arial" w:hAnsi="Arial" w:cs="Arial"/>
        </w:rPr>
      </w:pPr>
      <w:r w:rsidRPr="00D57C02">
        <w:rPr>
          <w:rFonts w:ascii="Arial" w:hAnsi="Arial" w:cs="Arial"/>
        </w:rPr>
        <w:t xml:space="preserve">WHO has been the main technical partner of </w:t>
      </w:r>
      <w:r w:rsidR="002C7AFD" w:rsidRPr="00D57C02">
        <w:rPr>
          <w:rFonts w:ascii="Arial" w:hAnsi="Arial" w:cs="Arial"/>
        </w:rPr>
        <w:t xml:space="preserve">the </w:t>
      </w:r>
      <w:r w:rsidRPr="00D57C02">
        <w:rPr>
          <w:rFonts w:ascii="Arial" w:hAnsi="Arial" w:cs="Arial"/>
        </w:rPr>
        <w:t xml:space="preserve">NTP </w:t>
      </w:r>
      <w:r w:rsidR="002C7AFD" w:rsidRPr="00D57C02">
        <w:rPr>
          <w:rFonts w:ascii="Arial" w:hAnsi="Arial" w:cs="Arial"/>
        </w:rPr>
        <w:t xml:space="preserve">to provide </w:t>
      </w:r>
      <w:r w:rsidRPr="00D57C02">
        <w:rPr>
          <w:rFonts w:ascii="Arial" w:hAnsi="Arial" w:cs="Arial"/>
        </w:rPr>
        <w:t xml:space="preserve">key support in developing </w:t>
      </w:r>
      <w:r w:rsidR="002C7AFD" w:rsidRPr="00D57C02">
        <w:rPr>
          <w:rFonts w:ascii="Arial" w:hAnsi="Arial" w:cs="Arial"/>
        </w:rPr>
        <w:t xml:space="preserve">the </w:t>
      </w:r>
      <w:r w:rsidRPr="00D57C02">
        <w:rPr>
          <w:rFonts w:ascii="Arial" w:hAnsi="Arial" w:cs="Arial"/>
        </w:rPr>
        <w:t>National Strategic Plan</w:t>
      </w:r>
      <w:r w:rsidR="00CE4D2B">
        <w:rPr>
          <w:rFonts w:ascii="Arial" w:hAnsi="Arial" w:cs="Arial"/>
        </w:rPr>
        <w:t>,</w:t>
      </w:r>
      <w:r w:rsidR="002C7AFD" w:rsidRPr="00D57C02">
        <w:rPr>
          <w:rFonts w:ascii="Arial" w:hAnsi="Arial" w:cs="Arial"/>
        </w:rPr>
        <w:t xml:space="preserve"> </w:t>
      </w:r>
      <w:r w:rsidRPr="00D57C02">
        <w:rPr>
          <w:rFonts w:ascii="Arial" w:hAnsi="Arial" w:cs="Arial"/>
        </w:rPr>
        <w:t>Annual Reports</w:t>
      </w:r>
      <w:r w:rsidR="00C90E61" w:rsidRPr="00D57C02">
        <w:rPr>
          <w:rFonts w:ascii="Arial" w:hAnsi="Arial" w:cs="Arial"/>
        </w:rPr>
        <w:t xml:space="preserve"> and reviews </w:t>
      </w:r>
      <w:r w:rsidR="00CE4D2B">
        <w:rPr>
          <w:rFonts w:ascii="Arial" w:hAnsi="Arial" w:cs="Arial"/>
        </w:rPr>
        <w:t xml:space="preserve">which </w:t>
      </w:r>
      <w:r w:rsidR="00C90E61" w:rsidRPr="00D57C02">
        <w:rPr>
          <w:rFonts w:ascii="Arial" w:hAnsi="Arial" w:cs="Arial"/>
        </w:rPr>
        <w:t xml:space="preserve">are essential </w:t>
      </w:r>
      <w:r w:rsidR="00CE4D2B">
        <w:rPr>
          <w:rFonts w:ascii="Arial" w:hAnsi="Arial" w:cs="Arial"/>
        </w:rPr>
        <w:t xml:space="preserve">for the assessment of the </w:t>
      </w:r>
      <w:proofErr w:type="gramStart"/>
      <w:r w:rsidR="00CE4D2B">
        <w:rPr>
          <w:rFonts w:ascii="Arial" w:hAnsi="Arial" w:cs="Arial"/>
        </w:rPr>
        <w:t>NTP.</w:t>
      </w:r>
      <w:proofErr w:type="gramEnd"/>
      <w:r w:rsidR="00CE4D2B">
        <w:rPr>
          <w:rFonts w:ascii="Arial" w:hAnsi="Arial" w:cs="Arial"/>
        </w:rPr>
        <w:t xml:space="preserve"> </w:t>
      </w:r>
      <w:r w:rsidR="00160ADD" w:rsidRPr="007221F5">
        <w:rPr>
          <w:rFonts w:ascii="Arial" w:hAnsi="Arial" w:cs="Arial"/>
        </w:rPr>
        <w:t>The next drug resistan</w:t>
      </w:r>
      <w:r w:rsidR="007221F5">
        <w:rPr>
          <w:rFonts w:ascii="Arial" w:hAnsi="Arial" w:cs="Arial"/>
        </w:rPr>
        <w:t>ce</w:t>
      </w:r>
      <w:r w:rsidR="00160ADD" w:rsidRPr="007221F5">
        <w:rPr>
          <w:rFonts w:ascii="Arial" w:hAnsi="Arial" w:cs="Arial"/>
        </w:rPr>
        <w:t xml:space="preserve"> survey (DRS) has been planned in 2018-2019 by </w:t>
      </w:r>
      <w:proofErr w:type="gramStart"/>
      <w:r w:rsidR="00160ADD" w:rsidRPr="007221F5">
        <w:rPr>
          <w:rFonts w:ascii="Arial" w:hAnsi="Arial" w:cs="Arial"/>
        </w:rPr>
        <w:t>WHO</w:t>
      </w:r>
      <w:proofErr w:type="gramEnd"/>
      <w:r w:rsidR="00160ADD" w:rsidRPr="007221F5">
        <w:rPr>
          <w:rFonts w:ascii="Arial" w:hAnsi="Arial" w:cs="Arial"/>
        </w:rPr>
        <w:t>.</w:t>
      </w:r>
    </w:p>
    <w:p w14:paraId="35853454" w14:textId="386F806B" w:rsidR="00A21B48" w:rsidRPr="00D57C02" w:rsidRDefault="00A21B48" w:rsidP="00C90E61">
      <w:pPr>
        <w:pStyle w:val="yiv3812902274msonormal"/>
        <w:shd w:val="clear" w:color="auto" w:fill="FFFFFF"/>
        <w:spacing w:after="160" w:afterAutospacing="0"/>
        <w:jc w:val="both"/>
        <w:rPr>
          <w:rFonts w:ascii="Helvetica" w:hAnsi="Helvetica" w:cs="Helvetica"/>
          <w:sz w:val="22"/>
          <w:szCs w:val="22"/>
        </w:rPr>
      </w:pPr>
      <w:r w:rsidRPr="00D57C02">
        <w:rPr>
          <w:rFonts w:ascii="Arial" w:hAnsi="Arial" w:cs="Arial"/>
          <w:bCs/>
          <w:sz w:val="22"/>
          <w:szCs w:val="22"/>
        </w:rPr>
        <w:t>LHL International (LHLI) TB Foundation (Norway)</w:t>
      </w:r>
      <w:r w:rsidRPr="00D57C02">
        <w:rPr>
          <w:rFonts w:ascii="Arial" w:hAnsi="Arial" w:cs="Arial"/>
          <w:sz w:val="22"/>
          <w:szCs w:val="22"/>
        </w:rPr>
        <w:t> has invested in improv</w:t>
      </w:r>
      <w:r w:rsidR="00E36D85">
        <w:rPr>
          <w:rFonts w:ascii="Arial" w:hAnsi="Arial" w:cs="Arial"/>
          <w:sz w:val="22"/>
          <w:szCs w:val="22"/>
        </w:rPr>
        <w:t>ing</w:t>
      </w:r>
      <w:r w:rsidRPr="00D57C02">
        <w:rPr>
          <w:rFonts w:ascii="Arial" w:hAnsi="Arial" w:cs="Arial"/>
          <w:sz w:val="22"/>
          <w:szCs w:val="22"/>
        </w:rPr>
        <w:t xml:space="preserve"> the communication skills </w:t>
      </w:r>
      <w:r w:rsidR="00B46847">
        <w:rPr>
          <w:rFonts w:ascii="Arial" w:hAnsi="Arial" w:cs="Arial"/>
          <w:sz w:val="22"/>
          <w:szCs w:val="22"/>
        </w:rPr>
        <w:t xml:space="preserve">of health workers </w:t>
      </w:r>
      <w:r w:rsidRPr="00D57C02">
        <w:rPr>
          <w:rFonts w:ascii="Arial" w:hAnsi="Arial" w:cs="Arial"/>
          <w:sz w:val="22"/>
          <w:szCs w:val="22"/>
        </w:rPr>
        <w:t xml:space="preserve">which has created a respectful environment in treatment </w:t>
      </w:r>
      <w:proofErr w:type="spellStart"/>
      <w:r w:rsidRPr="00D57C02">
        <w:rPr>
          <w:rFonts w:ascii="Arial" w:hAnsi="Arial" w:cs="Arial"/>
          <w:sz w:val="22"/>
          <w:szCs w:val="22"/>
        </w:rPr>
        <w:t>centres</w:t>
      </w:r>
      <w:proofErr w:type="spellEnd"/>
      <w:r w:rsidR="00C90E61" w:rsidRPr="00D57C02">
        <w:rPr>
          <w:rFonts w:ascii="Arial" w:hAnsi="Arial" w:cs="Arial"/>
          <w:sz w:val="22"/>
          <w:szCs w:val="22"/>
        </w:rPr>
        <w:t>,</w:t>
      </w:r>
      <w:r w:rsidRPr="00D57C02">
        <w:rPr>
          <w:rFonts w:ascii="Arial" w:hAnsi="Arial" w:cs="Arial"/>
          <w:sz w:val="22"/>
          <w:szCs w:val="22"/>
        </w:rPr>
        <w:t xml:space="preserve"> particularly when stigma and discrimination still exists and staff attitude has been </w:t>
      </w:r>
      <w:r w:rsidR="007E669F" w:rsidRPr="00D57C02">
        <w:rPr>
          <w:rFonts w:ascii="Arial" w:hAnsi="Arial" w:cs="Arial"/>
          <w:sz w:val="22"/>
          <w:szCs w:val="22"/>
        </w:rPr>
        <w:t xml:space="preserve">widely </w:t>
      </w:r>
      <w:r w:rsidRPr="00D57C02">
        <w:rPr>
          <w:rFonts w:ascii="Arial" w:hAnsi="Arial" w:cs="Arial"/>
          <w:sz w:val="22"/>
          <w:szCs w:val="22"/>
        </w:rPr>
        <w:t xml:space="preserve">criticized. </w:t>
      </w:r>
      <w:r w:rsidR="00454F93">
        <w:rPr>
          <w:rFonts w:ascii="Arial" w:hAnsi="Arial" w:cs="Arial"/>
          <w:sz w:val="22"/>
          <w:szCs w:val="22"/>
        </w:rPr>
        <w:t xml:space="preserve">LHLI supported </w:t>
      </w:r>
      <w:r w:rsidR="00A1670F">
        <w:rPr>
          <w:rFonts w:ascii="Arial" w:hAnsi="Arial" w:cs="Arial"/>
          <w:sz w:val="22"/>
          <w:szCs w:val="22"/>
        </w:rPr>
        <w:t xml:space="preserve">the expansion of </w:t>
      </w:r>
      <w:r w:rsidR="003576DF">
        <w:rPr>
          <w:rFonts w:ascii="Helvetica" w:hAnsi="Helvetica" w:cs="Helvetica"/>
          <w:sz w:val="22"/>
          <w:szCs w:val="22"/>
        </w:rPr>
        <w:t>Community-based DOT (CB</w:t>
      </w:r>
      <w:r w:rsidR="00E87AD7">
        <w:rPr>
          <w:rFonts w:ascii="Helvetica" w:hAnsi="Helvetica" w:cs="Helvetica"/>
          <w:sz w:val="22"/>
          <w:szCs w:val="22"/>
        </w:rPr>
        <w:t>-</w:t>
      </w:r>
      <w:r w:rsidR="003576DF">
        <w:rPr>
          <w:rFonts w:ascii="Helvetica" w:hAnsi="Helvetica" w:cs="Helvetica"/>
          <w:sz w:val="22"/>
          <w:szCs w:val="22"/>
        </w:rPr>
        <w:t xml:space="preserve">DOT) in in 5 districts </w:t>
      </w:r>
      <w:r w:rsidR="00A1670F">
        <w:rPr>
          <w:rFonts w:ascii="Helvetica" w:hAnsi="Helvetica" w:cs="Helvetica"/>
          <w:sz w:val="22"/>
          <w:szCs w:val="22"/>
        </w:rPr>
        <w:t>in 2016-2017.</w:t>
      </w:r>
    </w:p>
    <w:p w14:paraId="3E71F228" w14:textId="110B0E9C" w:rsidR="00244DF1" w:rsidRPr="00D57C02" w:rsidRDefault="00A21B48" w:rsidP="00C90E61">
      <w:pPr>
        <w:pStyle w:val="yiv3812902274msonormal"/>
        <w:shd w:val="clear" w:color="auto" w:fill="FFFFFF"/>
        <w:spacing w:after="160" w:afterAutospacing="0"/>
        <w:jc w:val="both"/>
        <w:rPr>
          <w:rFonts w:ascii="Arial" w:hAnsi="Arial" w:cs="Arial"/>
          <w:sz w:val="22"/>
          <w:szCs w:val="22"/>
        </w:rPr>
      </w:pPr>
      <w:r w:rsidRPr="00D57C02">
        <w:rPr>
          <w:rFonts w:ascii="Arial" w:hAnsi="Arial" w:cs="Arial"/>
          <w:bCs/>
          <w:sz w:val="22"/>
          <w:szCs w:val="22"/>
        </w:rPr>
        <w:t>KNCV Tuberculosis Foundation</w:t>
      </w:r>
      <w:r w:rsidRPr="00D57C02">
        <w:rPr>
          <w:rFonts w:ascii="Arial" w:hAnsi="Arial" w:cs="Arial"/>
          <w:sz w:val="22"/>
          <w:szCs w:val="22"/>
        </w:rPr>
        <w:t> (The Netherlands</w:t>
      </w:r>
      <w:proofErr w:type="gramStart"/>
      <w:r w:rsidRPr="00D57C02">
        <w:rPr>
          <w:rFonts w:ascii="Arial" w:hAnsi="Arial" w:cs="Arial"/>
          <w:sz w:val="22"/>
          <w:szCs w:val="22"/>
        </w:rPr>
        <w:t>),</w:t>
      </w:r>
      <w:proofErr w:type="gramEnd"/>
      <w:r w:rsidRPr="00D57C02">
        <w:rPr>
          <w:rFonts w:ascii="Arial" w:hAnsi="Arial" w:cs="Arial"/>
          <w:sz w:val="22"/>
          <w:szCs w:val="22"/>
        </w:rPr>
        <w:t xml:space="preserve"> has provided an International Long Term Technical Advisor to support the effective implementation of Global Fund</w:t>
      </w:r>
      <w:r w:rsidR="00CE4D2B">
        <w:rPr>
          <w:rFonts w:ascii="Arial" w:hAnsi="Arial" w:cs="Arial"/>
          <w:sz w:val="22"/>
          <w:szCs w:val="22"/>
        </w:rPr>
        <w:t xml:space="preserve"> grant.</w:t>
      </w:r>
      <w:r w:rsidRPr="00D57C02">
        <w:rPr>
          <w:rFonts w:ascii="Arial" w:hAnsi="Arial" w:cs="Arial"/>
          <w:sz w:val="22"/>
          <w:szCs w:val="22"/>
        </w:rPr>
        <w:t xml:space="preserve"> </w:t>
      </w:r>
      <w:r w:rsidR="00C82060" w:rsidRPr="00D57C02">
        <w:rPr>
          <w:rFonts w:ascii="Arial" w:hAnsi="Arial" w:cs="Arial"/>
          <w:sz w:val="22"/>
          <w:szCs w:val="22"/>
        </w:rPr>
        <w:t xml:space="preserve">In </w:t>
      </w:r>
      <w:r w:rsidR="00FF1712" w:rsidRPr="00D57C02">
        <w:rPr>
          <w:rFonts w:ascii="Arial" w:hAnsi="Arial" w:cs="Arial"/>
          <w:sz w:val="22"/>
          <w:szCs w:val="22"/>
        </w:rPr>
        <w:t>2017</w:t>
      </w:r>
      <w:r w:rsidR="00C82060" w:rsidRPr="00D57C02">
        <w:rPr>
          <w:rFonts w:ascii="Arial" w:hAnsi="Arial" w:cs="Arial"/>
          <w:sz w:val="22"/>
          <w:szCs w:val="22"/>
        </w:rPr>
        <w:t xml:space="preserve">, KNCV </w:t>
      </w:r>
      <w:r w:rsidR="00860BE3" w:rsidRPr="00D57C02">
        <w:rPr>
          <w:rFonts w:ascii="Arial" w:hAnsi="Arial" w:cs="Arial"/>
          <w:sz w:val="22"/>
          <w:szCs w:val="22"/>
        </w:rPr>
        <w:t xml:space="preserve">and Save the Children </w:t>
      </w:r>
      <w:r w:rsidR="0090707F" w:rsidRPr="00D57C02">
        <w:rPr>
          <w:rFonts w:ascii="Arial" w:hAnsi="Arial" w:cs="Arial"/>
          <w:sz w:val="22"/>
          <w:szCs w:val="22"/>
        </w:rPr>
        <w:t xml:space="preserve">International (SCI) </w:t>
      </w:r>
      <w:r w:rsidR="00860BE3" w:rsidRPr="00D57C02">
        <w:rPr>
          <w:rFonts w:ascii="Arial" w:hAnsi="Arial" w:cs="Arial"/>
          <w:sz w:val="22"/>
          <w:szCs w:val="22"/>
        </w:rPr>
        <w:t xml:space="preserve">jointly </w:t>
      </w:r>
      <w:r w:rsidR="00FF1712" w:rsidRPr="00D57C02">
        <w:rPr>
          <w:rFonts w:ascii="Arial" w:hAnsi="Arial" w:cs="Arial"/>
          <w:sz w:val="22"/>
          <w:szCs w:val="22"/>
        </w:rPr>
        <w:t xml:space="preserve">conducted two major activities: </w:t>
      </w:r>
      <w:r w:rsidR="00FF1712" w:rsidRPr="00920DD6">
        <w:rPr>
          <w:rFonts w:ascii="Arial" w:hAnsi="Arial" w:cs="Arial"/>
          <w:b/>
          <w:sz w:val="22"/>
          <w:szCs w:val="22"/>
        </w:rPr>
        <w:t>(</w:t>
      </w:r>
      <w:proofErr w:type="spellStart"/>
      <w:r w:rsidR="00FF1712" w:rsidRPr="00920DD6">
        <w:rPr>
          <w:rFonts w:ascii="Arial" w:hAnsi="Arial" w:cs="Arial"/>
          <w:b/>
          <w:sz w:val="22"/>
          <w:szCs w:val="22"/>
        </w:rPr>
        <w:t>i</w:t>
      </w:r>
      <w:proofErr w:type="spellEnd"/>
      <w:r w:rsidR="00FF1712" w:rsidRPr="00920DD6">
        <w:rPr>
          <w:rFonts w:ascii="Arial" w:hAnsi="Arial" w:cs="Arial"/>
          <w:b/>
          <w:sz w:val="22"/>
          <w:szCs w:val="22"/>
        </w:rPr>
        <w:t>)</w:t>
      </w:r>
      <w:r w:rsidR="00FF1712" w:rsidRPr="00D57C02">
        <w:rPr>
          <w:rFonts w:ascii="Arial" w:hAnsi="Arial" w:cs="Arial"/>
          <w:sz w:val="22"/>
          <w:szCs w:val="22"/>
        </w:rPr>
        <w:t xml:space="preserve"> </w:t>
      </w:r>
      <w:r w:rsidR="00C82060" w:rsidRPr="00D57C02">
        <w:rPr>
          <w:rFonts w:ascii="Arial" w:hAnsi="Arial" w:cs="Arial"/>
          <w:sz w:val="22"/>
          <w:szCs w:val="22"/>
        </w:rPr>
        <w:t xml:space="preserve">a childhood TB assessment using benchmarking tools </w:t>
      </w:r>
      <w:r w:rsidR="00D562CD" w:rsidRPr="00D57C02">
        <w:rPr>
          <w:rFonts w:ascii="Arial" w:hAnsi="Arial" w:cs="Arial"/>
          <w:sz w:val="22"/>
          <w:szCs w:val="22"/>
        </w:rPr>
        <w:t>followed by the</w:t>
      </w:r>
      <w:r w:rsidR="00653063" w:rsidRPr="00D57C02">
        <w:rPr>
          <w:rFonts w:ascii="Arial" w:hAnsi="Arial" w:cs="Arial"/>
          <w:sz w:val="22"/>
          <w:szCs w:val="22"/>
        </w:rPr>
        <w:t xml:space="preserve"> develop</w:t>
      </w:r>
      <w:r w:rsidR="00D562CD" w:rsidRPr="00D57C02">
        <w:rPr>
          <w:rFonts w:ascii="Arial" w:hAnsi="Arial" w:cs="Arial"/>
          <w:sz w:val="22"/>
          <w:szCs w:val="22"/>
        </w:rPr>
        <w:t>ment of the</w:t>
      </w:r>
      <w:r w:rsidR="00653063" w:rsidRPr="00D57C02">
        <w:rPr>
          <w:rFonts w:ascii="Arial" w:hAnsi="Arial" w:cs="Arial"/>
          <w:sz w:val="22"/>
          <w:szCs w:val="22"/>
        </w:rPr>
        <w:t xml:space="preserve"> strategy, guidelines </w:t>
      </w:r>
      <w:r w:rsidR="00C82060" w:rsidRPr="00D57C02">
        <w:rPr>
          <w:rFonts w:ascii="Arial" w:hAnsi="Arial" w:cs="Arial"/>
          <w:sz w:val="22"/>
          <w:szCs w:val="22"/>
        </w:rPr>
        <w:t xml:space="preserve">and </w:t>
      </w:r>
      <w:r w:rsidR="00653063" w:rsidRPr="00D57C02">
        <w:rPr>
          <w:rFonts w:ascii="Arial" w:hAnsi="Arial" w:cs="Arial"/>
          <w:sz w:val="22"/>
          <w:szCs w:val="22"/>
        </w:rPr>
        <w:t>t</w:t>
      </w:r>
      <w:r w:rsidR="00FF1712" w:rsidRPr="00D57C02">
        <w:rPr>
          <w:rFonts w:ascii="Arial" w:hAnsi="Arial" w:cs="Arial"/>
          <w:sz w:val="22"/>
          <w:szCs w:val="22"/>
        </w:rPr>
        <w:t xml:space="preserve">raining module for Childhood TB and </w:t>
      </w:r>
      <w:r w:rsidR="00FF1712" w:rsidRPr="00920DD6">
        <w:rPr>
          <w:rFonts w:ascii="Arial" w:hAnsi="Arial" w:cs="Arial"/>
          <w:b/>
          <w:sz w:val="22"/>
          <w:szCs w:val="22"/>
        </w:rPr>
        <w:t>(ii)</w:t>
      </w:r>
      <w:r w:rsidR="00FF1712" w:rsidRPr="00D57C02">
        <w:rPr>
          <w:rFonts w:ascii="Arial" w:hAnsi="Arial" w:cs="Arial"/>
          <w:sz w:val="22"/>
          <w:szCs w:val="22"/>
        </w:rPr>
        <w:t xml:space="preserve"> </w:t>
      </w:r>
      <w:r w:rsidR="00653063" w:rsidRPr="00D57C02">
        <w:rPr>
          <w:rFonts w:ascii="Arial" w:hAnsi="Arial" w:cs="Arial"/>
          <w:sz w:val="22"/>
          <w:szCs w:val="22"/>
        </w:rPr>
        <w:t>develop</w:t>
      </w:r>
      <w:r w:rsidR="00D562CD" w:rsidRPr="00D57C02">
        <w:rPr>
          <w:rFonts w:ascii="Arial" w:hAnsi="Arial" w:cs="Arial"/>
          <w:sz w:val="22"/>
          <w:szCs w:val="22"/>
        </w:rPr>
        <w:t>ment of the</w:t>
      </w:r>
      <w:r w:rsidR="00653063" w:rsidRPr="00D57C02">
        <w:rPr>
          <w:rFonts w:ascii="Arial" w:hAnsi="Arial" w:cs="Arial"/>
          <w:sz w:val="22"/>
          <w:szCs w:val="22"/>
        </w:rPr>
        <w:t xml:space="preserve"> PPM strategy and guidelines</w:t>
      </w:r>
      <w:r w:rsidR="00D562CD" w:rsidRPr="00D57C02">
        <w:rPr>
          <w:rFonts w:ascii="Arial" w:hAnsi="Arial" w:cs="Arial"/>
          <w:sz w:val="22"/>
          <w:szCs w:val="22"/>
        </w:rPr>
        <w:t>; implementation of both are critical for the NTP</w:t>
      </w:r>
      <w:r w:rsidR="00CE4D2B">
        <w:rPr>
          <w:rFonts w:ascii="Arial" w:hAnsi="Arial" w:cs="Arial"/>
          <w:sz w:val="22"/>
          <w:szCs w:val="22"/>
        </w:rPr>
        <w:t>.</w:t>
      </w:r>
      <w:r w:rsidR="00C82060" w:rsidRPr="00D57C02">
        <w:rPr>
          <w:rFonts w:ascii="Arial" w:hAnsi="Arial" w:cs="Arial"/>
          <w:sz w:val="22"/>
          <w:szCs w:val="22"/>
        </w:rPr>
        <w:t> </w:t>
      </w:r>
    </w:p>
    <w:p w14:paraId="5853CFE2" w14:textId="44ACE35F" w:rsidR="0020772C" w:rsidRDefault="00B20FD1" w:rsidP="008F1ED8">
      <w:pPr>
        <w:pStyle w:val="yiv3812902274msonormal"/>
        <w:shd w:val="clear" w:color="auto" w:fill="FFFFFF"/>
        <w:spacing w:after="160" w:afterAutospacing="0"/>
        <w:jc w:val="both"/>
        <w:rPr>
          <w:rFonts w:ascii="Arial" w:hAnsi="Arial" w:cs="Arial"/>
          <w:sz w:val="22"/>
          <w:szCs w:val="22"/>
        </w:rPr>
      </w:pPr>
      <w:proofErr w:type="spellStart"/>
      <w:r w:rsidRPr="008F1ED8">
        <w:rPr>
          <w:rFonts w:ascii="Arial" w:hAnsi="Arial" w:cs="Arial"/>
          <w:sz w:val="22"/>
          <w:szCs w:val="22"/>
        </w:rPr>
        <w:t>Kuratorium</w:t>
      </w:r>
      <w:proofErr w:type="spellEnd"/>
      <w:r w:rsidRPr="008F1ED8">
        <w:rPr>
          <w:rFonts w:ascii="Arial" w:hAnsi="Arial" w:cs="Arial"/>
          <w:sz w:val="22"/>
          <w:szCs w:val="22"/>
        </w:rPr>
        <w:t xml:space="preserve"> </w:t>
      </w:r>
      <w:proofErr w:type="spellStart"/>
      <w:r w:rsidRPr="008F1ED8">
        <w:rPr>
          <w:rFonts w:ascii="Arial" w:hAnsi="Arial" w:cs="Arial"/>
          <w:sz w:val="22"/>
          <w:szCs w:val="22"/>
        </w:rPr>
        <w:t>Tuberkulose</w:t>
      </w:r>
      <w:proofErr w:type="spellEnd"/>
      <w:r w:rsidRPr="008F1ED8">
        <w:rPr>
          <w:rFonts w:ascii="Arial" w:hAnsi="Arial" w:cs="Arial"/>
          <w:sz w:val="22"/>
          <w:szCs w:val="22"/>
        </w:rPr>
        <w:t xml:space="preserve"> in der Welt (</w:t>
      </w:r>
      <w:r w:rsidR="000C5325" w:rsidRPr="008F1ED8">
        <w:rPr>
          <w:rFonts w:ascii="Arial" w:hAnsi="Arial" w:cs="Arial"/>
          <w:sz w:val="22"/>
          <w:szCs w:val="22"/>
        </w:rPr>
        <w:t>KTW</w:t>
      </w:r>
      <w:r w:rsidRPr="008F1ED8">
        <w:rPr>
          <w:rFonts w:ascii="Arial" w:hAnsi="Arial" w:cs="Arial"/>
          <w:sz w:val="22"/>
          <w:szCs w:val="22"/>
        </w:rPr>
        <w:t>)</w:t>
      </w:r>
      <w:r w:rsidR="000C5325" w:rsidRPr="008F1ED8">
        <w:rPr>
          <w:rFonts w:ascii="Arial" w:hAnsi="Arial" w:cs="Arial"/>
          <w:sz w:val="22"/>
          <w:szCs w:val="22"/>
        </w:rPr>
        <w:t xml:space="preserve">, </w:t>
      </w:r>
      <w:r w:rsidR="004876EA" w:rsidRPr="008F1ED8">
        <w:rPr>
          <w:rFonts w:ascii="Arial" w:hAnsi="Arial" w:cs="Arial"/>
          <w:sz w:val="22"/>
          <w:szCs w:val="22"/>
        </w:rPr>
        <w:t>a</w:t>
      </w:r>
      <w:r w:rsidR="000C5325" w:rsidRPr="008F1ED8">
        <w:rPr>
          <w:rFonts w:ascii="Arial" w:hAnsi="Arial" w:cs="Arial"/>
          <w:sz w:val="22"/>
          <w:szCs w:val="22"/>
        </w:rPr>
        <w:t xml:space="preserve"> humanitarian NGO </w:t>
      </w:r>
      <w:r w:rsidR="00F970BB">
        <w:rPr>
          <w:rFonts w:ascii="Arial" w:hAnsi="Arial" w:cs="Arial"/>
          <w:sz w:val="22"/>
          <w:szCs w:val="22"/>
        </w:rPr>
        <w:t xml:space="preserve">from Germany, </w:t>
      </w:r>
      <w:r w:rsidR="00A93729" w:rsidRPr="008F1ED8">
        <w:rPr>
          <w:rFonts w:ascii="Arial" w:hAnsi="Arial" w:cs="Arial"/>
          <w:sz w:val="22"/>
          <w:szCs w:val="22"/>
        </w:rPr>
        <w:t>associated with</w:t>
      </w:r>
      <w:r w:rsidR="000C5325" w:rsidRPr="008F1ED8">
        <w:rPr>
          <w:rFonts w:ascii="Arial" w:hAnsi="Arial" w:cs="Arial"/>
          <w:sz w:val="22"/>
          <w:szCs w:val="22"/>
        </w:rPr>
        <w:t xml:space="preserve"> the WHO Supranational Reference Laboratory </w:t>
      </w:r>
      <w:r w:rsidR="00244F19" w:rsidRPr="008F1ED8">
        <w:rPr>
          <w:rFonts w:ascii="Arial" w:hAnsi="Arial" w:cs="Arial"/>
          <w:sz w:val="22"/>
          <w:szCs w:val="22"/>
        </w:rPr>
        <w:t xml:space="preserve">(SRL) </w:t>
      </w:r>
      <w:r w:rsidR="00B46AB7">
        <w:rPr>
          <w:rFonts w:ascii="Arial" w:hAnsi="Arial" w:cs="Arial"/>
          <w:sz w:val="22"/>
          <w:szCs w:val="22"/>
        </w:rPr>
        <w:t>for</w:t>
      </w:r>
      <w:r w:rsidR="000C5325" w:rsidRPr="008F1ED8">
        <w:rPr>
          <w:rFonts w:ascii="Arial" w:hAnsi="Arial" w:cs="Arial"/>
          <w:sz w:val="22"/>
          <w:szCs w:val="22"/>
        </w:rPr>
        <w:t xml:space="preserve"> </w:t>
      </w:r>
      <w:r w:rsidR="00244F19" w:rsidRPr="008F1ED8">
        <w:rPr>
          <w:rFonts w:ascii="Arial" w:hAnsi="Arial" w:cs="Arial"/>
          <w:sz w:val="22"/>
          <w:szCs w:val="22"/>
        </w:rPr>
        <w:t>TB</w:t>
      </w:r>
      <w:r w:rsidR="000C5325" w:rsidRPr="008F1ED8">
        <w:rPr>
          <w:rFonts w:ascii="Arial" w:hAnsi="Arial" w:cs="Arial"/>
          <w:sz w:val="22"/>
          <w:szCs w:val="22"/>
        </w:rPr>
        <w:t xml:space="preserve"> in Munich-</w:t>
      </w:r>
      <w:proofErr w:type="spellStart"/>
      <w:r w:rsidR="000C5325" w:rsidRPr="008F1ED8">
        <w:rPr>
          <w:rFonts w:ascii="Arial" w:hAnsi="Arial" w:cs="Arial"/>
          <w:sz w:val="22"/>
          <w:szCs w:val="22"/>
        </w:rPr>
        <w:t>Gauting</w:t>
      </w:r>
      <w:proofErr w:type="spellEnd"/>
      <w:r w:rsidR="00244F19" w:rsidRPr="008F1ED8">
        <w:rPr>
          <w:rFonts w:ascii="Arial" w:hAnsi="Arial" w:cs="Arial"/>
          <w:sz w:val="22"/>
          <w:szCs w:val="22"/>
        </w:rPr>
        <w:t>,</w:t>
      </w:r>
      <w:r w:rsidR="004876EA" w:rsidRPr="008F1ED8">
        <w:rPr>
          <w:rFonts w:ascii="Arial" w:hAnsi="Arial" w:cs="Arial"/>
          <w:sz w:val="22"/>
          <w:szCs w:val="22"/>
        </w:rPr>
        <w:t xml:space="preserve"> </w:t>
      </w:r>
      <w:r w:rsidR="00C52BD5">
        <w:rPr>
          <w:rFonts w:ascii="Arial" w:hAnsi="Arial" w:cs="Arial"/>
          <w:sz w:val="22"/>
          <w:szCs w:val="22"/>
        </w:rPr>
        <w:t xml:space="preserve">periodically </w:t>
      </w:r>
      <w:r w:rsidR="004876EA" w:rsidRPr="008F1ED8">
        <w:rPr>
          <w:rFonts w:ascii="Arial" w:hAnsi="Arial" w:cs="Arial"/>
          <w:sz w:val="22"/>
          <w:szCs w:val="22"/>
        </w:rPr>
        <w:t xml:space="preserve">provides technical and financial support to </w:t>
      </w:r>
      <w:r w:rsidR="00A93729" w:rsidRPr="008F1ED8">
        <w:rPr>
          <w:rFonts w:ascii="Arial" w:hAnsi="Arial" w:cs="Arial"/>
          <w:sz w:val="22"/>
          <w:szCs w:val="22"/>
        </w:rPr>
        <w:t xml:space="preserve">the </w:t>
      </w:r>
      <w:r w:rsidR="004876EA" w:rsidRPr="008F1ED8">
        <w:rPr>
          <w:rFonts w:ascii="Arial" w:hAnsi="Arial" w:cs="Arial"/>
          <w:sz w:val="22"/>
          <w:szCs w:val="22"/>
        </w:rPr>
        <w:t>German Nepal Tuberculosis Project</w:t>
      </w:r>
      <w:r w:rsidR="00A93729" w:rsidRPr="008F1ED8">
        <w:rPr>
          <w:rFonts w:ascii="Arial" w:hAnsi="Arial" w:cs="Arial"/>
          <w:sz w:val="22"/>
          <w:szCs w:val="22"/>
        </w:rPr>
        <w:t xml:space="preserve"> (Genetup</w:t>
      </w:r>
      <w:r w:rsidR="004876EA" w:rsidRPr="008F1ED8">
        <w:rPr>
          <w:rFonts w:ascii="Arial" w:hAnsi="Arial" w:cs="Arial"/>
          <w:sz w:val="22"/>
          <w:szCs w:val="22"/>
        </w:rPr>
        <w:t>)</w:t>
      </w:r>
      <w:r w:rsidR="00D565E3" w:rsidRPr="008F1ED8">
        <w:rPr>
          <w:rFonts w:ascii="Arial" w:hAnsi="Arial" w:cs="Arial"/>
          <w:sz w:val="22"/>
          <w:szCs w:val="22"/>
        </w:rPr>
        <w:t xml:space="preserve"> which </w:t>
      </w:r>
      <w:r w:rsidR="004876EA" w:rsidRPr="008F1ED8">
        <w:rPr>
          <w:rFonts w:ascii="Arial" w:hAnsi="Arial" w:cs="Arial"/>
          <w:sz w:val="22"/>
          <w:szCs w:val="22"/>
        </w:rPr>
        <w:t xml:space="preserve">is closely linked to the NTC </w:t>
      </w:r>
      <w:r w:rsidR="00244F19" w:rsidRPr="008F1ED8">
        <w:rPr>
          <w:rFonts w:ascii="Arial" w:hAnsi="Arial" w:cs="Arial"/>
          <w:sz w:val="22"/>
          <w:szCs w:val="22"/>
        </w:rPr>
        <w:t xml:space="preserve">being one </w:t>
      </w:r>
      <w:proofErr w:type="gramStart"/>
      <w:r w:rsidR="00244F19" w:rsidRPr="008F1ED8">
        <w:rPr>
          <w:rFonts w:ascii="Arial" w:hAnsi="Arial" w:cs="Arial"/>
          <w:sz w:val="22"/>
          <w:szCs w:val="22"/>
        </w:rPr>
        <w:t xml:space="preserve">of the two </w:t>
      </w:r>
      <w:r w:rsidR="00D565E3" w:rsidRPr="008F1ED8">
        <w:rPr>
          <w:rFonts w:ascii="Arial" w:hAnsi="Arial" w:cs="Arial"/>
          <w:sz w:val="22"/>
          <w:szCs w:val="22"/>
        </w:rPr>
        <w:t>N</w:t>
      </w:r>
      <w:r w:rsidR="004876EA" w:rsidRPr="008F1ED8">
        <w:rPr>
          <w:rFonts w:ascii="Arial" w:hAnsi="Arial" w:cs="Arial"/>
          <w:sz w:val="22"/>
          <w:szCs w:val="22"/>
        </w:rPr>
        <w:t xml:space="preserve">ational </w:t>
      </w:r>
      <w:r w:rsidR="00247C83">
        <w:rPr>
          <w:rFonts w:ascii="Arial" w:hAnsi="Arial" w:cs="Arial"/>
          <w:sz w:val="22"/>
          <w:szCs w:val="22"/>
        </w:rPr>
        <w:t xml:space="preserve">TB </w:t>
      </w:r>
      <w:r w:rsidR="004876EA" w:rsidRPr="008F1ED8">
        <w:rPr>
          <w:rFonts w:ascii="Arial" w:hAnsi="Arial" w:cs="Arial"/>
          <w:sz w:val="22"/>
          <w:szCs w:val="22"/>
        </w:rPr>
        <w:t>Reference Laborator</w:t>
      </w:r>
      <w:r w:rsidR="00244F19" w:rsidRPr="008F1ED8">
        <w:rPr>
          <w:rFonts w:ascii="Arial" w:hAnsi="Arial" w:cs="Arial"/>
          <w:sz w:val="22"/>
          <w:szCs w:val="22"/>
        </w:rPr>
        <w:t xml:space="preserve">ies </w:t>
      </w:r>
      <w:r w:rsidR="00D565E3" w:rsidRPr="008F1ED8">
        <w:rPr>
          <w:rFonts w:ascii="Arial" w:hAnsi="Arial" w:cs="Arial"/>
          <w:sz w:val="22"/>
          <w:szCs w:val="22"/>
        </w:rPr>
        <w:t>(</w:t>
      </w:r>
      <w:r w:rsidR="004876EA" w:rsidRPr="008F1ED8">
        <w:rPr>
          <w:rFonts w:ascii="Arial" w:hAnsi="Arial" w:cs="Arial"/>
          <w:sz w:val="22"/>
          <w:szCs w:val="22"/>
        </w:rPr>
        <w:t>NRL</w:t>
      </w:r>
      <w:r w:rsidR="00D565E3" w:rsidRPr="008F1ED8">
        <w:rPr>
          <w:rFonts w:ascii="Arial" w:hAnsi="Arial" w:cs="Arial"/>
          <w:sz w:val="22"/>
          <w:szCs w:val="22"/>
        </w:rPr>
        <w:t>)</w:t>
      </w:r>
      <w:proofErr w:type="gramEnd"/>
      <w:r w:rsidR="00D565E3" w:rsidRPr="008F1ED8">
        <w:rPr>
          <w:rFonts w:ascii="Arial" w:hAnsi="Arial" w:cs="Arial"/>
          <w:sz w:val="22"/>
          <w:szCs w:val="22"/>
        </w:rPr>
        <w:t xml:space="preserve">. </w:t>
      </w:r>
      <w:r w:rsidR="00D612CC">
        <w:rPr>
          <w:rFonts w:ascii="Arial" w:hAnsi="Arial" w:cs="Arial"/>
          <w:sz w:val="22"/>
          <w:szCs w:val="22"/>
        </w:rPr>
        <w:t>Recent assessment has provided guidance and direction for strengthening the NRL to shift gears and perform better</w:t>
      </w:r>
      <w:r w:rsidR="00466B21">
        <w:rPr>
          <w:rFonts w:ascii="Arial" w:hAnsi="Arial" w:cs="Arial"/>
          <w:sz w:val="22"/>
          <w:szCs w:val="22"/>
        </w:rPr>
        <w:t xml:space="preserve"> (</w:t>
      </w:r>
      <w:r w:rsidR="00466B21" w:rsidRPr="00466B21">
        <w:rPr>
          <w:rFonts w:ascii="Arial" w:hAnsi="Arial" w:cs="Arial"/>
          <w:i/>
          <w:sz w:val="22"/>
          <w:szCs w:val="22"/>
        </w:rPr>
        <w:t>Annex 23, p13-14</w:t>
      </w:r>
      <w:r w:rsidR="00466B21">
        <w:rPr>
          <w:rFonts w:ascii="Arial" w:hAnsi="Arial" w:cs="Arial"/>
          <w:sz w:val="22"/>
          <w:szCs w:val="22"/>
        </w:rPr>
        <w:t>)</w:t>
      </w:r>
      <w:r w:rsidR="00D612CC">
        <w:rPr>
          <w:rFonts w:ascii="Arial" w:hAnsi="Arial" w:cs="Arial"/>
          <w:sz w:val="22"/>
          <w:szCs w:val="22"/>
        </w:rPr>
        <w:t>.</w:t>
      </w:r>
    </w:p>
    <w:p w14:paraId="6FBB1107" w14:textId="031F477B" w:rsidR="008A3624" w:rsidRDefault="008A3624" w:rsidP="008C6096">
      <w:pPr>
        <w:pStyle w:val="yiv3812902274msonormal"/>
        <w:shd w:val="clear" w:color="auto" w:fill="FFFFFF"/>
        <w:spacing w:after="160" w:afterAutospacing="0"/>
        <w:jc w:val="center"/>
        <w:rPr>
          <w:rFonts w:ascii="Arial" w:hAnsi="Arial" w:cs="Arial"/>
          <w:sz w:val="22"/>
          <w:szCs w:val="22"/>
        </w:rPr>
      </w:pPr>
    </w:p>
    <w:p w14:paraId="6205F267" w14:textId="525B19A9" w:rsidR="00E23956" w:rsidRDefault="00E23956" w:rsidP="008C6096">
      <w:pPr>
        <w:pStyle w:val="yiv3812902274msonormal"/>
        <w:shd w:val="clear" w:color="auto" w:fill="FFFFFF"/>
        <w:spacing w:after="160" w:afterAutospacing="0"/>
        <w:jc w:val="center"/>
        <w:rPr>
          <w:rFonts w:ascii="Arial" w:hAnsi="Arial" w:cs="Arial"/>
          <w:sz w:val="22"/>
          <w:szCs w:val="22"/>
        </w:rPr>
      </w:pPr>
    </w:p>
    <w:p w14:paraId="0BF45259" w14:textId="5DCB876F" w:rsidR="00E23956" w:rsidRDefault="00E23956" w:rsidP="008C6096">
      <w:pPr>
        <w:pStyle w:val="yiv3812902274msonormal"/>
        <w:shd w:val="clear" w:color="auto" w:fill="FFFFFF"/>
        <w:spacing w:after="160" w:afterAutospacing="0"/>
        <w:jc w:val="center"/>
        <w:rPr>
          <w:rFonts w:ascii="Arial" w:hAnsi="Arial" w:cs="Arial"/>
          <w:sz w:val="22"/>
          <w:szCs w:val="22"/>
        </w:rPr>
      </w:pPr>
    </w:p>
    <w:p w14:paraId="6417A150" w14:textId="66E8F904" w:rsidR="00E23956" w:rsidRDefault="00E23956" w:rsidP="008C6096">
      <w:pPr>
        <w:pStyle w:val="yiv3812902274msonormal"/>
        <w:shd w:val="clear" w:color="auto" w:fill="FFFFFF"/>
        <w:spacing w:after="160" w:afterAutospacing="0"/>
        <w:jc w:val="center"/>
        <w:rPr>
          <w:rFonts w:ascii="Arial" w:hAnsi="Arial" w:cs="Arial"/>
          <w:sz w:val="22"/>
          <w:szCs w:val="22"/>
        </w:rPr>
      </w:pPr>
    </w:p>
    <w:p w14:paraId="12A5F1A9" w14:textId="42E63A0A" w:rsidR="00E23956" w:rsidRDefault="00E23956" w:rsidP="008C6096">
      <w:pPr>
        <w:pStyle w:val="yiv3812902274msonormal"/>
        <w:shd w:val="clear" w:color="auto" w:fill="FFFFFF"/>
        <w:spacing w:after="160" w:afterAutospacing="0"/>
        <w:jc w:val="center"/>
        <w:rPr>
          <w:rFonts w:ascii="Arial" w:hAnsi="Arial" w:cs="Arial"/>
          <w:sz w:val="22"/>
          <w:szCs w:val="22"/>
        </w:rPr>
      </w:pPr>
    </w:p>
    <w:p w14:paraId="154D7750" w14:textId="65509B3D" w:rsidR="00E23956" w:rsidRDefault="00E23956" w:rsidP="008C6096">
      <w:pPr>
        <w:pStyle w:val="yiv3812902274msonormal"/>
        <w:shd w:val="clear" w:color="auto" w:fill="FFFFFF"/>
        <w:spacing w:after="160" w:afterAutospacing="0"/>
        <w:jc w:val="center"/>
        <w:rPr>
          <w:rFonts w:ascii="Arial" w:hAnsi="Arial" w:cs="Arial"/>
          <w:sz w:val="22"/>
          <w:szCs w:val="22"/>
        </w:rPr>
      </w:pPr>
    </w:p>
    <w:p w14:paraId="60606F77" w14:textId="0B98A9C2" w:rsidR="00E23956" w:rsidRDefault="00E23956" w:rsidP="008C6096">
      <w:pPr>
        <w:pStyle w:val="yiv3812902274msonormal"/>
        <w:shd w:val="clear" w:color="auto" w:fill="FFFFFF"/>
        <w:spacing w:after="160" w:afterAutospacing="0"/>
        <w:jc w:val="center"/>
        <w:rPr>
          <w:rFonts w:ascii="Arial" w:hAnsi="Arial" w:cs="Arial"/>
          <w:sz w:val="22"/>
          <w:szCs w:val="22"/>
        </w:rPr>
      </w:pPr>
    </w:p>
    <w:p w14:paraId="7AB526FA" w14:textId="1D3ED507" w:rsidR="00E23956" w:rsidRDefault="00E23956" w:rsidP="008C6096">
      <w:pPr>
        <w:pStyle w:val="yiv3812902274msonormal"/>
        <w:shd w:val="clear" w:color="auto" w:fill="FFFFFF"/>
        <w:spacing w:after="160" w:afterAutospacing="0"/>
        <w:jc w:val="center"/>
        <w:rPr>
          <w:rFonts w:ascii="Arial" w:hAnsi="Arial" w:cs="Arial"/>
          <w:sz w:val="22"/>
          <w:szCs w:val="22"/>
        </w:rPr>
      </w:pPr>
    </w:p>
    <w:p w14:paraId="0E7F3FD1" w14:textId="17E09D2F" w:rsidR="00E23956" w:rsidRDefault="00E23956" w:rsidP="008C6096">
      <w:pPr>
        <w:pStyle w:val="yiv3812902274msonormal"/>
        <w:shd w:val="clear" w:color="auto" w:fill="FFFFFF"/>
        <w:spacing w:after="160" w:afterAutospacing="0"/>
        <w:jc w:val="center"/>
        <w:rPr>
          <w:rFonts w:ascii="Arial" w:hAnsi="Arial" w:cs="Arial"/>
          <w:sz w:val="22"/>
          <w:szCs w:val="22"/>
        </w:rPr>
      </w:pPr>
    </w:p>
    <w:p w14:paraId="1EFAD138" w14:textId="20700C7A" w:rsidR="00E23956" w:rsidRDefault="00E23956" w:rsidP="008C6096">
      <w:pPr>
        <w:pStyle w:val="yiv3812902274msonormal"/>
        <w:shd w:val="clear" w:color="auto" w:fill="FFFFFF"/>
        <w:spacing w:after="160" w:afterAutospacing="0"/>
        <w:jc w:val="center"/>
        <w:rPr>
          <w:rFonts w:ascii="Arial" w:hAnsi="Arial" w:cs="Arial"/>
          <w:sz w:val="22"/>
          <w:szCs w:val="22"/>
        </w:rPr>
      </w:pPr>
    </w:p>
    <w:p w14:paraId="059B613E" w14:textId="3DA2FB13" w:rsidR="00E23956" w:rsidRDefault="00E23956" w:rsidP="00CE4B21">
      <w:pPr>
        <w:pStyle w:val="yiv3812902274msonormal"/>
        <w:shd w:val="clear" w:color="auto" w:fill="FFFFFF"/>
        <w:spacing w:after="160" w:afterAutospacing="0"/>
        <w:jc w:val="center"/>
        <w:rPr>
          <w:rFonts w:ascii="Arial" w:hAnsi="Arial" w:cs="Arial"/>
          <w:sz w:val="22"/>
          <w:szCs w:val="22"/>
        </w:rPr>
      </w:pPr>
    </w:p>
    <w:p w14:paraId="000E3955" w14:textId="77777777" w:rsidR="00B90676" w:rsidRDefault="00B90676" w:rsidP="008C6096">
      <w:pPr>
        <w:pStyle w:val="yiv3812902274msonormal"/>
        <w:shd w:val="clear" w:color="auto" w:fill="FFFFFF"/>
        <w:spacing w:after="160" w:afterAutospacing="0"/>
        <w:jc w:val="center"/>
        <w:rPr>
          <w:rFonts w:ascii="Arial" w:hAnsi="Arial" w:cs="Arial"/>
          <w:sz w:val="22"/>
          <w:szCs w:val="22"/>
        </w:rPr>
        <w:sectPr w:rsidR="00B90676" w:rsidSect="009E6D97">
          <w:pgSz w:w="11906" w:h="16838"/>
          <w:pgMar w:top="1440" w:right="1440" w:bottom="1440" w:left="1440" w:header="706" w:footer="706" w:gutter="0"/>
          <w:cols w:space="708"/>
          <w:docGrid w:linePitch="360"/>
        </w:sectPr>
      </w:pPr>
    </w:p>
    <w:tbl>
      <w:tblPr>
        <w:tblW w:w="8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960"/>
      </w:tblGrid>
      <w:tr w:rsidR="004668BC" w:rsidRPr="004668BC" w14:paraId="5D0B8AE9" w14:textId="77777777" w:rsidTr="00401EBB">
        <w:trPr>
          <w:trHeight w:val="332"/>
          <w:jc w:val="center"/>
        </w:trPr>
        <w:tc>
          <w:tcPr>
            <w:tcW w:w="8960" w:type="dxa"/>
            <w:shd w:val="clear" w:color="auto" w:fill="1F497D"/>
          </w:tcPr>
          <w:p w14:paraId="5D0B8AE8" w14:textId="756B008E" w:rsidR="00042DCA" w:rsidRPr="004668BC" w:rsidRDefault="008F1ED8" w:rsidP="00042DCA">
            <w:pPr>
              <w:spacing w:before="120" w:after="120" w:line="240" w:lineRule="auto"/>
              <w:jc w:val="both"/>
              <w:rPr>
                <w:rFonts w:ascii="Arial" w:eastAsia="Calibri" w:hAnsi="Arial" w:cs="Arial"/>
                <w:bCs/>
                <w:color w:val="FFFFFF" w:themeColor="background1"/>
                <w:sz w:val="20"/>
                <w:szCs w:val="20"/>
                <w:lang w:val="en-US"/>
              </w:rPr>
            </w:pPr>
            <w:r>
              <w:rPr>
                <w:rFonts w:ascii="Arial" w:hAnsi="Arial" w:cs="Arial"/>
              </w:rPr>
              <w:lastRenderedPageBreak/>
              <w:t xml:space="preserve">      </w:t>
            </w:r>
            <w:r w:rsidR="00042DCA" w:rsidRPr="004668BC">
              <w:rPr>
                <w:rFonts w:ascii="Arial" w:eastAsia="Calibri" w:hAnsi="Arial" w:cs="Arial"/>
                <w:b/>
                <w:bCs/>
                <w:color w:val="FFFFFF" w:themeColor="background1"/>
                <w:sz w:val="20"/>
                <w:szCs w:val="20"/>
                <w:lang w:val="en-US"/>
              </w:rPr>
              <w:t>SECTION 2: FUNDING REQUEST</w:t>
            </w:r>
            <w:r w:rsidR="00142F1D" w:rsidRPr="004668BC">
              <w:rPr>
                <w:rFonts w:ascii="Arial" w:eastAsia="Calibri" w:hAnsi="Arial" w:cs="Arial"/>
                <w:b/>
                <w:bCs/>
                <w:color w:val="FFFFFF" w:themeColor="background1"/>
                <w:sz w:val="20"/>
                <w:szCs w:val="20"/>
                <w:lang w:val="en-US"/>
              </w:rPr>
              <w:t xml:space="preserve"> (Within Allocation)</w:t>
            </w:r>
          </w:p>
        </w:tc>
      </w:tr>
      <w:tr w:rsidR="00042DCA" w:rsidRPr="00D57C02" w14:paraId="5D0B8AED" w14:textId="77777777" w:rsidTr="00401EBB">
        <w:trPr>
          <w:trHeight w:val="332"/>
          <w:jc w:val="center"/>
        </w:trPr>
        <w:tc>
          <w:tcPr>
            <w:tcW w:w="8960" w:type="dxa"/>
            <w:shd w:val="clear" w:color="auto" w:fill="F2F2F2" w:themeFill="background1" w:themeFillShade="F2"/>
          </w:tcPr>
          <w:p w14:paraId="0E67B2EA" w14:textId="64DF9759" w:rsidR="00DF1CDD" w:rsidRPr="00D57C02" w:rsidRDefault="007A704C" w:rsidP="00DF1CDD">
            <w:pPr>
              <w:keepNext/>
              <w:keepLines/>
              <w:spacing w:before="120" w:after="120" w:line="240" w:lineRule="auto"/>
              <w:jc w:val="both"/>
              <w:rPr>
                <w:rFonts w:ascii="Arial" w:eastAsia="Calibri" w:hAnsi="Arial" w:cs="Arial"/>
                <w:bCs/>
                <w:iCs/>
                <w:sz w:val="20"/>
                <w:szCs w:val="20"/>
                <w:lang w:val="en-US"/>
              </w:rPr>
            </w:pPr>
            <w:r w:rsidRPr="00D57C02">
              <w:rPr>
                <w:rFonts w:ascii="Arial" w:eastAsia="Calibri" w:hAnsi="Arial" w:cs="Arial"/>
                <w:bCs/>
                <w:iCs/>
                <w:sz w:val="20"/>
                <w:szCs w:val="20"/>
                <w:lang w:val="en-US"/>
              </w:rPr>
              <w:t xml:space="preserve">This section should </w:t>
            </w:r>
            <w:r w:rsidR="00CC0842" w:rsidRPr="00D57C02">
              <w:rPr>
                <w:rFonts w:ascii="Arial" w:eastAsia="Calibri" w:hAnsi="Arial" w:cs="Arial"/>
                <w:bCs/>
                <w:iCs/>
                <w:sz w:val="20"/>
                <w:szCs w:val="20"/>
                <w:lang w:val="en-US"/>
              </w:rPr>
              <w:t>describe</w:t>
            </w:r>
            <w:r w:rsidRPr="00D57C02">
              <w:rPr>
                <w:rFonts w:ascii="Arial" w:eastAsia="Calibri" w:hAnsi="Arial" w:cs="Arial"/>
                <w:bCs/>
                <w:iCs/>
                <w:sz w:val="20"/>
                <w:szCs w:val="20"/>
                <w:lang w:val="en-US"/>
              </w:rPr>
              <w:t xml:space="preserve"> </w:t>
            </w:r>
            <w:r w:rsidR="00A8340A" w:rsidRPr="00D57C02">
              <w:rPr>
                <w:rFonts w:ascii="Arial" w:eastAsia="Calibri" w:hAnsi="Arial" w:cs="Arial"/>
                <w:bCs/>
                <w:iCs/>
                <w:sz w:val="20"/>
                <w:szCs w:val="20"/>
                <w:lang w:val="en-US"/>
              </w:rPr>
              <w:t xml:space="preserve">and provide a rationale for </w:t>
            </w:r>
            <w:r w:rsidRPr="00D57C02">
              <w:rPr>
                <w:rFonts w:ascii="Arial" w:eastAsia="Calibri" w:hAnsi="Arial" w:cs="Arial"/>
                <w:bCs/>
                <w:iCs/>
                <w:sz w:val="20"/>
                <w:szCs w:val="20"/>
                <w:lang w:val="en-US"/>
              </w:rPr>
              <w:t xml:space="preserve">the </w:t>
            </w:r>
            <w:r w:rsidR="00CC0842" w:rsidRPr="00D57C02">
              <w:rPr>
                <w:rFonts w:ascii="Arial" w:hAnsi="Arial" w:cs="Arial"/>
                <w:sz w:val="20"/>
                <w:szCs w:val="20"/>
              </w:rPr>
              <w:t>program</w:t>
            </w:r>
            <w:r w:rsidRPr="00D57C02">
              <w:rPr>
                <w:rFonts w:ascii="Arial" w:hAnsi="Arial" w:cs="Arial"/>
                <w:sz w:val="20"/>
                <w:szCs w:val="20"/>
              </w:rPr>
              <w:t xml:space="preserve"> elements proposed </w:t>
            </w:r>
            <w:r w:rsidR="00A8340A" w:rsidRPr="00D57C02">
              <w:rPr>
                <w:rFonts w:ascii="Arial" w:hAnsi="Arial" w:cs="Arial"/>
                <w:sz w:val="20"/>
                <w:szCs w:val="20"/>
              </w:rPr>
              <w:t>for this funding request</w:t>
            </w:r>
            <w:r w:rsidRPr="00D57C02">
              <w:rPr>
                <w:rFonts w:ascii="Arial" w:hAnsi="Arial" w:cs="Arial"/>
                <w:sz w:val="20"/>
                <w:szCs w:val="20"/>
              </w:rPr>
              <w:t>.</w:t>
            </w:r>
            <w:r w:rsidRPr="00D57C02">
              <w:rPr>
                <w:rFonts w:ascii="Arial" w:eastAsia="Calibri" w:hAnsi="Arial" w:cs="Arial"/>
                <w:bCs/>
                <w:iCs/>
                <w:sz w:val="20"/>
                <w:szCs w:val="20"/>
                <w:lang w:val="en-US"/>
              </w:rPr>
              <w:t xml:space="preserve"> </w:t>
            </w:r>
            <w:r w:rsidR="00027F87" w:rsidRPr="00D57C02">
              <w:rPr>
                <w:rFonts w:ascii="Arial" w:eastAsia="Calibri" w:hAnsi="Arial" w:cs="Arial"/>
                <w:bCs/>
                <w:iCs/>
                <w:sz w:val="20"/>
                <w:szCs w:val="20"/>
                <w:lang w:val="en-US"/>
              </w:rPr>
              <w:t>A</w:t>
            </w:r>
            <w:r w:rsidR="00042DCA" w:rsidRPr="00D57C02">
              <w:rPr>
                <w:rFonts w:ascii="Arial" w:eastAsia="Calibri" w:hAnsi="Arial" w:cs="Arial"/>
                <w:bCs/>
                <w:iCs/>
                <w:sz w:val="20"/>
                <w:szCs w:val="20"/>
                <w:lang w:val="en-US"/>
              </w:rPr>
              <w:t xml:space="preserve">ttach </w:t>
            </w:r>
            <w:r w:rsidR="00DF1CDD" w:rsidRPr="00D57C02">
              <w:rPr>
                <w:rFonts w:ascii="Arial" w:eastAsia="Calibri" w:hAnsi="Arial" w:cs="Arial"/>
                <w:bCs/>
                <w:iCs/>
                <w:sz w:val="20"/>
                <w:szCs w:val="20"/>
                <w:lang w:val="en-US"/>
              </w:rPr>
              <w:t>and refer to</w:t>
            </w:r>
            <w:r w:rsidR="008D7F0E" w:rsidRPr="00D57C02">
              <w:rPr>
                <w:rFonts w:ascii="Arial" w:eastAsia="Calibri" w:hAnsi="Arial" w:cs="Arial"/>
                <w:bCs/>
                <w:iCs/>
                <w:sz w:val="20"/>
                <w:szCs w:val="20"/>
                <w:lang w:val="en-US"/>
              </w:rPr>
              <w:t xml:space="preserve"> completed</w:t>
            </w:r>
            <w:r w:rsidR="00DF1CDD" w:rsidRPr="00D57C02">
              <w:rPr>
                <w:rFonts w:ascii="Arial" w:eastAsia="Calibri" w:hAnsi="Arial" w:cs="Arial"/>
                <w:bCs/>
                <w:iCs/>
                <w:sz w:val="20"/>
                <w:szCs w:val="20"/>
                <w:lang w:val="en-US"/>
              </w:rPr>
              <w:t xml:space="preserve"> </w:t>
            </w:r>
            <w:r w:rsidR="00042DCA" w:rsidRPr="00D57C02">
              <w:rPr>
                <w:rFonts w:ascii="Arial" w:eastAsia="Calibri" w:hAnsi="Arial" w:cs="Arial"/>
                <w:b/>
                <w:bCs/>
                <w:iCs/>
                <w:sz w:val="20"/>
                <w:szCs w:val="20"/>
                <w:lang w:val="en-US"/>
              </w:rPr>
              <w:t>Programmatic Gap Table(s), Funding Landscape Table</w:t>
            </w:r>
            <w:r w:rsidR="008D7F0E" w:rsidRPr="00D57C02">
              <w:rPr>
                <w:rFonts w:ascii="Arial" w:eastAsia="Calibri" w:hAnsi="Arial" w:cs="Arial"/>
                <w:b/>
                <w:bCs/>
                <w:iCs/>
                <w:sz w:val="20"/>
                <w:szCs w:val="20"/>
                <w:lang w:val="en-US"/>
              </w:rPr>
              <w:t>(s)</w:t>
            </w:r>
            <w:r w:rsidR="00042DCA" w:rsidRPr="00D57C02">
              <w:rPr>
                <w:rFonts w:ascii="Arial" w:eastAsia="Calibri" w:hAnsi="Arial" w:cs="Arial"/>
                <w:b/>
                <w:bCs/>
                <w:iCs/>
                <w:sz w:val="20"/>
                <w:szCs w:val="20"/>
                <w:lang w:val="en-US"/>
              </w:rPr>
              <w:t xml:space="preserve">, </w:t>
            </w:r>
            <w:r w:rsidR="00DF1CDD" w:rsidRPr="00D57C02">
              <w:rPr>
                <w:rFonts w:ascii="Arial" w:eastAsia="Calibri" w:hAnsi="Arial" w:cs="Arial"/>
                <w:b/>
                <w:bCs/>
                <w:iCs/>
                <w:sz w:val="20"/>
                <w:szCs w:val="20"/>
                <w:lang w:val="en-US"/>
              </w:rPr>
              <w:t>Performance Framework and Budget</w:t>
            </w:r>
            <w:r w:rsidR="00CC0842" w:rsidRPr="00D57C02">
              <w:rPr>
                <w:rFonts w:ascii="Arial" w:eastAsia="Calibri" w:hAnsi="Arial" w:cs="Arial"/>
                <w:bCs/>
                <w:iCs/>
                <w:sz w:val="20"/>
                <w:szCs w:val="20"/>
                <w:lang w:val="en-US"/>
              </w:rPr>
              <w:t>, and refer to national strategy documents as applicable.</w:t>
            </w:r>
          </w:p>
          <w:p w14:paraId="5CF1051D" w14:textId="60C20D60" w:rsidR="00042DCA" w:rsidRPr="00D57C02" w:rsidRDefault="001C281C" w:rsidP="00AB3764">
            <w:pPr>
              <w:keepNext/>
              <w:keepLines/>
              <w:spacing w:before="120" w:after="120" w:line="240" w:lineRule="auto"/>
              <w:jc w:val="both"/>
              <w:rPr>
                <w:rFonts w:ascii="Arial" w:eastAsia="Calibri" w:hAnsi="Arial" w:cs="Arial"/>
                <w:sz w:val="20"/>
                <w:szCs w:val="20"/>
                <w:lang w:val="en-US"/>
              </w:rPr>
            </w:pPr>
            <w:r w:rsidRPr="00D57C02">
              <w:rPr>
                <w:rFonts w:ascii="Arial" w:eastAsia="Calibri" w:hAnsi="Arial" w:cs="Arial"/>
                <w:bCs/>
                <w:iCs/>
                <w:sz w:val="20"/>
                <w:szCs w:val="20"/>
                <w:lang w:val="en-US"/>
              </w:rPr>
              <w:t>To respond, r</w:t>
            </w:r>
            <w:r w:rsidR="00042DCA" w:rsidRPr="00D57C02">
              <w:rPr>
                <w:rFonts w:ascii="Arial" w:eastAsia="Calibri" w:hAnsi="Arial" w:cs="Arial"/>
                <w:bCs/>
                <w:iCs/>
                <w:sz w:val="20"/>
                <w:szCs w:val="20"/>
                <w:lang w:val="en-US"/>
              </w:rPr>
              <w:t>efer to</w:t>
            </w:r>
            <w:r w:rsidR="006E048B" w:rsidRPr="00D57C02">
              <w:rPr>
                <w:rFonts w:ascii="Arial" w:eastAsia="Calibri" w:hAnsi="Arial" w:cs="Arial"/>
                <w:bCs/>
                <w:iCs/>
                <w:sz w:val="20"/>
                <w:szCs w:val="20"/>
                <w:lang w:val="en-US"/>
              </w:rPr>
              <w:t xml:space="preserve"> </w:t>
            </w:r>
            <w:r w:rsidR="006E048B" w:rsidRPr="00D57C02">
              <w:rPr>
                <w:rFonts w:ascii="Arial" w:eastAsia="Calibri" w:hAnsi="Arial" w:cs="Arial"/>
                <w:sz w:val="20"/>
                <w:szCs w:val="20"/>
                <w:lang w:val="en-US"/>
              </w:rPr>
              <w:t>additional</w:t>
            </w:r>
            <w:r w:rsidR="00042DCA" w:rsidRPr="00D57C02">
              <w:rPr>
                <w:rFonts w:ascii="Arial" w:eastAsia="Calibri" w:hAnsi="Arial" w:cs="Arial"/>
                <w:bCs/>
                <w:iCs/>
                <w:sz w:val="20"/>
                <w:szCs w:val="20"/>
                <w:lang w:val="en-US"/>
              </w:rPr>
              <w:t xml:space="preserve"> </w:t>
            </w:r>
            <w:r w:rsidR="005265DB" w:rsidRPr="00D57C02">
              <w:rPr>
                <w:rFonts w:ascii="Arial" w:eastAsia="Calibri" w:hAnsi="Arial" w:cs="Arial"/>
                <w:bCs/>
                <w:iCs/>
                <w:sz w:val="20"/>
                <w:szCs w:val="20"/>
                <w:lang w:val="en-US"/>
              </w:rPr>
              <w:t>guidance</w:t>
            </w:r>
            <w:r w:rsidR="00D51B37" w:rsidRPr="00D57C02">
              <w:rPr>
                <w:rFonts w:ascii="Arial" w:eastAsia="Calibri" w:hAnsi="Arial" w:cs="Arial"/>
                <w:bCs/>
                <w:iCs/>
                <w:sz w:val="20"/>
                <w:szCs w:val="20"/>
                <w:lang w:val="en-US"/>
              </w:rPr>
              <w:t xml:space="preserve"> provided</w:t>
            </w:r>
            <w:r w:rsidR="005265DB" w:rsidRPr="00D57C02">
              <w:rPr>
                <w:rFonts w:ascii="Arial" w:eastAsia="Calibri" w:hAnsi="Arial" w:cs="Arial"/>
                <w:bCs/>
                <w:iCs/>
                <w:sz w:val="20"/>
                <w:szCs w:val="20"/>
                <w:lang w:val="en-US"/>
              </w:rPr>
              <w:t xml:space="preserve"> in</w:t>
            </w:r>
            <w:r w:rsidR="00D51B37" w:rsidRPr="00D57C02">
              <w:rPr>
                <w:rFonts w:ascii="Arial" w:eastAsia="Calibri" w:hAnsi="Arial" w:cs="Arial"/>
                <w:bCs/>
                <w:iCs/>
                <w:sz w:val="20"/>
                <w:szCs w:val="20"/>
                <w:lang w:val="en-US"/>
              </w:rPr>
              <w:t xml:space="preserve"> the</w:t>
            </w:r>
            <w:r w:rsidR="005265DB" w:rsidRPr="00D57C02">
              <w:rPr>
                <w:rFonts w:ascii="Arial" w:eastAsia="Calibri" w:hAnsi="Arial" w:cs="Arial"/>
                <w:bCs/>
                <w:iCs/>
                <w:sz w:val="20"/>
                <w:szCs w:val="20"/>
                <w:lang w:val="en-US"/>
              </w:rPr>
              <w:t xml:space="preserve"> </w:t>
            </w:r>
            <w:r w:rsidRPr="00D57C02">
              <w:rPr>
                <w:rFonts w:ascii="Arial" w:hAnsi="Arial" w:cs="Arial"/>
                <w:bCs/>
                <w:i/>
                <w:iCs/>
                <w:sz w:val="20"/>
                <w:szCs w:val="20"/>
              </w:rPr>
              <w:t>Instructions</w:t>
            </w:r>
            <w:r w:rsidR="00485F5B" w:rsidRPr="00D57C02">
              <w:rPr>
                <w:rFonts w:ascii="Arial" w:hAnsi="Arial" w:cs="Arial"/>
                <w:bCs/>
                <w:i/>
                <w:iCs/>
                <w:sz w:val="20"/>
                <w:szCs w:val="20"/>
              </w:rPr>
              <w:t>.</w:t>
            </w:r>
          </w:p>
          <w:p w14:paraId="5D0B8AEC" w14:textId="4AB6F294" w:rsidR="00366E9D" w:rsidRPr="00D57C02" w:rsidRDefault="00027F87" w:rsidP="00027F87">
            <w:pPr>
              <w:keepNext/>
              <w:keepLines/>
              <w:spacing w:before="120" w:after="120" w:line="240" w:lineRule="auto"/>
              <w:jc w:val="both"/>
              <w:rPr>
                <w:rFonts w:ascii="Arial" w:eastAsia="Calibri" w:hAnsi="Arial" w:cs="Arial"/>
                <w:bCs/>
                <w:iCs/>
                <w:sz w:val="20"/>
                <w:szCs w:val="20"/>
                <w:lang w:val="en-US"/>
              </w:rPr>
            </w:pPr>
            <w:r w:rsidRPr="00D57C02">
              <w:rPr>
                <w:rFonts w:ascii="Arial" w:eastAsia="Calibri" w:hAnsi="Arial" w:cs="Arial"/>
                <w:sz w:val="20"/>
                <w:szCs w:val="20"/>
                <w:lang w:val="en-US"/>
              </w:rPr>
              <w:t>E</w:t>
            </w:r>
            <w:r w:rsidR="00366E9D" w:rsidRPr="00D57C02">
              <w:rPr>
                <w:rFonts w:ascii="Arial" w:eastAsia="Calibri" w:hAnsi="Arial" w:cs="Arial"/>
                <w:sz w:val="20"/>
                <w:szCs w:val="20"/>
                <w:lang w:val="en-US"/>
              </w:rPr>
              <w:t xml:space="preserve">nsure that the funding request as described in </w:t>
            </w:r>
            <w:r w:rsidR="00CC0842" w:rsidRPr="00D57C02">
              <w:rPr>
                <w:rFonts w:ascii="Arial" w:eastAsia="Calibri" w:hAnsi="Arial" w:cs="Arial"/>
                <w:sz w:val="20"/>
                <w:szCs w:val="20"/>
                <w:lang w:val="en-US"/>
              </w:rPr>
              <w:t>questions</w:t>
            </w:r>
            <w:r w:rsidR="00366E9D" w:rsidRPr="00D57C02">
              <w:rPr>
                <w:rFonts w:ascii="Arial" w:eastAsia="Calibri" w:hAnsi="Arial" w:cs="Arial"/>
                <w:sz w:val="20"/>
                <w:szCs w:val="20"/>
                <w:lang w:val="en-US"/>
              </w:rPr>
              <w:t xml:space="preserve"> 2.1 and/or 2.2 meet</w:t>
            </w:r>
            <w:r w:rsidR="008945F5" w:rsidRPr="00D57C02">
              <w:rPr>
                <w:rFonts w:ascii="Arial" w:eastAsia="Calibri" w:hAnsi="Arial" w:cs="Arial"/>
                <w:sz w:val="20"/>
                <w:szCs w:val="20"/>
                <w:lang w:val="en-US"/>
              </w:rPr>
              <w:t>s</w:t>
            </w:r>
            <w:r w:rsidR="00366E9D" w:rsidRPr="00D57C02">
              <w:rPr>
                <w:rFonts w:ascii="Arial" w:eastAsia="Calibri" w:hAnsi="Arial" w:cs="Arial"/>
                <w:sz w:val="20"/>
                <w:szCs w:val="20"/>
                <w:lang w:val="en-US"/>
              </w:rPr>
              <w:t xml:space="preserve"> the </w:t>
            </w:r>
            <w:r w:rsidR="00CC0842" w:rsidRPr="00D57C02">
              <w:rPr>
                <w:rFonts w:ascii="Arial" w:eastAsia="Calibri" w:hAnsi="Arial" w:cs="Arial"/>
                <w:sz w:val="20"/>
                <w:szCs w:val="20"/>
                <w:lang w:val="en-US"/>
              </w:rPr>
              <w:t xml:space="preserve">focus of </w:t>
            </w:r>
            <w:r w:rsidR="00366E9D" w:rsidRPr="00D57C02">
              <w:rPr>
                <w:rFonts w:ascii="Arial" w:eastAsia="Calibri" w:hAnsi="Arial" w:cs="Arial"/>
                <w:sz w:val="20"/>
                <w:szCs w:val="20"/>
                <w:lang w:val="en-US"/>
              </w:rPr>
              <w:t>application requirement as outlined in section 2.3</w:t>
            </w:r>
            <w:r w:rsidR="00581C6F" w:rsidRPr="00D57C02">
              <w:rPr>
                <w:rFonts w:ascii="Arial" w:eastAsia="Calibri" w:hAnsi="Arial" w:cs="Arial"/>
                <w:sz w:val="20"/>
                <w:szCs w:val="20"/>
                <w:lang w:val="en-US"/>
              </w:rPr>
              <w:t>.</w:t>
            </w:r>
          </w:p>
        </w:tc>
      </w:tr>
    </w:tbl>
    <w:p w14:paraId="5D0B8AEE" w14:textId="3EC13213" w:rsidR="00FE411C" w:rsidRPr="00D57C02" w:rsidRDefault="00FE411C" w:rsidP="00042DCA">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016"/>
      </w:tblGrid>
      <w:tr w:rsidR="00042DCA" w:rsidRPr="00D57C02" w14:paraId="5D0B8AF0" w14:textId="77777777" w:rsidTr="00FE411C">
        <w:trPr>
          <w:trHeight w:val="567"/>
          <w:jc w:val="center"/>
        </w:trPr>
        <w:tc>
          <w:tcPr>
            <w:tcW w:w="9016" w:type="dxa"/>
            <w:shd w:val="clear" w:color="auto" w:fill="C6D9F1"/>
          </w:tcPr>
          <w:p w14:paraId="072719A8" w14:textId="77777777" w:rsidR="00042DCA" w:rsidRPr="00D57C02" w:rsidRDefault="00042DCA" w:rsidP="00042DCA">
            <w:pPr>
              <w:spacing w:after="0" w:line="276" w:lineRule="auto"/>
              <w:rPr>
                <w:rFonts w:ascii="Arial" w:eastAsia="Calibri" w:hAnsi="Arial" w:cs="Arial"/>
                <w:b/>
                <w:bCs/>
                <w:sz w:val="20"/>
                <w:szCs w:val="20"/>
                <w:lang w:val="en-US"/>
              </w:rPr>
            </w:pPr>
            <w:r w:rsidRPr="00D57C02">
              <w:rPr>
                <w:rFonts w:ascii="Arial" w:eastAsia="Calibri" w:hAnsi="Arial" w:cs="Arial"/>
                <w:b/>
                <w:bCs/>
                <w:sz w:val="20"/>
                <w:szCs w:val="20"/>
                <w:lang w:val="en-US"/>
              </w:rPr>
              <w:t>2.1 Disease-specific funding request</w:t>
            </w:r>
          </w:p>
          <w:p w14:paraId="5D0B8AEF" w14:textId="3993E84A" w:rsidR="00311BE2" w:rsidRPr="00D57C02" w:rsidRDefault="00EF32A7" w:rsidP="00DF1CDD">
            <w:pPr>
              <w:spacing w:after="0" w:line="276" w:lineRule="auto"/>
              <w:rPr>
                <w:rFonts w:ascii="Arial" w:eastAsia="Calibri" w:hAnsi="Arial" w:cs="Arial"/>
                <w:i/>
                <w:sz w:val="20"/>
                <w:szCs w:val="20"/>
                <w:lang w:val="en-US"/>
              </w:rPr>
            </w:pPr>
            <w:r w:rsidRPr="00D57C02">
              <w:rPr>
                <w:rFonts w:ascii="Arial" w:eastAsia="Calibri" w:hAnsi="Arial" w:cs="Arial"/>
                <w:i/>
                <w:sz w:val="20"/>
                <w:szCs w:val="20"/>
                <w:u w:val="single"/>
                <w:lang w:val="en-US"/>
              </w:rPr>
              <w:t>N</w:t>
            </w:r>
            <w:r w:rsidR="00311BE2" w:rsidRPr="00D57C02">
              <w:rPr>
                <w:rFonts w:ascii="Arial" w:eastAsia="Calibri" w:hAnsi="Arial" w:cs="Arial"/>
                <w:i/>
                <w:sz w:val="20"/>
                <w:szCs w:val="20"/>
                <w:u w:val="single"/>
                <w:lang w:val="en-US"/>
              </w:rPr>
              <w:t>ot</w:t>
            </w:r>
            <w:r w:rsidR="00311BE2" w:rsidRPr="00D57C02">
              <w:rPr>
                <w:rFonts w:ascii="Arial" w:eastAsia="Calibri" w:hAnsi="Arial" w:cs="Arial"/>
                <w:i/>
                <w:sz w:val="20"/>
                <w:szCs w:val="20"/>
                <w:lang w:val="en-US"/>
              </w:rPr>
              <w:t xml:space="preserve"> applicable if the application </w:t>
            </w:r>
            <w:r w:rsidR="009759E9" w:rsidRPr="00D57C02">
              <w:rPr>
                <w:rFonts w:ascii="Arial" w:eastAsia="Calibri" w:hAnsi="Arial" w:cs="Arial"/>
                <w:i/>
                <w:sz w:val="20"/>
                <w:szCs w:val="20"/>
                <w:lang w:val="en-US"/>
              </w:rPr>
              <w:t>is a</w:t>
            </w:r>
            <w:r w:rsidRPr="00D57C02">
              <w:rPr>
                <w:rFonts w:ascii="Arial" w:eastAsia="Calibri" w:hAnsi="Arial" w:cs="Arial"/>
                <w:i/>
                <w:sz w:val="20"/>
                <w:szCs w:val="20"/>
                <w:lang w:val="en-US"/>
              </w:rPr>
              <w:t xml:space="preserve"> standalone</w:t>
            </w:r>
            <w:r w:rsidR="009759E9" w:rsidRPr="00D57C02">
              <w:rPr>
                <w:rFonts w:ascii="Arial" w:eastAsia="Calibri" w:hAnsi="Arial" w:cs="Arial"/>
                <w:i/>
                <w:sz w:val="20"/>
                <w:szCs w:val="20"/>
                <w:lang w:val="en-US"/>
              </w:rPr>
              <w:t xml:space="preserve"> </w:t>
            </w:r>
            <w:r w:rsidR="00311BE2" w:rsidRPr="00D57C02">
              <w:rPr>
                <w:rFonts w:ascii="Arial" w:eastAsia="Calibri" w:hAnsi="Arial" w:cs="Arial"/>
                <w:i/>
                <w:sz w:val="20"/>
                <w:szCs w:val="20"/>
                <w:lang w:val="en-US"/>
              </w:rPr>
              <w:t>RSSH request.</w:t>
            </w:r>
          </w:p>
        </w:tc>
      </w:tr>
      <w:tr w:rsidR="00042DCA" w:rsidRPr="009C1AB7" w14:paraId="5D0B8AFC" w14:textId="77777777" w:rsidTr="00FE411C">
        <w:trPr>
          <w:trHeight w:val="5802"/>
          <w:jc w:val="center"/>
        </w:trPr>
        <w:tc>
          <w:tcPr>
            <w:tcW w:w="9016" w:type="dxa"/>
            <w:shd w:val="clear" w:color="auto" w:fill="F2F2F2" w:themeFill="background1" w:themeFillShade="F2"/>
            <w:vAlign w:val="center"/>
          </w:tcPr>
          <w:p w14:paraId="4C267030" w14:textId="33A195FC" w:rsidR="00736AC4" w:rsidRPr="00EB06BA" w:rsidRDefault="00736AC4" w:rsidP="000C1BFD">
            <w:pPr>
              <w:spacing w:line="240" w:lineRule="auto"/>
              <w:contextualSpacing/>
              <w:jc w:val="both"/>
              <w:rPr>
                <w:rFonts w:ascii="Arial" w:eastAsia="Calibri" w:hAnsi="Arial" w:cs="Arial"/>
                <w:sz w:val="20"/>
                <w:szCs w:val="20"/>
              </w:rPr>
            </w:pPr>
            <w:r w:rsidRPr="00EB06BA">
              <w:rPr>
                <w:rFonts w:ascii="Arial" w:eastAsia="Calibri" w:hAnsi="Arial" w:cs="Arial"/>
                <w:sz w:val="20"/>
                <w:szCs w:val="20"/>
                <w:lang w:val="en-US"/>
              </w:rPr>
              <w:t>G</w:t>
            </w:r>
            <w:proofErr w:type="spellStart"/>
            <w:r w:rsidRPr="00EB06BA">
              <w:rPr>
                <w:rFonts w:ascii="Arial" w:eastAsia="Calibri" w:hAnsi="Arial" w:cs="Arial"/>
                <w:sz w:val="20"/>
                <w:szCs w:val="20"/>
              </w:rPr>
              <w:t>iven</w:t>
            </w:r>
            <w:proofErr w:type="spellEnd"/>
            <w:r w:rsidRPr="00EB06BA">
              <w:rPr>
                <w:rFonts w:ascii="Arial" w:eastAsia="Calibri" w:hAnsi="Arial" w:cs="Arial"/>
                <w:sz w:val="20"/>
                <w:szCs w:val="20"/>
              </w:rPr>
              <w:t xml:space="preserve"> the context and lessons learned outlined in Section 1</w:t>
            </w:r>
            <w:r w:rsidR="00FA3434" w:rsidRPr="00EB06BA">
              <w:rPr>
                <w:rFonts w:ascii="Arial" w:eastAsia="Calibri" w:hAnsi="Arial" w:cs="Arial"/>
                <w:sz w:val="20"/>
                <w:szCs w:val="20"/>
              </w:rPr>
              <w:t>,</w:t>
            </w:r>
          </w:p>
          <w:p w14:paraId="19ECABE0" w14:textId="77777777" w:rsidR="00CC0842" w:rsidRPr="00EB06BA" w:rsidRDefault="00CC0842" w:rsidP="000C1BFD">
            <w:pPr>
              <w:spacing w:line="240" w:lineRule="auto"/>
              <w:contextualSpacing/>
              <w:jc w:val="both"/>
              <w:rPr>
                <w:rFonts w:ascii="Arial" w:eastAsia="Calibri" w:hAnsi="Arial" w:cs="Arial"/>
                <w:sz w:val="20"/>
                <w:szCs w:val="20"/>
              </w:rPr>
            </w:pPr>
          </w:p>
          <w:p w14:paraId="3000DFA9" w14:textId="30CC490D" w:rsidR="00A600FA" w:rsidRPr="00EB06BA" w:rsidRDefault="00A600FA" w:rsidP="000C1BFD">
            <w:pPr>
              <w:numPr>
                <w:ilvl w:val="0"/>
                <w:numId w:val="1"/>
              </w:numPr>
              <w:spacing w:after="0" w:line="240" w:lineRule="auto"/>
              <w:contextualSpacing/>
              <w:jc w:val="both"/>
              <w:rPr>
                <w:rFonts w:ascii="Arial" w:eastAsia="Calibri" w:hAnsi="Arial" w:cs="Arial"/>
                <w:sz w:val="20"/>
                <w:szCs w:val="20"/>
              </w:rPr>
            </w:pPr>
            <w:r w:rsidRPr="00EB06BA">
              <w:rPr>
                <w:rFonts w:ascii="Arial" w:eastAsia="Calibri" w:hAnsi="Arial" w:cs="Arial"/>
                <w:sz w:val="20"/>
                <w:szCs w:val="20"/>
              </w:rPr>
              <w:t>Describe the disease-specific funding request(s), the rationale for prioritizing modules and interventions</w:t>
            </w:r>
            <w:r w:rsidR="00736AC4" w:rsidRPr="00EB06BA">
              <w:rPr>
                <w:rFonts w:ascii="Arial" w:eastAsia="Calibri" w:hAnsi="Arial" w:cs="Arial"/>
                <w:sz w:val="20"/>
                <w:szCs w:val="20"/>
              </w:rPr>
              <w:t>,</w:t>
            </w:r>
            <w:r w:rsidRPr="00EB06BA">
              <w:rPr>
                <w:rFonts w:ascii="Arial" w:eastAsia="Calibri" w:hAnsi="Arial" w:cs="Arial"/>
                <w:sz w:val="20"/>
                <w:szCs w:val="20"/>
              </w:rPr>
              <w:t xml:space="preserve"> and how the</w:t>
            </w:r>
            <w:r w:rsidR="0011786E" w:rsidRPr="00EB06BA">
              <w:rPr>
                <w:rFonts w:ascii="Arial" w:eastAsia="Calibri" w:hAnsi="Arial" w:cs="Arial"/>
                <w:sz w:val="20"/>
                <w:szCs w:val="20"/>
              </w:rPr>
              <w:t>se</w:t>
            </w:r>
            <w:r w:rsidRPr="00EB06BA">
              <w:rPr>
                <w:rFonts w:ascii="Arial" w:eastAsia="Calibri" w:hAnsi="Arial" w:cs="Arial"/>
                <w:sz w:val="20"/>
                <w:szCs w:val="20"/>
              </w:rPr>
              <w:t xml:space="preserve"> choices ensure the highest possible impact with a view to end</w:t>
            </w:r>
            <w:r w:rsidR="00736AC4" w:rsidRPr="00EB06BA">
              <w:rPr>
                <w:rFonts w:ascii="Arial" w:eastAsia="Calibri" w:hAnsi="Arial" w:cs="Arial"/>
                <w:sz w:val="20"/>
                <w:szCs w:val="20"/>
              </w:rPr>
              <w:t>ing</w:t>
            </w:r>
            <w:r w:rsidR="00FA3434" w:rsidRPr="00EB06BA">
              <w:rPr>
                <w:rFonts w:ascii="Arial" w:eastAsia="Calibri" w:hAnsi="Arial" w:cs="Arial"/>
                <w:sz w:val="20"/>
                <w:szCs w:val="20"/>
              </w:rPr>
              <w:t xml:space="preserve"> the three diseases </w:t>
            </w:r>
            <w:r w:rsidRPr="00EB06BA">
              <w:rPr>
                <w:rFonts w:ascii="Arial" w:eastAsia="Calibri" w:hAnsi="Arial" w:cs="Arial"/>
                <w:sz w:val="20"/>
                <w:szCs w:val="20"/>
              </w:rPr>
              <w:t>and remov</w:t>
            </w:r>
            <w:r w:rsidR="00736AC4" w:rsidRPr="00EB06BA">
              <w:rPr>
                <w:rFonts w:ascii="Arial" w:eastAsia="Calibri" w:hAnsi="Arial" w:cs="Arial"/>
                <w:sz w:val="20"/>
                <w:szCs w:val="20"/>
              </w:rPr>
              <w:t>ing</w:t>
            </w:r>
            <w:r w:rsidRPr="00EB06BA">
              <w:rPr>
                <w:rFonts w:ascii="Arial" w:eastAsia="Calibri" w:hAnsi="Arial" w:cs="Arial"/>
                <w:sz w:val="20"/>
                <w:szCs w:val="20"/>
              </w:rPr>
              <w:t xml:space="preserve"> human rights and gender-related barriers</w:t>
            </w:r>
            <w:r w:rsidR="00FA3434" w:rsidRPr="00EB06BA">
              <w:rPr>
                <w:rFonts w:ascii="Arial" w:eastAsia="Calibri" w:hAnsi="Arial" w:cs="Arial"/>
                <w:sz w:val="20"/>
                <w:szCs w:val="20"/>
              </w:rPr>
              <w:t xml:space="preserve"> to accessing services</w:t>
            </w:r>
            <w:r w:rsidRPr="00EB06BA">
              <w:rPr>
                <w:rFonts w:ascii="Arial" w:eastAsia="Calibri" w:hAnsi="Arial" w:cs="Arial"/>
                <w:sz w:val="20"/>
                <w:szCs w:val="20"/>
              </w:rPr>
              <w:t>.</w:t>
            </w:r>
          </w:p>
          <w:p w14:paraId="5CB66DF4" w14:textId="61234A50" w:rsidR="00A600FA" w:rsidRPr="00EB06BA" w:rsidRDefault="0041310D" w:rsidP="000C1BFD">
            <w:pPr>
              <w:ind w:left="738"/>
              <w:jc w:val="both"/>
              <w:rPr>
                <w:rFonts w:ascii="Arial" w:eastAsia="Calibri" w:hAnsi="Arial" w:cs="Arial"/>
                <w:sz w:val="20"/>
                <w:szCs w:val="20"/>
              </w:rPr>
            </w:pPr>
            <w:r w:rsidRPr="00EB06BA">
              <w:rPr>
                <w:rFonts w:ascii="Arial" w:eastAsia="Calibri" w:hAnsi="Arial" w:cs="Arial"/>
                <w:sz w:val="20"/>
                <w:szCs w:val="20"/>
              </w:rPr>
              <w:t>For any priority modules for which gaps are difficult to quantify in the programmatic gap tables, explain here the barriers being addressed, the proposed interventions and the population or groups involved.</w:t>
            </w:r>
          </w:p>
          <w:p w14:paraId="1E04DD0C" w14:textId="48DA7A83" w:rsidR="00A600FA" w:rsidRPr="00EB06BA" w:rsidRDefault="00A600FA" w:rsidP="000C1BFD">
            <w:pPr>
              <w:numPr>
                <w:ilvl w:val="0"/>
                <w:numId w:val="1"/>
              </w:numPr>
              <w:spacing w:after="0" w:line="240" w:lineRule="auto"/>
              <w:contextualSpacing/>
              <w:jc w:val="both"/>
              <w:rPr>
                <w:rFonts w:ascii="Arial" w:eastAsia="Calibri" w:hAnsi="Arial" w:cs="Arial"/>
                <w:sz w:val="20"/>
                <w:szCs w:val="20"/>
              </w:rPr>
            </w:pPr>
            <w:r w:rsidRPr="00EB06BA">
              <w:rPr>
                <w:rFonts w:ascii="Arial" w:eastAsia="Calibri" w:hAnsi="Arial" w:cs="Arial"/>
                <w:sz w:val="20"/>
                <w:szCs w:val="20"/>
              </w:rPr>
              <w:t xml:space="preserve">Explain how the funding request addresses the key funding gaps reflected in the </w:t>
            </w:r>
            <w:r w:rsidR="0011786E" w:rsidRPr="00EB06BA">
              <w:rPr>
                <w:rFonts w:ascii="Arial" w:eastAsia="Calibri" w:hAnsi="Arial" w:cs="Arial"/>
                <w:sz w:val="20"/>
                <w:szCs w:val="20"/>
              </w:rPr>
              <w:t>F</w:t>
            </w:r>
            <w:r w:rsidRPr="00EB06BA">
              <w:rPr>
                <w:rFonts w:ascii="Arial" w:eastAsia="Calibri" w:hAnsi="Arial" w:cs="Arial"/>
                <w:sz w:val="20"/>
                <w:szCs w:val="20"/>
              </w:rPr>
              <w:t xml:space="preserve">unding </w:t>
            </w:r>
            <w:r w:rsidR="0011786E" w:rsidRPr="00EB06BA">
              <w:rPr>
                <w:rFonts w:ascii="Arial" w:eastAsia="Calibri" w:hAnsi="Arial" w:cs="Arial"/>
                <w:sz w:val="20"/>
                <w:szCs w:val="20"/>
              </w:rPr>
              <w:t>L</w:t>
            </w:r>
            <w:r w:rsidRPr="00EB06BA">
              <w:rPr>
                <w:rFonts w:ascii="Arial" w:eastAsia="Calibri" w:hAnsi="Arial" w:cs="Arial"/>
                <w:sz w:val="20"/>
                <w:szCs w:val="20"/>
              </w:rPr>
              <w:t xml:space="preserve">andscape </w:t>
            </w:r>
            <w:r w:rsidR="0011786E" w:rsidRPr="00EB06BA">
              <w:rPr>
                <w:rFonts w:ascii="Arial" w:eastAsia="Calibri" w:hAnsi="Arial" w:cs="Arial"/>
                <w:sz w:val="20"/>
                <w:szCs w:val="20"/>
              </w:rPr>
              <w:t>T</w:t>
            </w:r>
            <w:r w:rsidR="001932A7" w:rsidRPr="00EB06BA">
              <w:rPr>
                <w:rFonts w:ascii="Arial" w:eastAsia="Calibri" w:hAnsi="Arial" w:cs="Arial"/>
                <w:sz w:val="20"/>
                <w:szCs w:val="20"/>
              </w:rPr>
              <w:t xml:space="preserve">able(s) </w:t>
            </w:r>
            <w:r w:rsidRPr="00EB06BA">
              <w:rPr>
                <w:rFonts w:ascii="Arial" w:eastAsia="Calibri" w:hAnsi="Arial" w:cs="Arial"/>
                <w:sz w:val="20"/>
                <w:szCs w:val="20"/>
              </w:rPr>
              <w:t xml:space="preserve">for the disease program(s) in the current allocation cycle, and specify other actions planned to cover remaining gaps. </w:t>
            </w:r>
          </w:p>
          <w:p w14:paraId="3BA0E442" w14:textId="77D92A96" w:rsidR="00A600FA" w:rsidRPr="00EB06BA" w:rsidRDefault="00A600FA" w:rsidP="00005564">
            <w:pPr>
              <w:spacing w:before="120"/>
              <w:jc w:val="both"/>
              <w:rPr>
                <w:rFonts w:ascii="Arial" w:eastAsia="Calibri" w:hAnsi="Arial" w:cs="Arial"/>
                <w:sz w:val="20"/>
                <w:szCs w:val="20"/>
              </w:rPr>
            </w:pPr>
            <w:r w:rsidRPr="00EB06BA">
              <w:rPr>
                <w:rFonts w:ascii="Arial" w:eastAsia="Calibri" w:hAnsi="Arial" w:cs="Arial"/>
                <w:sz w:val="20"/>
                <w:szCs w:val="20"/>
              </w:rPr>
              <w:t>For funding requests</w:t>
            </w:r>
            <w:r w:rsidR="001A08D0" w:rsidRPr="00EB06BA">
              <w:rPr>
                <w:rFonts w:ascii="Arial" w:eastAsia="Calibri" w:hAnsi="Arial" w:cs="Arial"/>
                <w:sz w:val="20"/>
                <w:szCs w:val="20"/>
              </w:rPr>
              <w:t xml:space="preserve"> including both HIV and TB components</w:t>
            </w:r>
            <w:r w:rsidRPr="00EB06BA">
              <w:rPr>
                <w:rFonts w:ascii="Arial" w:eastAsia="Calibri" w:hAnsi="Arial" w:cs="Arial"/>
                <w:sz w:val="20"/>
                <w:szCs w:val="20"/>
              </w:rPr>
              <w:t xml:space="preserve">: </w:t>
            </w:r>
          </w:p>
          <w:p w14:paraId="26619C15" w14:textId="009AD47A" w:rsidR="00A600FA" w:rsidRPr="00EB06BA" w:rsidRDefault="00A600FA" w:rsidP="007D5FAE">
            <w:pPr>
              <w:numPr>
                <w:ilvl w:val="0"/>
                <w:numId w:val="1"/>
              </w:numPr>
              <w:spacing w:before="120" w:after="0" w:line="240" w:lineRule="auto"/>
              <w:contextualSpacing/>
              <w:jc w:val="both"/>
              <w:rPr>
                <w:rFonts w:ascii="Arial" w:eastAsia="Calibri" w:hAnsi="Arial" w:cs="Arial"/>
                <w:sz w:val="20"/>
                <w:szCs w:val="20"/>
              </w:rPr>
            </w:pPr>
            <w:r w:rsidRPr="00EB06BA">
              <w:rPr>
                <w:rFonts w:ascii="Arial" w:eastAsia="Calibri" w:hAnsi="Arial" w:cs="Arial"/>
                <w:sz w:val="20"/>
                <w:szCs w:val="20"/>
              </w:rPr>
              <w:t>Describe</w:t>
            </w:r>
            <w:r w:rsidR="0011786E" w:rsidRPr="00EB06BA">
              <w:rPr>
                <w:rFonts w:ascii="Arial" w:eastAsia="Calibri" w:hAnsi="Arial" w:cs="Arial"/>
                <w:sz w:val="20"/>
                <w:szCs w:val="20"/>
              </w:rPr>
              <w:t xml:space="preserve"> the</w:t>
            </w:r>
            <w:r w:rsidRPr="00EB06BA">
              <w:rPr>
                <w:rFonts w:ascii="Arial" w:eastAsia="Calibri" w:hAnsi="Arial" w:cs="Arial"/>
                <w:sz w:val="20"/>
                <w:szCs w:val="20"/>
              </w:rPr>
              <w:t xml:space="preserve"> coordination of joint TB and HIV strategies, policies and interventions at different levels of the health system, including community systems, </w:t>
            </w:r>
            <w:r w:rsidR="0011786E" w:rsidRPr="00EB06BA">
              <w:rPr>
                <w:rFonts w:ascii="Arial" w:eastAsia="Calibri" w:hAnsi="Arial" w:cs="Arial"/>
                <w:sz w:val="20"/>
                <w:szCs w:val="20"/>
              </w:rPr>
              <w:t xml:space="preserve">and </w:t>
            </w:r>
            <w:r w:rsidRPr="00EB06BA">
              <w:rPr>
                <w:rFonts w:ascii="Arial" w:eastAsia="Calibri" w:hAnsi="Arial" w:cs="Arial"/>
                <w:sz w:val="20"/>
                <w:szCs w:val="20"/>
              </w:rPr>
              <w:t>expected impact and efficiencies from the joint programming.</w:t>
            </w:r>
          </w:p>
          <w:p w14:paraId="09AD9EE2" w14:textId="40A23E25" w:rsidR="00A600FA" w:rsidRPr="00EB06BA" w:rsidRDefault="00027F87" w:rsidP="000C1BFD">
            <w:pPr>
              <w:jc w:val="both"/>
              <w:rPr>
                <w:rFonts w:ascii="Arial" w:eastAsia="Calibri" w:hAnsi="Arial" w:cs="Arial"/>
                <w:sz w:val="20"/>
                <w:szCs w:val="20"/>
              </w:rPr>
            </w:pPr>
            <w:r w:rsidRPr="00EB06BA">
              <w:rPr>
                <w:rFonts w:ascii="Arial" w:eastAsia="Calibri" w:hAnsi="Arial" w:cs="Arial"/>
                <w:sz w:val="20"/>
                <w:szCs w:val="20"/>
              </w:rPr>
              <w:t>E</w:t>
            </w:r>
            <w:r w:rsidR="00A600FA" w:rsidRPr="00EB06BA">
              <w:rPr>
                <w:rFonts w:ascii="Arial" w:eastAsia="Calibri" w:hAnsi="Arial" w:cs="Arial"/>
                <w:sz w:val="20"/>
                <w:szCs w:val="20"/>
              </w:rPr>
              <w:t>nsure the answer appropriately reflects the separate disease programs in addition to cross cutting modules where appropriate.</w:t>
            </w:r>
          </w:p>
          <w:p w14:paraId="5D0B8AFB" w14:textId="0F644A9B" w:rsidR="00042DCA" w:rsidRPr="00EB06BA" w:rsidRDefault="001631BD" w:rsidP="000C1BFD">
            <w:pPr>
              <w:spacing w:after="0" w:line="240" w:lineRule="auto"/>
              <w:jc w:val="both"/>
              <w:rPr>
                <w:rFonts w:ascii="Arial" w:eastAsia="Calibri" w:hAnsi="Arial" w:cs="Arial"/>
                <w:b/>
                <w:sz w:val="20"/>
                <w:szCs w:val="20"/>
                <w:lang w:val="en-US"/>
              </w:rPr>
            </w:pPr>
            <w:r w:rsidRPr="00EB06BA">
              <w:rPr>
                <w:rFonts w:ascii="Arial" w:eastAsia="SimSun" w:hAnsi="Arial" w:cs="Arial"/>
                <w:b/>
                <w:sz w:val="20"/>
                <w:szCs w:val="20"/>
                <w:lang w:eastAsia="zh-CN"/>
              </w:rPr>
              <w:t>(maximum</w:t>
            </w:r>
            <w:r w:rsidR="00C43F4F" w:rsidRPr="00EB06BA">
              <w:rPr>
                <w:rFonts w:ascii="Arial" w:eastAsia="SimSun" w:hAnsi="Arial" w:cs="Arial"/>
                <w:b/>
                <w:sz w:val="20"/>
                <w:szCs w:val="20"/>
                <w:lang w:eastAsia="zh-CN"/>
              </w:rPr>
              <w:t xml:space="preserve"> 4</w:t>
            </w:r>
            <w:r w:rsidR="00042DCA" w:rsidRPr="00EB06BA">
              <w:rPr>
                <w:rFonts w:ascii="Arial" w:eastAsia="SimSun" w:hAnsi="Arial" w:cs="Arial"/>
                <w:b/>
                <w:sz w:val="20"/>
                <w:szCs w:val="20"/>
                <w:lang w:eastAsia="zh-CN"/>
              </w:rPr>
              <w:t xml:space="preserve"> </w:t>
            </w:r>
            <w:r w:rsidR="005A62F6" w:rsidRPr="00EB06BA">
              <w:rPr>
                <w:rFonts w:ascii="Arial" w:eastAsia="SimSun" w:hAnsi="Arial" w:cs="Arial"/>
                <w:b/>
                <w:sz w:val="20"/>
                <w:szCs w:val="20"/>
                <w:lang w:eastAsia="zh-CN"/>
              </w:rPr>
              <w:t>pages per component</w:t>
            </w:r>
            <w:r w:rsidR="00042DCA" w:rsidRPr="00EB06BA">
              <w:rPr>
                <w:rFonts w:ascii="Arial" w:eastAsia="SimSun" w:hAnsi="Arial" w:cs="Arial"/>
                <w:b/>
                <w:sz w:val="20"/>
                <w:szCs w:val="20"/>
                <w:lang w:eastAsia="zh-CN"/>
              </w:rPr>
              <w:t>)</w:t>
            </w:r>
          </w:p>
        </w:tc>
      </w:tr>
    </w:tbl>
    <w:p w14:paraId="25B44BB8" w14:textId="6D68F044" w:rsidR="00300D32" w:rsidRDefault="00DF4D32" w:rsidP="0098673D">
      <w:pPr>
        <w:spacing w:after="0" w:line="240" w:lineRule="auto"/>
        <w:jc w:val="both"/>
        <w:rPr>
          <w:rFonts w:ascii="Arial" w:hAnsi="Arial" w:cs="Arial"/>
        </w:rPr>
      </w:pPr>
      <w:r w:rsidRPr="00A8058B">
        <w:rPr>
          <w:rFonts w:ascii="Arial" w:hAnsi="Arial" w:cs="Arial"/>
          <w:b/>
        </w:rPr>
        <w:t>a)</w:t>
      </w:r>
      <w:r w:rsidRPr="00D57C02">
        <w:rPr>
          <w:rFonts w:ascii="Arial" w:hAnsi="Arial" w:cs="Arial"/>
        </w:rPr>
        <w:t xml:space="preserve"> </w:t>
      </w:r>
      <w:r w:rsidR="00EF1AEC" w:rsidRPr="00D57C02">
        <w:rPr>
          <w:rFonts w:ascii="Arial" w:hAnsi="Arial" w:cs="Arial"/>
        </w:rPr>
        <w:t xml:space="preserve">The </w:t>
      </w:r>
      <w:r w:rsidR="00EB67C4">
        <w:rPr>
          <w:rFonts w:ascii="Arial" w:hAnsi="Arial" w:cs="Arial"/>
        </w:rPr>
        <w:t xml:space="preserve">overall </w:t>
      </w:r>
      <w:r w:rsidR="00EF1AEC" w:rsidRPr="00D57C02">
        <w:rPr>
          <w:rFonts w:ascii="Arial" w:hAnsi="Arial" w:cs="Arial"/>
        </w:rPr>
        <w:t xml:space="preserve">Country Dialogue </w:t>
      </w:r>
      <w:proofErr w:type="gramStart"/>
      <w:r w:rsidR="00EF1AEC" w:rsidRPr="00D57C02">
        <w:rPr>
          <w:rFonts w:ascii="Arial" w:hAnsi="Arial" w:cs="Arial"/>
        </w:rPr>
        <w:t>process</w:t>
      </w:r>
      <w:r w:rsidR="00423187" w:rsidRPr="00D57C02">
        <w:rPr>
          <w:rFonts w:ascii="Arial" w:hAnsi="Arial" w:cs="Arial"/>
        </w:rPr>
        <w:t>,</w:t>
      </w:r>
      <w:proofErr w:type="gramEnd"/>
      <w:r w:rsidR="00EF1AEC" w:rsidRPr="00D57C02">
        <w:rPr>
          <w:rFonts w:ascii="Arial" w:hAnsi="Arial" w:cs="Arial"/>
        </w:rPr>
        <w:t xml:space="preserve"> </w:t>
      </w:r>
      <w:r w:rsidR="00A93729" w:rsidRPr="00D57C02">
        <w:rPr>
          <w:rFonts w:ascii="Arial" w:hAnsi="Arial" w:cs="Arial"/>
        </w:rPr>
        <w:t xml:space="preserve">played a significant role in identifying the barriers </w:t>
      </w:r>
      <w:r w:rsidR="006616F3">
        <w:rPr>
          <w:rFonts w:ascii="Arial" w:hAnsi="Arial" w:cs="Arial"/>
        </w:rPr>
        <w:t xml:space="preserve">to access services including stigma and discrimination, which </w:t>
      </w:r>
      <w:r w:rsidR="001412BA">
        <w:rPr>
          <w:rFonts w:ascii="Arial" w:hAnsi="Arial" w:cs="Arial"/>
        </w:rPr>
        <w:t>were</w:t>
      </w:r>
      <w:r w:rsidR="006616F3">
        <w:rPr>
          <w:rFonts w:ascii="Arial" w:hAnsi="Arial" w:cs="Arial"/>
        </w:rPr>
        <w:t xml:space="preserve"> to be addressed to increase </w:t>
      </w:r>
      <w:r w:rsidR="002B25DC">
        <w:rPr>
          <w:rFonts w:ascii="Arial" w:hAnsi="Arial" w:cs="Arial"/>
        </w:rPr>
        <w:t xml:space="preserve">TB </w:t>
      </w:r>
      <w:r w:rsidR="006616F3">
        <w:rPr>
          <w:rFonts w:ascii="Arial" w:hAnsi="Arial" w:cs="Arial"/>
        </w:rPr>
        <w:t xml:space="preserve">case notifications. </w:t>
      </w:r>
      <w:r w:rsidR="00A93729" w:rsidRPr="00D57C02">
        <w:rPr>
          <w:rFonts w:ascii="Arial" w:hAnsi="Arial" w:cs="Arial"/>
        </w:rPr>
        <w:t>The</w:t>
      </w:r>
      <w:r w:rsidR="008557F5">
        <w:rPr>
          <w:rFonts w:ascii="Arial" w:hAnsi="Arial" w:cs="Arial"/>
        </w:rPr>
        <w:t>re were</w:t>
      </w:r>
      <w:r w:rsidR="00A93729" w:rsidRPr="00D57C02">
        <w:rPr>
          <w:rFonts w:ascii="Arial" w:hAnsi="Arial" w:cs="Arial"/>
        </w:rPr>
        <w:t xml:space="preserve"> </w:t>
      </w:r>
      <w:r w:rsidR="00C26C7A">
        <w:rPr>
          <w:rFonts w:ascii="Arial" w:hAnsi="Arial" w:cs="Arial"/>
        </w:rPr>
        <w:t>10</w:t>
      </w:r>
      <w:r w:rsidR="001A4630" w:rsidRPr="00D57C02">
        <w:rPr>
          <w:rFonts w:ascii="Arial" w:hAnsi="Arial" w:cs="Arial"/>
        </w:rPr>
        <w:t xml:space="preserve"> </w:t>
      </w:r>
      <w:r w:rsidR="00EF1AEC" w:rsidRPr="00D57C02">
        <w:rPr>
          <w:rFonts w:ascii="Arial" w:hAnsi="Arial" w:cs="Arial"/>
        </w:rPr>
        <w:t>thematic group meetings</w:t>
      </w:r>
      <w:r w:rsidR="00607564">
        <w:rPr>
          <w:rFonts w:ascii="Arial" w:hAnsi="Arial" w:cs="Arial"/>
        </w:rPr>
        <w:t xml:space="preserve"> with stakeholders, policy makers and </w:t>
      </w:r>
      <w:r w:rsidR="00607564" w:rsidRPr="00D57C02">
        <w:rPr>
          <w:rFonts w:ascii="Arial" w:hAnsi="Arial" w:cs="Arial"/>
        </w:rPr>
        <w:t>key affected populations</w:t>
      </w:r>
      <w:r w:rsidR="00EF1AEC" w:rsidRPr="00D57C02">
        <w:rPr>
          <w:rFonts w:ascii="Arial" w:hAnsi="Arial" w:cs="Arial"/>
        </w:rPr>
        <w:t xml:space="preserve">, followed by </w:t>
      </w:r>
      <w:r w:rsidR="00C26C7A">
        <w:rPr>
          <w:rFonts w:ascii="Arial" w:hAnsi="Arial" w:cs="Arial"/>
        </w:rPr>
        <w:t>9</w:t>
      </w:r>
      <w:r w:rsidR="001A4630" w:rsidRPr="00D57C02">
        <w:rPr>
          <w:rFonts w:ascii="Arial" w:hAnsi="Arial" w:cs="Arial"/>
        </w:rPr>
        <w:t xml:space="preserve"> </w:t>
      </w:r>
      <w:r w:rsidR="000B74B4" w:rsidRPr="00D57C02">
        <w:rPr>
          <w:rFonts w:ascii="Arial" w:hAnsi="Arial" w:cs="Arial"/>
        </w:rPr>
        <w:t xml:space="preserve">community-based </w:t>
      </w:r>
      <w:r w:rsidR="00C26C7A">
        <w:rPr>
          <w:rFonts w:ascii="Arial" w:hAnsi="Arial" w:cs="Arial"/>
        </w:rPr>
        <w:t>focus group</w:t>
      </w:r>
      <w:r w:rsidR="00EF1AEC" w:rsidRPr="00D57C02">
        <w:rPr>
          <w:rFonts w:ascii="Arial" w:hAnsi="Arial" w:cs="Arial"/>
        </w:rPr>
        <w:t xml:space="preserve"> discussions to engage marginalized groups, </w:t>
      </w:r>
      <w:r w:rsidR="00607564">
        <w:rPr>
          <w:rFonts w:ascii="Arial" w:hAnsi="Arial" w:cs="Arial"/>
        </w:rPr>
        <w:t xml:space="preserve">refugees, migrant workers, </w:t>
      </w:r>
      <w:r w:rsidR="00EF1AEC" w:rsidRPr="00D57C02">
        <w:rPr>
          <w:rFonts w:ascii="Arial" w:hAnsi="Arial" w:cs="Arial"/>
        </w:rPr>
        <w:t xml:space="preserve">community </w:t>
      </w:r>
      <w:r w:rsidR="005F624B">
        <w:rPr>
          <w:rFonts w:ascii="Arial" w:hAnsi="Arial" w:cs="Arial"/>
        </w:rPr>
        <w:t>volunteers</w:t>
      </w:r>
      <w:r w:rsidR="00EF1AEC" w:rsidRPr="00D57C02">
        <w:rPr>
          <w:rFonts w:ascii="Arial" w:hAnsi="Arial" w:cs="Arial"/>
        </w:rPr>
        <w:t xml:space="preserve"> and frontline health </w:t>
      </w:r>
      <w:r w:rsidR="00607564">
        <w:rPr>
          <w:rFonts w:ascii="Arial" w:hAnsi="Arial" w:cs="Arial"/>
        </w:rPr>
        <w:t>workers</w:t>
      </w:r>
      <w:r w:rsidR="00EF1AEC" w:rsidRPr="00D57C02">
        <w:rPr>
          <w:rFonts w:ascii="Arial" w:hAnsi="Arial" w:cs="Arial"/>
        </w:rPr>
        <w:t>.</w:t>
      </w:r>
      <w:r w:rsidR="00272BFE">
        <w:rPr>
          <w:rFonts w:ascii="Arial" w:hAnsi="Arial" w:cs="Arial"/>
        </w:rPr>
        <w:t xml:space="preserve"> </w:t>
      </w:r>
      <w:r w:rsidR="00B72510">
        <w:rPr>
          <w:rFonts w:ascii="Arial" w:hAnsi="Arial" w:cs="Arial"/>
        </w:rPr>
        <w:t>However, i</w:t>
      </w:r>
      <w:r w:rsidR="00607564">
        <w:rPr>
          <w:rFonts w:ascii="Arial" w:hAnsi="Arial" w:cs="Arial"/>
        </w:rPr>
        <w:t xml:space="preserve">t </w:t>
      </w:r>
      <w:r w:rsidR="00F131A1">
        <w:rPr>
          <w:rFonts w:ascii="Arial" w:hAnsi="Arial" w:cs="Arial"/>
        </w:rPr>
        <w:t>wa</w:t>
      </w:r>
      <w:r w:rsidR="00607564">
        <w:rPr>
          <w:rFonts w:ascii="Arial" w:hAnsi="Arial" w:cs="Arial"/>
        </w:rPr>
        <w:t xml:space="preserve">s clear that </w:t>
      </w:r>
      <w:r w:rsidR="0005237E">
        <w:rPr>
          <w:rFonts w:ascii="Arial" w:hAnsi="Arial" w:cs="Arial"/>
        </w:rPr>
        <w:t>high</w:t>
      </w:r>
      <w:r w:rsidR="0058069F">
        <w:rPr>
          <w:rFonts w:ascii="Arial" w:hAnsi="Arial" w:cs="Arial"/>
        </w:rPr>
        <w:t>-</w:t>
      </w:r>
      <w:r w:rsidR="0005237E">
        <w:rPr>
          <w:rFonts w:ascii="Arial" w:hAnsi="Arial" w:cs="Arial"/>
        </w:rPr>
        <w:t xml:space="preserve">level interventions </w:t>
      </w:r>
      <w:r w:rsidR="00607564">
        <w:rPr>
          <w:rFonts w:ascii="Arial" w:hAnsi="Arial" w:cs="Arial"/>
        </w:rPr>
        <w:t xml:space="preserve">through the catalytic funding </w:t>
      </w:r>
      <w:r w:rsidR="0005237E">
        <w:rPr>
          <w:rFonts w:ascii="Arial" w:hAnsi="Arial" w:cs="Arial"/>
        </w:rPr>
        <w:t xml:space="preserve">would also be required to </w:t>
      </w:r>
      <w:r w:rsidR="001412BA">
        <w:rPr>
          <w:rFonts w:ascii="Arial" w:hAnsi="Arial" w:cs="Arial"/>
        </w:rPr>
        <w:t xml:space="preserve">remove the barriers and </w:t>
      </w:r>
      <w:r w:rsidR="00607564">
        <w:rPr>
          <w:rFonts w:ascii="Arial" w:hAnsi="Arial" w:cs="Arial"/>
        </w:rPr>
        <w:t xml:space="preserve">ensure universal health coverage. </w:t>
      </w:r>
      <w:r w:rsidR="001412BA">
        <w:rPr>
          <w:rFonts w:ascii="Arial" w:hAnsi="Arial" w:cs="Arial"/>
        </w:rPr>
        <w:t>In addition, s</w:t>
      </w:r>
      <w:r w:rsidR="00300D32" w:rsidRPr="00D57C02">
        <w:rPr>
          <w:rFonts w:ascii="Arial" w:hAnsi="Arial" w:cs="Arial"/>
        </w:rPr>
        <w:t xml:space="preserve">everal in-depth discussions took place with key staff of the </w:t>
      </w:r>
      <w:r w:rsidR="00300D32">
        <w:rPr>
          <w:rFonts w:ascii="Arial" w:hAnsi="Arial" w:cs="Arial"/>
        </w:rPr>
        <w:t xml:space="preserve">NTC, </w:t>
      </w:r>
      <w:proofErr w:type="spellStart"/>
      <w:r w:rsidR="00300D32">
        <w:rPr>
          <w:rFonts w:ascii="Arial" w:hAnsi="Arial" w:cs="Arial"/>
        </w:rPr>
        <w:t>MoH</w:t>
      </w:r>
      <w:proofErr w:type="spellEnd"/>
      <w:r w:rsidR="00300D32">
        <w:rPr>
          <w:rFonts w:ascii="Arial" w:hAnsi="Arial" w:cs="Arial"/>
        </w:rPr>
        <w:t xml:space="preserve">, </w:t>
      </w:r>
      <w:proofErr w:type="spellStart"/>
      <w:r w:rsidR="00300D32">
        <w:rPr>
          <w:rFonts w:ascii="Arial" w:hAnsi="Arial" w:cs="Arial"/>
        </w:rPr>
        <w:t>DoHS</w:t>
      </w:r>
      <w:proofErr w:type="spellEnd"/>
      <w:r w:rsidR="00300D32">
        <w:rPr>
          <w:rFonts w:ascii="Arial" w:hAnsi="Arial" w:cs="Arial"/>
        </w:rPr>
        <w:t xml:space="preserve">, </w:t>
      </w:r>
      <w:r w:rsidR="001412BA">
        <w:rPr>
          <w:rFonts w:ascii="Arial" w:hAnsi="Arial" w:cs="Arial"/>
        </w:rPr>
        <w:t xml:space="preserve">CCM, </w:t>
      </w:r>
      <w:r w:rsidR="00300D32">
        <w:rPr>
          <w:rFonts w:ascii="Arial" w:hAnsi="Arial" w:cs="Arial"/>
        </w:rPr>
        <w:t>prison</w:t>
      </w:r>
      <w:r w:rsidR="00300D32" w:rsidRPr="00D57C02">
        <w:rPr>
          <w:rFonts w:ascii="Arial" w:hAnsi="Arial" w:cs="Arial"/>
        </w:rPr>
        <w:t xml:space="preserve">, </w:t>
      </w:r>
      <w:r w:rsidR="00300D32">
        <w:rPr>
          <w:rFonts w:ascii="Arial" w:hAnsi="Arial" w:cs="Arial"/>
        </w:rPr>
        <w:t>army</w:t>
      </w:r>
      <w:r w:rsidR="001412BA">
        <w:rPr>
          <w:rFonts w:ascii="Arial" w:hAnsi="Arial" w:cs="Arial"/>
        </w:rPr>
        <w:t xml:space="preserve"> and</w:t>
      </w:r>
      <w:r w:rsidR="00300D32" w:rsidRPr="00D57C02">
        <w:rPr>
          <w:rFonts w:ascii="Arial" w:hAnsi="Arial" w:cs="Arial"/>
        </w:rPr>
        <w:t xml:space="preserve"> </w:t>
      </w:r>
      <w:r w:rsidR="00300D32">
        <w:rPr>
          <w:rFonts w:ascii="Arial" w:hAnsi="Arial" w:cs="Arial"/>
        </w:rPr>
        <w:t xml:space="preserve">professional associations </w:t>
      </w:r>
      <w:r w:rsidR="001412BA">
        <w:rPr>
          <w:rFonts w:ascii="Arial" w:hAnsi="Arial" w:cs="Arial"/>
        </w:rPr>
        <w:t>(medical, nursing and paramedical).</w:t>
      </w:r>
      <w:r w:rsidR="00300D32">
        <w:rPr>
          <w:rFonts w:ascii="Arial" w:hAnsi="Arial" w:cs="Arial"/>
        </w:rPr>
        <w:t xml:space="preserve"> </w:t>
      </w:r>
    </w:p>
    <w:p w14:paraId="7FCD86EF" w14:textId="1BE7EB1D" w:rsidR="00E17D32" w:rsidRDefault="000C1BFD" w:rsidP="0098673D">
      <w:pPr>
        <w:spacing w:after="0" w:line="240" w:lineRule="auto"/>
        <w:jc w:val="both"/>
        <w:rPr>
          <w:rFonts w:ascii="Arial" w:hAnsi="Arial" w:cs="Arial"/>
          <w:u w:val="single"/>
        </w:rPr>
      </w:pPr>
      <w:r w:rsidRPr="000C1BFD">
        <w:rPr>
          <w:rFonts w:ascii="Arial" w:hAnsi="Arial" w:cs="Arial"/>
          <w:u w:val="single"/>
        </w:rPr>
        <w:t>Hence, the</w:t>
      </w:r>
      <w:r w:rsidR="00E17D32" w:rsidRPr="000C1BFD">
        <w:rPr>
          <w:rFonts w:ascii="Arial" w:hAnsi="Arial" w:cs="Arial"/>
          <w:u w:val="single"/>
        </w:rPr>
        <w:t xml:space="preserve"> following modules </w:t>
      </w:r>
      <w:r w:rsidR="002F34C6" w:rsidRPr="000C1BFD">
        <w:rPr>
          <w:rFonts w:ascii="Arial" w:hAnsi="Arial" w:cs="Arial"/>
          <w:u w:val="single"/>
        </w:rPr>
        <w:t xml:space="preserve">and interventions </w:t>
      </w:r>
      <w:r w:rsidRPr="000C1BFD">
        <w:rPr>
          <w:rFonts w:ascii="Arial" w:hAnsi="Arial" w:cs="Arial"/>
          <w:u w:val="single"/>
        </w:rPr>
        <w:t>were</w:t>
      </w:r>
      <w:r w:rsidR="00E17D32" w:rsidRPr="000C1BFD">
        <w:rPr>
          <w:rFonts w:ascii="Arial" w:hAnsi="Arial" w:cs="Arial"/>
          <w:u w:val="single"/>
        </w:rPr>
        <w:t xml:space="preserve"> prioritized based on the country’s need</w:t>
      </w:r>
      <w:r w:rsidR="00180BAF">
        <w:rPr>
          <w:rFonts w:ascii="Arial" w:hAnsi="Arial" w:cs="Arial"/>
          <w:u w:val="single"/>
        </w:rPr>
        <w:t xml:space="preserve"> </w:t>
      </w:r>
      <w:r w:rsidR="00472013">
        <w:rPr>
          <w:rFonts w:ascii="Arial" w:hAnsi="Arial" w:cs="Arial"/>
          <w:u w:val="single"/>
        </w:rPr>
        <w:t xml:space="preserve">as </w:t>
      </w:r>
      <w:r w:rsidR="008D33BF">
        <w:rPr>
          <w:rFonts w:ascii="Arial" w:hAnsi="Arial" w:cs="Arial"/>
          <w:u w:val="single"/>
        </w:rPr>
        <w:t xml:space="preserve">listed </w:t>
      </w:r>
      <w:r w:rsidR="00472013">
        <w:rPr>
          <w:rFonts w:ascii="Arial" w:hAnsi="Arial" w:cs="Arial"/>
          <w:u w:val="single"/>
        </w:rPr>
        <w:t>duri</w:t>
      </w:r>
      <w:r w:rsidR="0005237E">
        <w:rPr>
          <w:rFonts w:ascii="Arial" w:hAnsi="Arial" w:cs="Arial"/>
          <w:u w:val="single"/>
        </w:rPr>
        <w:t>ng the inclusive</w:t>
      </w:r>
      <w:r w:rsidR="00472013">
        <w:rPr>
          <w:rFonts w:ascii="Arial" w:hAnsi="Arial" w:cs="Arial"/>
          <w:u w:val="single"/>
        </w:rPr>
        <w:t xml:space="preserve"> country dialogue</w:t>
      </w:r>
      <w:r w:rsidR="00E17D32" w:rsidRPr="000C1BFD">
        <w:rPr>
          <w:rFonts w:ascii="Arial" w:hAnsi="Arial" w:cs="Arial"/>
          <w:u w:val="single"/>
        </w:rPr>
        <w:t>.</w:t>
      </w:r>
      <w:r w:rsidR="006616F3">
        <w:rPr>
          <w:rFonts w:ascii="Arial" w:hAnsi="Arial" w:cs="Arial"/>
          <w:u w:val="single"/>
        </w:rPr>
        <w:t xml:space="preserve"> </w:t>
      </w:r>
    </w:p>
    <w:p w14:paraId="2B337833" w14:textId="77777777" w:rsidR="00E23956" w:rsidRDefault="00E23956" w:rsidP="0098673D">
      <w:pPr>
        <w:spacing w:after="0" w:line="240" w:lineRule="auto"/>
        <w:jc w:val="both"/>
        <w:rPr>
          <w:rFonts w:ascii="Arial" w:hAnsi="Arial" w:cs="Arial"/>
          <w:u w:val="single"/>
        </w:rPr>
      </w:pPr>
    </w:p>
    <w:p w14:paraId="2114A4B8" w14:textId="0B5DA1DF" w:rsidR="007C1F6B" w:rsidRPr="000C3B82" w:rsidRDefault="000C3B82" w:rsidP="000C3B82">
      <w:pPr>
        <w:spacing w:after="0" w:line="240" w:lineRule="auto"/>
        <w:jc w:val="both"/>
        <w:rPr>
          <w:rFonts w:ascii="Arial" w:hAnsi="Arial" w:cs="Arial"/>
          <w:b/>
        </w:rPr>
      </w:pPr>
      <w:r>
        <w:rPr>
          <w:rFonts w:ascii="Arial" w:hAnsi="Arial" w:cs="Arial"/>
          <w:b/>
        </w:rPr>
        <w:t xml:space="preserve">A. </w:t>
      </w:r>
      <w:r w:rsidR="00E17D32" w:rsidRPr="000C3B82">
        <w:rPr>
          <w:rFonts w:ascii="Arial" w:hAnsi="Arial" w:cs="Arial"/>
          <w:b/>
        </w:rPr>
        <w:t>Module</w:t>
      </w:r>
      <w:r w:rsidR="0064721F" w:rsidRPr="000C3B82">
        <w:rPr>
          <w:rFonts w:ascii="Arial" w:hAnsi="Arial" w:cs="Arial"/>
          <w:b/>
        </w:rPr>
        <w:t xml:space="preserve">: </w:t>
      </w:r>
      <w:r w:rsidR="007C1F6B" w:rsidRPr="000C3B82">
        <w:rPr>
          <w:rFonts w:ascii="Arial" w:hAnsi="Arial" w:cs="Arial"/>
          <w:b/>
        </w:rPr>
        <w:t>TB Care &amp; Preve</w:t>
      </w:r>
      <w:r w:rsidR="00A10936" w:rsidRPr="000C3B82">
        <w:rPr>
          <w:rFonts w:ascii="Arial" w:hAnsi="Arial" w:cs="Arial"/>
          <w:b/>
        </w:rPr>
        <w:t>ntion</w:t>
      </w:r>
    </w:p>
    <w:p w14:paraId="74BFE14B" w14:textId="52E46CE2" w:rsidR="00FF0588" w:rsidRDefault="00E17D32" w:rsidP="00FF0588">
      <w:pPr>
        <w:spacing w:after="0" w:line="240" w:lineRule="auto"/>
        <w:jc w:val="both"/>
        <w:rPr>
          <w:rFonts w:ascii="Arial" w:hAnsi="Arial" w:cs="Arial"/>
        </w:rPr>
      </w:pPr>
      <w:r>
        <w:rPr>
          <w:rFonts w:ascii="Arial" w:hAnsi="Arial" w:cs="Arial"/>
        </w:rPr>
        <w:t xml:space="preserve">National Strategic Plan envisions </w:t>
      </w:r>
      <w:proofErr w:type="gramStart"/>
      <w:r>
        <w:rPr>
          <w:rFonts w:ascii="Arial" w:hAnsi="Arial" w:cs="Arial"/>
        </w:rPr>
        <w:t>to strengthen</w:t>
      </w:r>
      <w:proofErr w:type="gramEnd"/>
      <w:r>
        <w:rPr>
          <w:rFonts w:ascii="Arial" w:hAnsi="Arial" w:cs="Arial"/>
        </w:rPr>
        <w:t xml:space="preserve"> the case detection with additional 20</w:t>
      </w:r>
      <w:r w:rsidR="00D65452">
        <w:rPr>
          <w:rFonts w:ascii="Arial" w:hAnsi="Arial" w:cs="Arial"/>
        </w:rPr>
        <w:t>,</w:t>
      </w:r>
      <w:r>
        <w:rPr>
          <w:rFonts w:ascii="Arial" w:hAnsi="Arial" w:cs="Arial"/>
        </w:rPr>
        <w:t xml:space="preserve">000 cases to be notified during the NSP period. </w:t>
      </w:r>
      <w:r w:rsidR="006317D6">
        <w:rPr>
          <w:rFonts w:ascii="Arial" w:hAnsi="Arial" w:cs="Arial"/>
        </w:rPr>
        <w:t>In 2016, the</w:t>
      </w:r>
      <w:r w:rsidRPr="0064721F">
        <w:rPr>
          <w:rFonts w:ascii="Arial" w:hAnsi="Arial" w:cs="Arial"/>
        </w:rPr>
        <w:t xml:space="preserve"> TB case notification rate </w:t>
      </w:r>
      <w:r w:rsidR="006317D6">
        <w:rPr>
          <w:rFonts w:ascii="Arial" w:hAnsi="Arial" w:cs="Arial"/>
        </w:rPr>
        <w:t>wa</w:t>
      </w:r>
      <w:r w:rsidRPr="0064721F">
        <w:rPr>
          <w:rFonts w:ascii="Arial" w:hAnsi="Arial" w:cs="Arial"/>
        </w:rPr>
        <w:t>s 11</w:t>
      </w:r>
      <w:r w:rsidR="006317D6">
        <w:rPr>
          <w:rFonts w:ascii="Arial" w:hAnsi="Arial" w:cs="Arial"/>
        </w:rPr>
        <w:t xml:space="preserve">2 per 100,000 </w:t>
      </w:r>
      <w:proofErr w:type="gramStart"/>
      <w:r w:rsidR="006317D6">
        <w:rPr>
          <w:rFonts w:ascii="Arial" w:hAnsi="Arial" w:cs="Arial"/>
        </w:rPr>
        <w:t>population</w:t>
      </w:r>
      <w:proofErr w:type="gramEnd"/>
      <w:r w:rsidRPr="0064721F">
        <w:rPr>
          <w:rFonts w:ascii="Arial" w:hAnsi="Arial" w:cs="Arial"/>
        </w:rPr>
        <w:t>.</w:t>
      </w:r>
      <w:r>
        <w:rPr>
          <w:rFonts w:ascii="Arial" w:hAnsi="Arial" w:cs="Arial"/>
        </w:rPr>
        <w:t xml:space="preserve"> With a decrease in </w:t>
      </w:r>
      <w:r w:rsidR="00D65452">
        <w:rPr>
          <w:rFonts w:ascii="Arial" w:hAnsi="Arial" w:cs="Arial"/>
        </w:rPr>
        <w:t xml:space="preserve">the </w:t>
      </w:r>
      <w:r>
        <w:rPr>
          <w:rFonts w:ascii="Arial" w:hAnsi="Arial" w:cs="Arial"/>
        </w:rPr>
        <w:t>last two years</w:t>
      </w:r>
      <w:r w:rsidR="00D65452">
        <w:rPr>
          <w:rFonts w:ascii="Arial" w:hAnsi="Arial" w:cs="Arial"/>
        </w:rPr>
        <w:t>, t</w:t>
      </w:r>
      <w:r w:rsidR="00CB5665">
        <w:rPr>
          <w:rFonts w:ascii="Arial" w:hAnsi="Arial" w:cs="Arial"/>
        </w:rPr>
        <w:t xml:space="preserve">he rationale for selecting this </w:t>
      </w:r>
      <w:r w:rsidR="00CB5665">
        <w:rPr>
          <w:rFonts w:ascii="Arial" w:hAnsi="Arial" w:cs="Arial"/>
        </w:rPr>
        <w:lastRenderedPageBreak/>
        <w:t>module</w:t>
      </w:r>
      <w:r w:rsidR="00A5635C">
        <w:rPr>
          <w:rFonts w:ascii="Arial" w:hAnsi="Arial" w:cs="Arial"/>
        </w:rPr>
        <w:t xml:space="preserve"> is</w:t>
      </w:r>
      <w:r w:rsidR="00A95C6D">
        <w:rPr>
          <w:rFonts w:ascii="Arial" w:hAnsi="Arial" w:cs="Arial"/>
        </w:rPr>
        <w:t xml:space="preserve"> to</w:t>
      </w:r>
      <w:r w:rsidR="00A5635C">
        <w:rPr>
          <w:rFonts w:ascii="Arial" w:hAnsi="Arial" w:cs="Arial"/>
        </w:rPr>
        <w:t xml:space="preserve"> invest in high impact interventions to detect</w:t>
      </w:r>
      <w:r w:rsidR="004B0D4C">
        <w:rPr>
          <w:rFonts w:ascii="Arial" w:hAnsi="Arial" w:cs="Arial"/>
        </w:rPr>
        <w:t>,</w:t>
      </w:r>
      <w:r w:rsidR="00A5635C">
        <w:rPr>
          <w:rFonts w:ascii="Arial" w:hAnsi="Arial" w:cs="Arial"/>
        </w:rPr>
        <w:t xml:space="preserve"> diagnose and treat effectively all the TB cases</w:t>
      </w:r>
      <w:r w:rsidR="00793006">
        <w:rPr>
          <w:rFonts w:ascii="Arial" w:hAnsi="Arial" w:cs="Arial"/>
        </w:rPr>
        <w:t>,</w:t>
      </w:r>
      <w:r w:rsidR="00A5635C">
        <w:rPr>
          <w:rFonts w:ascii="Arial" w:hAnsi="Arial" w:cs="Arial"/>
        </w:rPr>
        <w:t xml:space="preserve"> including the missing cases </w:t>
      </w:r>
      <w:r w:rsidR="00667EBA">
        <w:rPr>
          <w:rFonts w:ascii="Arial" w:hAnsi="Arial" w:cs="Arial"/>
        </w:rPr>
        <w:t>among the key and vulnerable populations</w:t>
      </w:r>
      <w:r w:rsidR="00A5635C">
        <w:rPr>
          <w:rFonts w:ascii="Arial" w:hAnsi="Arial" w:cs="Arial"/>
        </w:rPr>
        <w:t xml:space="preserve">. </w:t>
      </w:r>
    </w:p>
    <w:p w14:paraId="5223ABDF" w14:textId="7ED6E8CD" w:rsidR="00CE4D2B" w:rsidRPr="000016CC" w:rsidRDefault="00CE4D2B" w:rsidP="000016CC">
      <w:pPr>
        <w:spacing w:after="0" w:line="240" w:lineRule="auto"/>
        <w:jc w:val="both"/>
        <w:rPr>
          <w:rFonts w:ascii="Arial" w:hAnsi="Arial" w:cs="Arial"/>
          <w:b/>
        </w:rPr>
      </w:pPr>
      <w:r w:rsidRPr="000016CC">
        <w:rPr>
          <w:rFonts w:ascii="Arial" w:hAnsi="Arial" w:cs="Arial"/>
          <w:b/>
        </w:rPr>
        <w:t xml:space="preserve">Case detection and </w:t>
      </w:r>
      <w:r w:rsidR="006449A3" w:rsidRPr="000016CC">
        <w:rPr>
          <w:rFonts w:ascii="Arial" w:hAnsi="Arial" w:cs="Arial"/>
          <w:b/>
        </w:rPr>
        <w:t>diagnosis</w:t>
      </w:r>
    </w:p>
    <w:p w14:paraId="15ADFA29" w14:textId="76A28847" w:rsidR="00FF0588" w:rsidRDefault="00FF0588" w:rsidP="000D2240">
      <w:pPr>
        <w:spacing w:after="0" w:line="240" w:lineRule="auto"/>
        <w:jc w:val="both"/>
        <w:rPr>
          <w:rFonts w:ascii="Arial" w:hAnsi="Arial" w:cs="Arial"/>
        </w:rPr>
      </w:pPr>
      <w:r w:rsidRPr="00FF0588">
        <w:rPr>
          <w:rFonts w:ascii="Arial" w:hAnsi="Arial" w:cs="Arial"/>
          <w:u w:val="single"/>
        </w:rPr>
        <w:t>Intensify case finding</w:t>
      </w:r>
      <w:r>
        <w:rPr>
          <w:rFonts w:ascii="Arial" w:hAnsi="Arial" w:cs="Arial"/>
        </w:rPr>
        <w:t>: The rationale is to invest in h</w:t>
      </w:r>
      <w:r w:rsidRPr="003942C4">
        <w:rPr>
          <w:rFonts w:ascii="Arial" w:hAnsi="Arial" w:cs="Arial"/>
        </w:rPr>
        <w:t>igh</w:t>
      </w:r>
      <w:r w:rsidRPr="00D57C02">
        <w:rPr>
          <w:rFonts w:ascii="Arial" w:hAnsi="Arial" w:cs="Arial"/>
        </w:rPr>
        <w:t xml:space="preserve"> impact interventions based on WHO evidence-based</w:t>
      </w:r>
      <w:r>
        <w:rPr>
          <w:rFonts w:ascii="Arial" w:hAnsi="Arial" w:cs="Arial"/>
        </w:rPr>
        <w:t xml:space="preserve"> strategies </w:t>
      </w:r>
      <w:r w:rsidRPr="00C67C93">
        <w:rPr>
          <w:rFonts w:ascii="Arial" w:hAnsi="Arial" w:cs="Arial"/>
        </w:rPr>
        <w:t>(</w:t>
      </w:r>
      <w:r w:rsidRPr="00C67C93">
        <w:rPr>
          <w:rFonts w:ascii="Arial" w:hAnsi="Arial" w:cs="Arial"/>
          <w:i/>
        </w:rPr>
        <w:t>Annex-13, p12, 25-27</w:t>
      </w:r>
      <w:r w:rsidRPr="00C67C93">
        <w:rPr>
          <w:rFonts w:ascii="Arial" w:hAnsi="Arial" w:cs="Arial"/>
        </w:rPr>
        <w:t xml:space="preserve">) to </w:t>
      </w:r>
      <w:r>
        <w:rPr>
          <w:rFonts w:ascii="Arial" w:hAnsi="Arial" w:cs="Arial"/>
        </w:rPr>
        <w:t xml:space="preserve">meet the </w:t>
      </w:r>
      <w:r w:rsidR="004A3E3F">
        <w:rPr>
          <w:rFonts w:ascii="Arial" w:hAnsi="Arial" w:cs="Arial"/>
        </w:rPr>
        <w:t>proposed</w:t>
      </w:r>
      <w:r>
        <w:rPr>
          <w:rFonts w:ascii="Arial" w:hAnsi="Arial" w:cs="Arial"/>
        </w:rPr>
        <w:t xml:space="preserve"> targets and </w:t>
      </w:r>
      <w:r w:rsidRPr="00C67C93">
        <w:rPr>
          <w:rFonts w:ascii="Arial" w:hAnsi="Arial" w:cs="Arial"/>
        </w:rPr>
        <w:t xml:space="preserve">effectively find the </w:t>
      </w:r>
      <w:r w:rsidR="00BE49D1">
        <w:rPr>
          <w:rFonts w:ascii="Arial" w:hAnsi="Arial" w:cs="Arial"/>
        </w:rPr>
        <w:t xml:space="preserve">annual </w:t>
      </w:r>
      <w:r w:rsidRPr="00C67C93">
        <w:rPr>
          <w:rFonts w:ascii="Arial" w:hAnsi="Arial" w:cs="Arial"/>
        </w:rPr>
        <w:t>missing 12,000 cases</w:t>
      </w:r>
      <w:r w:rsidR="004E6676">
        <w:rPr>
          <w:rFonts w:ascii="Arial" w:hAnsi="Arial" w:cs="Arial"/>
        </w:rPr>
        <w:t xml:space="preserve"> (Figure-</w:t>
      </w:r>
      <w:r w:rsidR="00A15428">
        <w:rPr>
          <w:rFonts w:ascii="Arial" w:hAnsi="Arial" w:cs="Arial"/>
        </w:rPr>
        <w:t>6</w:t>
      </w:r>
      <w:r w:rsidR="004E6676">
        <w:rPr>
          <w:rFonts w:ascii="Arial" w:hAnsi="Arial" w:cs="Arial"/>
        </w:rPr>
        <w:t>)</w:t>
      </w:r>
      <w:r>
        <w:rPr>
          <w:rFonts w:ascii="Arial" w:hAnsi="Arial" w:cs="Arial"/>
        </w:rPr>
        <w:t xml:space="preserve">. </w:t>
      </w:r>
      <w:r w:rsidR="00BE49D1">
        <w:rPr>
          <w:rFonts w:ascii="Arial" w:hAnsi="Arial" w:cs="Arial"/>
        </w:rPr>
        <w:t xml:space="preserve">NSP envisaged </w:t>
      </w:r>
      <w:proofErr w:type="gramStart"/>
      <w:r w:rsidRPr="00D57C02">
        <w:rPr>
          <w:rFonts w:ascii="Arial" w:hAnsi="Arial" w:cs="Arial"/>
        </w:rPr>
        <w:t>to detect</w:t>
      </w:r>
      <w:proofErr w:type="gramEnd"/>
      <w:r w:rsidRPr="00D57C02">
        <w:rPr>
          <w:rFonts w:ascii="Arial" w:hAnsi="Arial" w:cs="Arial"/>
        </w:rPr>
        <w:t xml:space="preserve"> 84% </w:t>
      </w:r>
      <w:r>
        <w:rPr>
          <w:rFonts w:ascii="Arial" w:hAnsi="Arial" w:cs="Arial"/>
        </w:rPr>
        <w:t xml:space="preserve">of TB cases in </w:t>
      </w:r>
      <w:r w:rsidRPr="00D57C02">
        <w:rPr>
          <w:rFonts w:ascii="Arial" w:hAnsi="Arial" w:cs="Arial"/>
        </w:rPr>
        <w:t xml:space="preserve">year-1, 86% </w:t>
      </w:r>
      <w:r>
        <w:rPr>
          <w:rFonts w:ascii="Arial" w:hAnsi="Arial" w:cs="Arial"/>
        </w:rPr>
        <w:t xml:space="preserve">in </w:t>
      </w:r>
      <w:r w:rsidRPr="00D57C02">
        <w:rPr>
          <w:rFonts w:ascii="Arial" w:hAnsi="Arial" w:cs="Arial"/>
        </w:rPr>
        <w:t xml:space="preserve">year-2 and 92% </w:t>
      </w:r>
      <w:r>
        <w:rPr>
          <w:rFonts w:ascii="Arial" w:hAnsi="Arial" w:cs="Arial"/>
        </w:rPr>
        <w:t xml:space="preserve">in </w:t>
      </w:r>
      <w:r w:rsidRPr="00D57C02">
        <w:rPr>
          <w:rFonts w:ascii="Arial" w:hAnsi="Arial" w:cs="Arial"/>
        </w:rPr>
        <w:t xml:space="preserve">year-3 </w:t>
      </w:r>
      <w:r>
        <w:rPr>
          <w:rFonts w:ascii="Arial" w:hAnsi="Arial" w:cs="Arial"/>
        </w:rPr>
        <w:t>during</w:t>
      </w:r>
      <w:r w:rsidRPr="00D57C02">
        <w:rPr>
          <w:rFonts w:ascii="Arial" w:hAnsi="Arial" w:cs="Arial"/>
        </w:rPr>
        <w:t xml:space="preserve"> the GF grant </w:t>
      </w:r>
      <w:r w:rsidRPr="002F1C0E">
        <w:rPr>
          <w:rFonts w:ascii="Arial" w:hAnsi="Arial" w:cs="Arial"/>
        </w:rPr>
        <w:t>allocation period (2018-2021) including child TB cases- 8% in year-1, 9% in year-2 and 10% in year-3.</w:t>
      </w:r>
    </w:p>
    <w:p w14:paraId="5BE2EBE5" w14:textId="79A49D85" w:rsidR="00327AAE" w:rsidRDefault="00BA60B6" w:rsidP="00327AAE">
      <w:pPr>
        <w:spacing w:after="0" w:line="240" w:lineRule="auto"/>
        <w:rPr>
          <w:rFonts w:ascii="Arial" w:hAnsi="Arial" w:cs="Arial"/>
        </w:rPr>
      </w:pPr>
      <w:r>
        <w:rPr>
          <w:noProof/>
          <w:lang w:eastAsia="en-GB"/>
        </w:rPr>
        <w:drawing>
          <wp:anchor distT="0" distB="0" distL="114300" distR="114300" simplePos="0" relativeHeight="251684866" behindDoc="0" locked="0" layoutInCell="1" allowOverlap="1" wp14:anchorId="51CF1573" wp14:editId="6019FEF0">
            <wp:simplePos x="0" y="0"/>
            <wp:positionH relativeFrom="column">
              <wp:posOffset>1216025</wp:posOffset>
            </wp:positionH>
            <wp:positionV relativeFrom="paragraph">
              <wp:posOffset>61595</wp:posOffset>
            </wp:positionV>
            <wp:extent cx="3621405" cy="1717040"/>
            <wp:effectExtent l="0" t="0" r="17145" b="16510"/>
            <wp:wrapSquare wrapText="bothSides"/>
            <wp:docPr id="16" name="Chart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C79EF0-4CEF-41FB-8FD2-530B6707E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713BE7A" w14:textId="77777777" w:rsidR="00327AAE" w:rsidRPr="00327AAE" w:rsidRDefault="00327AAE" w:rsidP="00327AAE">
      <w:pPr>
        <w:rPr>
          <w:rFonts w:ascii="Arial" w:hAnsi="Arial" w:cs="Arial"/>
        </w:rPr>
      </w:pPr>
    </w:p>
    <w:p w14:paraId="04C7C604" w14:textId="77777777" w:rsidR="00327AAE" w:rsidRPr="00327AAE" w:rsidRDefault="00327AAE" w:rsidP="00327AAE">
      <w:pPr>
        <w:rPr>
          <w:rFonts w:ascii="Arial" w:hAnsi="Arial" w:cs="Arial"/>
        </w:rPr>
      </w:pPr>
    </w:p>
    <w:p w14:paraId="5EEB5E6D" w14:textId="77777777" w:rsidR="00327AAE" w:rsidRPr="00327AAE" w:rsidRDefault="00327AAE" w:rsidP="00327AAE">
      <w:pPr>
        <w:rPr>
          <w:rFonts w:ascii="Arial" w:hAnsi="Arial" w:cs="Arial"/>
        </w:rPr>
      </w:pPr>
    </w:p>
    <w:p w14:paraId="39E6D8B3" w14:textId="77777777" w:rsidR="00327AAE" w:rsidRPr="00327AAE" w:rsidRDefault="00327AAE" w:rsidP="00327AAE">
      <w:pPr>
        <w:rPr>
          <w:rFonts w:ascii="Arial" w:hAnsi="Arial" w:cs="Arial"/>
        </w:rPr>
      </w:pPr>
    </w:p>
    <w:p w14:paraId="3B3BFB0A" w14:textId="348D9607" w:rsidR="00327AAE" w:rsidRDefault="00327AAE" w:rsidP="00327AAE">
      <w:pPr>
        <w:spacing w:after="0" w:line="240" w:lineRule="auto"/>
        <w:rPr>
          <w:rFonts w:ascii="Arial" w:hAnsi="Arial" w:cs="Arial"/>
        </w:rPr>
      </w:pPr>
    </w:p>
    <w:p w14:paraId="36C1589E" w14:textId="4D5991AE" w:rsidR="00327AAE" w:rsidRDefault="00327AAE" w:rsidP="00327AAE">
      <w:pPr>
        <w:spacing w:after="0" w:line="240" w:lineRule="auto"/>
        <w:rPr>
          <w:rFonts w:ascii="Arial" w:hAnsi="Arial" w:cs="Arial"/>
        </w:rPr>
      </w:pPr>
    </w:p>
    <w:p w14:paraId="28198B2D" w14:textId="1E316CC5" w:rsidR="0064721F" w:rsidRDefault="00327AAE" w:rsidP="001D1EBB">
      <w:pPr>
        <w:pStyle w:val="ListParagraph"/>
        <w:spacing w:after="0" w:line="240" w:lineRule="auto"/>
        <w:ind w:left="0"/>
        <w:jc w:val="both"/>
        <w:rPr>
          <w:rFonts w:ascii="Arial" w:hAnsi="Arial" w:cs="Arial"/>
        </w:rPr>
      </w:pPr>
      <w:r>
        <w:rPr>
          <w:rFonts w:ascii="Arial" w:hAnsi="Arial" w:cs="Arial"/>
        </w:rPr>
        <w:br w:type="textWrapping" w:clear="all"/>
      </w:r>
      <w:r w:rsidR="001D1EBB">
        <w:rPr>
          <w:rFonts w:ascii="Arial" w:hAnsi="Arial" w:cs="Arial"/>
          <w:u w:val="single"/>
        </w:rPr>
        <w:t>Activities t</w:t>
      </w:r>
      <w:r w:rsidR="001D1EBB" w:rsidRPr="00185CD3">
        <w:rPr>
          <w:rFonts w:ascii="Arial" w:hAnsi="Arial" w:cs="Arial"/>
          <w:u w:val="single"/>
        </w:rPr>
        <w:t>o address the key gaps</w:t>
      </w:r>
      <w:r w:rsidR="001D1EBB">
        <w:rPr>
          <w:rFonts w:ascii="Arial" w:hAnsi="Arial" w:cs="Arial"/>
          <w:u w:val="single"/>
        </w:rPr>
        <w:t xml:space="preserve"> include (</w:t>
      </w:r>
      <w:r w:rsidR="000D2240">
        <w:rPr>
          <w:rFonts w:ascii="Arial" w:hAnsi="Arial" w:cs="Arial"/>
          <w:u w:val="single"/>
        </w:rPr>
        <w:t xml:space="preserve">ACF </w:t>
      </w:r>
      <w:r w:rsidR="0064721F">
        <w:rPr>
          <w:rFonts w:ascii="Arial" w:hAnsi="Arial" w:cs="Arial"/>
          <w:u w:val="single"/>
        </w:rPr>
        <w:t xml:space="preserve">in </w:t>
      </w:r>
      <w:r w:rsidR="00C541C9">
        <w:rPr>
          <w:rFonts w:ascii="Arial" w:hAnsi="Arial" w:cs="Arial"/>
          <w:u w:val="single"/>
        </w:rPr>
        <w:t>40</w:t>
      </w:r>
      <w:r w:rsidR="0064721F">
        <w:rPr>
          <w:rFonts w:ascii="Arial" w:hAnsi="Arial" w:cs="Arial"/>
          <w:u w:val="single"/>
        </w:rPr>
        <w:t xml:space="preserve"> districts, </w:t>
      </w:r>
      <w:r w:rsidR="008A131F" w:rsidRPr="00303567">
        <w:rPr>
          <w:rFonts w:ascii="Arial" w:hAnsi="Arial" w:cs="Arial"/>
          <w:u w:val="single"/>
        </w:rPr>
        <w:t>2087</w:t>
      </w:r>
      <w:r w:rsidR="0064721F">
        <w:rPr>
          <w:rFonts w:ascii="Arial" w:hAnsi="Arial" w:cs="Arial"/>
          <w:u w:val="single"/>
        </w:rPr>
        <w:t xml:space="preserve"> hea</w:t>
      </w:r>
      <w:r w:rsidR="001D1EBB">
        <w:rPr>
          <w:rFonts w:ascii="Arial" w:hAnsi="Arial" w:cs="Arial"/>
          <w:u w:val="single"/>
        </w:rPr>
        <w:t>lth facilities (GF</w:t>
      </w:r>
      <w:proofErr w:type="gramStart"/>
      <w:r w:rsidR="001D1EBB">
        <w:rPr>
          <w:rFonts w:ascii="Arial" w:hAnsi="Arial" w:cs="Arial"/>
          <w:u w:val="single"/>
        </w:rPr>
        <w:t>)</w:t>
      </w:r>
      <w:r w:rsidR="007968B5" w:rsidRPr="007D0C47">
        <w:rPr>
          <w:rFonts w:ascii="Arial" w:hAnsi="Arial" w:cs="Arial"/>
        </w:rPr>
        <w:t>:</w:t>
      </w:r>
      <w:proofErr w:type="gramEnd"/>
      <w:r w:rsidR="007D0C47" w:rsidRPr="007D0C47">
        <w:rPr>
          <w:rFonts w:ascii="Arial" w:hAnsi="Arial" w:cs="Arial"/>
        </w:rPr>
        <w:t xml:space="preserve"> </w:t>
      </w:r>
    </w:p>
    <w:p w14:paraId="5777C57C" w14:textId="55E199B2" w:rsidR="00B43D1D" w:rsidRDefault="007D0C47" w:rsidP="00627EEF">
      <w:pPr>
        <w:pStyle w:val="ListParagraph"/>
        <w:spacing w:after="0" w:line="240" w:lineRule="auto"/>
        <w:ind w:left="0"/>
        <w:jc w:val="both"/>
        <w:rPr>
          <w:rFonts w:ascii="Arial" w:hAnsi="Arial" w:cs="Arial"/>
        </w:rPr>
      </w:pPr>
      <w:r w:rsidRPr="003C5792">
        <w:rPr>
          <w:rFonts w:ascii="Arial" w:hAnsi="Arial" w:cs="Arial"/>
          <w:b/>
        </w:rPr>
        <w:t>(</w:t>
      </w:r>
      <w:proofErr w:type="spellStart"/>
      <w:r w:rsidR="007968B5" w:rsidRPr="003C5792">
        <w:rPr>
          <w:rFonts w:ascii="Arial" w:hAnsi="Arial" w:cs="Arial"/>
          <w:b/>
        </w:rPr>
        <w:t>i</w:t>
      </w:r>
      <w:proofErr w:type="spellEnd"/>
      <w:r w:rsidR="007968B5" w:rsidRPr="003C5792">
        <w:rPr>
          <w:rFonts w:ascii="Arial" w:hAnsi="Arial" w:cs="Arial"/>
          <w:b/>
        </w:rPr>
        <w:t>)</w:t>
      </w:r>
      <w:r w:rsidR="007968B5" w:rsidRPr="00627EEF">
        <w:rPr>
          <w:rFonts w:ascii="Arial" w:hAnsi="Arial" w:cs="Arial"/>
        </w:rPr>
        <w:t xml:space="preserve"> </w:t>
      </w:r>
      <w:r w:rsidR="000F5EEC" w:rsidRPr="00627EEF">
        <w:rPr>
          <w:rFonts w:ascii="Arial" w:hAnsi="Arial" w:cs="Arial"/>
        </w:rPr>
        <w:t xml:space="preserve">capacity building of health workers </w:t>
      </w:r>
      <w:r w:rsidR="0064721F" w:rsidRPr="00303567">
        <w:rPr>
          <w:rFonts w:ascii="Arial" w:hAnsi="Arial" w:cs="Arial"/>
        </w:rPr>
        <w:t>(7,120)</w:t>
      </w:r>
      <w:r w:rsidR="0064721F" w:rsidRPr="00627EEF">
        <w:rPr>
          <w:rFonts w:ascii="Arial" w:hAnsi="Arial" w:cs="Arial"/>
        </w:rPr>
        <w:t xml:space="preserve"> </w:t>
      </w:r>
      <w:r w:rsidR="000F5EEC" w:rsidRPr="00627EEF">
        <w:rPr>
          <w:rFonts w:ascii="Arial" w:hAnsi="Arial" w:cs="Arial"/>
        </w:rPr>
        <w:t>and volunteers</w:t>
      </w:r>
      <w:r w:rsidR="0064721F" w:rsidRPr="00627EEF">
        <w:rPr>
          <w:rFonts w:ascii="Arial" w:hAnsi="Arial" w:cs="Arial"/>
        </w:rPr>
        <w:t xml:space="preserve"> including cured TB patients </w:t>
      </w:r>
      <w:r w:rsidR="0064721F" w:rsidRPr="00303567">
        <w:rPr>
          <w:rFonts w:ascii="Arial" w:hAnsi="Arial" w:cs="Arial"/>
        </w:rPr>
        <w:t>(3,640)</w:t>
      </w:r>
      <w:r w:rsidR="00240E08">
        <w:rPr>
          <w:rFonts w:ascii="Arial" w:hAnsi="Arial" w:cs="Arial"/>
        </w:rPr>
        <w:t xml:space="preserve"> to provide patient-centred care</w:t>
      </w:r>
      <w:r w:rsidR="000F5EEC" w:rsidRPr="00303567">
        <w:rPr>
          <w:rFonts w:ascii="Arial" w:hAnsi="Arial" w:cs="Arial"/>
        </w:rPr>
        <w:t xml:space="preserve">; </w:t>
      </w:r>
      <w:r w:rsidR="00F516EA" w:rsidRPr="00303567">
        <w:rPr>
          <w:rFonts w:ascii="Arial" w:hAnsi="Arial" w:cs="Arial"/>
          <w:b/>
        </w:rPr>
        <w:t>(</w:t>
      </w:r>
      <w:r w:rsidR="00F516EA" w:rsidRPr="001D1EBB">
        <w:rPr>
          <w:rFonts w:ascii="Arial" w:hAnsi="Arial" w:cs="Arial"/>
          <w:b/>
        </w:rPr>
        <w:t>ii)</w:t>
      </w:r>
      <w:r w:rsidR="00F516EA" w:rsidRPr="00627EEF">
        <w:rPr>
          <w:rFonts w:ascii="Arial" w:hAnsi="Arial" w:cs="Arial"/>
        </w:rPr>
        <w:t xml:space="preserve"> </w:t>
      </w:r>
      <w:r w:rsidRPr="00627EEF">
        <w:rPr>
          <w:rFonts w:ascii="Arial" w:hAnsi="Arial" w:cs="Arial"/>
        </w:rPr>
        <w:t>s</w:t>
      </w:r>
      <w:r w:rsidR="007968B5" w:rsidRPr="00627EEF">
        <w:rPr>
          <w:rFonts w:ascii="Arial" w:hAnsi="Arial" w:cs="Arial"/>
        </w:rPr>
        <w:t>ystematically screen all household contacts</w:t>
      </w:r>
      <w:r w:rsidR="008B4EFF">
        <w:rPr>
          <w:rFonts w:ascii="Arial" w:hAnsi="Arial" w:cs="Arial"/>
        </w:rPr>
        <w:t xml:space="preserve"> (51,048)</w:t>
      </w:r>
      <w:r w:rsidR="007968B5" w:rsidRPr="00627EEF">
        <w:rPr>
          <w:rFonts w:ascii="Arial" w:hAnsi="Arial" w:cs="Arial"/>
        </w:rPr>
        <w:t>, especially children and other close contacts of the bacteriologically confirmed index case, (</w:t>
      </w:r>
      <w:r w:rsidRPr="00627EEF">
        <w:rPr>
          <w:rFonts w:ascii="Arial" w:hAnsi="Arial" w:cs="Arial"/>
        </w:rPr>
        <w:t xml:space="preserve">as </w:t>
      </w:r>
      <w:r w:rsidR="007968B5" w:rsidRPr="00627EEF">
        <w:rPr>
          <w:rFonts w:ascii="Arial" w:hAnsi="Arial" w:cs="Arial"/>
        </w:rPr>
        <w:t>TB prevalence</w:t>
      </w:r>
      <w:r w:rsidRPr="00627EEF">
        <w:rPr>
          <w:rFonts w:ascii="Arial" w:hAnsi="Arial" w:cs="Arial"/>
        </w:rPr>
        <w:t xml:space="preserve"> in contacts</w:t>
      </w:r>
      <w:r w:rsidR="007968B5" w:rsidRPr="00627EEF">
        <w:rPr>
          <w:rFonts w:ascii="Arial" w:hAnsi="Arial" w:cs="Arial"/>
        </w:rPr>
        <w:t>- 3.1%)</w:t>
      </w:r>
      <w:r w:rsidR="007968B5" w:rsidRPr="0064721F">
        <w:rPr>
          <w:rStyle w:val="EndnoteReference"/>
          <w:rFonts w:ascii="Arial" w:hAnsi="Arial" w:cs="Arial"/>
        </w:rPr>
        <w:endnoteReference w:id="11"/>
      </w:r>
      <w:r w:rsidR="008B4EFF">
        <w:rPr>
          <w:rFonts w:ascii="Arial" w:hAnsi="Arial" w:cs="Arial"/>
        </w:rPr>
        <w:t>,</w:t>
      </w:r>
      <w:r w:rsidR="00640C23" w:rsidRPr="00627EEF">
        <w:rPr>
          <w:rFonts w:ascii="Arial" w:hAnsi="Arial" w:cs="Arial"/>
        </w:rPr>
        <w:t xml:space="preserve"> </w:t>
      </w:r>
      <w:r w:rsidR="008B4EFF">
        <w:rPr>
          <w:rFonts w:ascii="Arial" w:hAnsi="Arial" w:cs="Arial"/>
        </w:rPr>
        <w:t>to get approximately 1,459 TB cases;</w:t>
      </w:r>
      <w:r w:rsidR="001D1EBB">
        <w:rPr>
          <w:rFonts w:ascii="Arial" w:hAnsi="Arial" w:cs="Arial"/>
        </w:rPr>
        <w:t xml:space="preserve"> </w:t>
      </w:r>
      <w:r w:rsidRPr="001D1EBB">
        <w:rPr>
          <w:rFonts w:ascii="Arial" w:hAnsi="Arial" w:cs="Arial"/>
          <w:b/>
        </w:rPr>
        <w:t>(</w:t>
      </w:r>
      <w:r w:rsidR="007968B5" w:rsidRPr="001D1EBB">
        <w:rPr>
          <w:rFonts w:ascii="Arial" w:hAnsi="Arial" w:cs="Arial"/>
          <w:b/>
        </w:rPr>
        <w:t>ii</w:t>
      </w:r>
      <w:r w:rsidR="00F516EA" w:rsidRPr="001D1EBB">
        <w:rPr>
          <w:rFonts w:ascii="Arial" w:hAnsi="Arial" w:cs="Arial"/>
          <w:b/>
        </w:rPr>
        <w:t>i</w:t>
      </w:r>
      <w:r w:rsidR="007968B5" w:rsidRPr="001D1EBB">
        <w:rPr>
          <w:rFonts w:ascii="Arial" w:hAnsi="Arial" w:cs="Arial"/>
          <w:b/>
        </w:rPr>
        <w:t>)</w:t>
      </w:r>
      <w:r w:rsidR="007968B5" w:rsidRPr="00627EEF">
        <w:rPr>
          <w:rFonts w:ascii="Arial" w:hAnsi="Arial" w:cs="Arial"/>
        </w:rPr>
        <w:t xml:space="preserve"> </w:t>
      </w:r>
      <w:r w:rsidR="00EC3CBE" w:rsidRPr="00627EEF">
        <w:rPr>
          <w:rFonts w:ascii="Arial" w:hAnsi="Arial" w:cs="Arial"/>
        </w:rPr>
        <w:t>training of NTC staff to become master trainers on NTP strategy</w:t>
      </w:r>
      <w:r w:rsidR="00716577" w:rsidRPr="00627EEF">
        <w:rPr>
          <w:rFonts w:ascii="Arial" w:hAnsi="Arial" w:cs="Arial"/>
        </w:rPr>
        <w:t>,</w:t>
      </w:r>
      <w:r w:rsidR="00EC3CBE" w:rsidRPr="00627EEF">
        <w:rPr>
          <w:rFonts w:ascii="Arial" w:hAnsi="Arial" w:cs="Arial"/>
        </w:rPr>
        <w:t xml:space="preserve"> ACF, management</w:t>
      </w:r>
      <w:r w:rsidR="00716577" w:rsidRPr="00627EEF">
        <w:rPr>
          <w:rFonts w:ascii="Arial" w:hAnsi="Arial" w:cs="Arial"/>
        </w:rPr>
        <w:t>,</w:t>
      </w:r>
      <w:r w:rsidR="00EC3CBE" w:rsidRPr="00627EEF">
        <w:rPr>
          <w:rFonts w:ascii="Arial" w:hAnsi="Arial" w:cs="Arial"/>
        </w:rPr>
        <w:t xml:space="preserve"> </w:t>
      </w:r>
      <w:proofErr w:type="spellStart"/>
      <w:r w:rsidR="00EC3CBE" w:rsidRPr="00627EEF">
        <w:rPr>
          <w:rFonts w:ascii="Arial" w:hAnsi="Arial" w:cs="Arial"/>
        </w:rPr>
        <w:t>etc</w:t>
      </w:r>
      <w:proofErr w:type="spellEnd"/>
      <w:r w:rsidR="00716577" w:rsidRPr="00627EEF">
        <w:rPr>
          <w:rFonts w:ascii="Arial" w:hAnsi="Arial" w:cs="Arial"/>
        </w:rPr>
        <w:t xml:space="preserve">; </w:t>
      </w:r>
      <w:r w:rsidR="00716577" w:rsidRPr="001D1EBB">
        <w:rPr>
          <w:rFonts w:ascii="Arial" w:hAnsi="Arial" w:cs="Arial"/>
          <w:b/>
        </w:rPr>
        <w:t>(iv)</w:t>
      </w:r>
      <w:r w:rsidR="00716577" w:rsidRPr="00627EEF">
        <w:rPr>
          <w:rFonts w:ascii="Arial" w:hAnsi="Arial" w:cs="Arial"/>
        </w:rPr>
        <w:t xml:space="preserve"> sensitization meeting conducted by master trainers at </w:t>
      </w:r>
      <w:r w:rsidR="00FA63D3">
        <w:rPr>
          <w:rFonts w:ascii="Arial" w:hAnsi="Arial" w:cs="Arial"/>
        </w:rPr>
        <w:t xml:space="preserve">74 </w:t>
      </w:r>
      <w:r w:rsidR="00716577" w:rsidRPr="00627EEF">
        <w:rPr>
          <w:rFonts w:ascii="Arial" w:hAnsi="Arial" w:cs="Arial"/>
        </w:rPr>
        <w:t xml:space="preserve">hospitals with OPD attendance &gt;70% to implement </w:t>
      </w:r>
      <w:r w:rsidR="00390CF1">
        <w:rPr>
          <w:rFonts w:ascii="Arial" w:hAnsi="Arial" w:cs="Arial"/>
        </w:rPr>
        <w:t>“cough surveillance” and triage</w:t>
      </w:r>
      <w:r w:rsidR="00FA63D3">
        <w:rPr>
          <w:rFonts w:ascii="Arial" w:hAnsi="Arial" w:cs="Arial"/>
        </w:rPr>
        <w:t>,</w:t>
      </w:r>
      <w:r w:rsidR="00716577" w:rsidRPr="00627EEF">
        <w:rPr>
          <w:rFonts w:ascii="Arial" w:hAnsi="Arial" w:cs="Arial"/>
        </w:rPr>
        <w:t xml:space="preserve"> identif</w:t>
      </w:r>
      <w:r w:rsidR="00FA63D3">
        <w:rPr>
          <w:rFonts w:ascii="Arial" w:hAnsi="Arial" w:cs="Arial"/>
        </w:rPr>
        <w:t>ication of</w:t>
      </w:r>
      <w:r w:rsidR="00716577" w:rsidRPr="00627EEF">
        <w:rPr>
          <w:rFonts w:ascii="Arial" w:hAnsi="Arial" w:cs="Arial"/>
        </w:rPr>
        <w:t xml:space="preserve"> volunteer</w:t>
      </w:r>
      <w:r w:rsidR="00807219">
        <w:rPr>
          <w:rFonts w:ascii="Arial" w:hAnsi="Arial" w:cs="Arial"/>
        </w:rPr>
        <w:t>s</w:t>
      </w:r>
      <w:r w:rsidR="00716577" w:rsidRPr="00627EEF">
        <w:rPr>
          <w:rFonts w:ascii="Arial" w:hAnsi="Arial" w:cs="Arial"/>
        </w:rPr>
        <w:t xml:space="preserve"> for </w:t>
      </w:r>
      <w:r w:rsidR="00807219">
        <w:rPr>
          <w:rFonts w:ascii="Arial" w:hAnsi="Arial" w:cs="Arial"/>
        </w:rPr>
        <w:t>“</w:t>
      </w:r>
      <w:r w:rsidR="00716577" w:rsidRPr="00627EEF">
        <w:rPr>
          <w:rFonts w:ascii="Arial" w:hAnsi="Arial" w:cs="Arial"/>
        </w:rPr>
        <w:t>cough surveillance</w:t>
      </w:r>
      <w:r w:rsidR="00807219">
        <w:rPr>
          <w:rFonts w:ascii="Arial" w:hAnsi="Arial" w:cs="Arial"/>
        </w:rPr>
        <w:t>”</w:t>
      </w:r>
      <w:r w:rsidR="00FA63D3">
        <w:rPr>
          <w:rFonts w:ascii="Arial" w:hAnsi="Arial" w:cs="Arial"/>
        </w:rPr>
        <w:t xml:space="preserve"> followed by </w:t>
      </w:r>
      <w:r w:rsidR="00716577" w:rsidRPr="00627EEF">
        <w:rPr>
          <w:rFonts w:ascii="Arial" w:hAnsi="Arial" w:cs="Arial"/>
        </w:rPr>
        <w:t>training</w:t>
      </w:r>
      <w:r w:rsidR="00C368AA" w:rsidRPr="00627EEF">
        <w:rPr>
          <w:rFonts w:ascii="Arial" w:hAnsi="Arial" w:cs="Arial"/>
        </w:rPr>
        <w:t>;</w:t>
      </w:r>
      <w:r w:rsidR="00627EEF" w:rsidRPr="00627EEF">
        <w:rPr>
          <w:rFonts w:ascii="Arial" w:hAnsi="Arial" w:cs="Arial"/>
        </w:rPr>
        <w:t xml:space="preserve"> (Annex-13, p25-27); </w:t>
      </w:r>
      <w:r w:rsidR="00FA63D3">
        <w:rPr>
          <w:rFonts w:ascii="Arial" w:hAnsi="Arial" w:cs="Arial"/>
          <w:b/>
        </w:rPr>
        <w:t>(v</w:t>
      </w:r>
      <w:r w:rsidR="00C368AA" w:rsidRPr="001D1EBB">
        <w:rPr>
          <w:rFonts w:ascii="Arial" w:hAnsi="Arial" w:cs="Arial"/>
          <w:b/>
        </w:rPr>
        <w:t>)</w:t>
      </w:r>
      <w:r w:rsidR="00C368AA" w:rsidRPr="00627EEF">
        <w:rPr>
          <w:rFonts w:ascii="Arial" w:hAnsi="Arial" w:cs="Arial"/>
        </w:rPr>
        <w:t xml:space="preserve"> supervision, monitoring and participation visits to programme implementing districts (national to community levels)</w:t>
      </w:r>
      <w:r w:rsidR="0064721F" w:rsidRPr="00627EEF">
        <w:rPr>
          <w:rFonts w:ascii="Arial" w:hAnsi="Arial" w:cs="Arial"/>
        </w:rPr>
        <w:t>.</w:t>
      </w:r>
    </w:p>
    <w:p w14:paraId="58B4BB2D" w14:textId="77777777" w:rsidR="00807219" w:rsidRPr="00627EEF" w:rsidRDefault="00807219" w:rsidP="00627EEF">
      <w:pPr>
        <w:pStyle w:val="ListParagraph"/>
        <w:spacing w:after="0" w:line="240" w:lineRule="auto"/>
        <w:ind w:left="0"/>
        <w:jc w:val="both"/>
        <w:rPr>
          <w:rFonts w:ascii="Arial" w:hAnsi="Arial" w:cs="Arial"/>
        </w:rPr>
      </w:pPr>
    </w:p>
    <w:p w14:paraId="75E7D1C3" w14:textId="2417A2FB" w:rsidR="006B4F7B" w:rsidRDefault="005D7DE4" w:rsidP="006B4F7B">
      <w:pPr>
        <w:spacing w:after="0" w:line="240" w:lineRule="auto"/>
        <w:jc w:val="both"/>
        <w:rPr>
          <w:rFonts w:ascii="Arial" w:hAnsi="Arial" w:cs="Arial"/>
          <w:szCs w:val="24"/>
        </w:rPr>
      </w:pPr>
      <w:r>
        <w:rPr>
          <w:rFonts w:ascii="Arial" w:hAnsi="Arial" w:cs="Arial"/>
        </w:rPr>
        <w:t xml:space="preserve">The NTP supported by domestic </w:t>
      </w:r>
      <w:r w:rsidR="00021B49">
        <w:rPr>
          <w:rFonts w:ascii="Arial" w:hAnsi="Arial" w:cs="Arial"/>
        </w:rPr>
        <w:t>resources (</w:t>
      </w:r>
      <w:proofErr w:type="spellStart"/>
      <w:r w:rsidR="00021B49">
        <w:rPr>
          <w:rFonts w:ascii="Arial" w:hAnsi="Arial" w:cs="Arial"/>
        </w:rPr>
        <w:t>GoN</w:t>
      </w:r>
      <w:proofErr w:type="spellEnd"/>
      <w:r w:rsidR="00021B49">
        <w:rPr>
          <w:rFonts w:ascii="Arial" w:hAnsi="Arial" w:cs="Arial"/>
        </w:rPr>
        <w:t>) will conduct ACF i</w:t>
      </w:r>
      <w:r w:rsidR="00793006" w:rsidRPr="005D7DE4">
        <w:rPr>
          <w:rFonts w:ascii="Arial" w:hAnsi="Arial" w:cs="Arial"/>
        </w:rPr>
        <w:t>n the remaining districts (</w:t>
      </w:r>
      <w:r w:rsidR="00B802E2" w:rsidRPr="005D7DE4">
        <w:rPr>
          <w:rFonts w:ascii="Arial" w:hAnsi="Arial" w:cs="Arial"/>
        </w:rPr>
        <w:t>3</w:t>
      </w:r>
      <w:r w:rsidR="00807219" w:rsidRPr="005D7DE4">
        <w:rPr>
          <w:rFonts w:ascii="Arial" w:hAnsi="Arial" w:cs="Arial"/>
        </w:rPr>
        <w:t>5</w:t>
      </w:r>
      <w:r w:rsidR="004A3B36" w:rsidRPr="005D7DE4">
        <w:rPr>
          <w:rFonts w:ascii="Arial" w:hAnsi="Arial" w:cs="Arial"/>
        </w:rPr>
        <w:t>)</w:t>
      </w:r>
      <w:r w:rsidR="00793006" w:rsidRPr="005D7DE4">
        <w:rPr>
          <w:rFonts w:ascii="Arial" w:hAnsi="Arial" w:cs="Arial"/>
        </w:rPr>
        <w:t xml:space="preserve">, </w:t>
      </w:r>
      <w:r w:rsidR="00021B49">
        <w:rPr>
          <w:rFonts w:ascii="Arial" w:hAnsi="Arial" w:cs="Arial"/>
        </w:rPr>
        <w:t xml:space="preserve">with focus on </w:t>
      </w:r>
      <w:r w:rsidR="002E725C" w:rsidRPr="005D7DE4">
        <w:rPr>
          <w:rFonts w:ascii="Arial" w:hAnsi="Arial" w:cs="Arial"/>
        </w:rPr>
        <w:t xml:space="preserve">marginalized communities </w:t>
      </w:r>
      <w:r w:rsidR="00021B49">
        <w:rPr>
          <w:rFonts w:ascii="Arial" w:hAnsi="Arial" w:cs="Arial"/>
        </w:rPr>
        <w:t xml:space="preserve">through </w:t>
      </w:r>
      <w:r w:rsidR="002E725C" w:rsidRPr="005D7DE4">
        <w:rPr>
          <w:rFonts w:ascii="Arial" w:hAnsi="Arial" w:cs="Arial"/>
        </w:rPr>
        <w:t>m</w:t>
      </w:r>
      <w:r w:rsidR="0064721F" w:rsidRPr="005D7DE4">
        <w:rPr>
          <w:rFonts w:ascii="Arial" w:hAnsi="Arial" w:cs="Arial"/>
        </w:rPr>
        <w:t>obile teams</w:t>
      </w:r>
      <w:r w:rsidR="00793006" w:rsidRPr="005D7DE4">
        <w:rPr>
          <w:rFonts w:ascii="Arial" w:hAnsi="Arial" w:cs="Arial"/>
        </w:rPr>
        <w:t xml:space="preserve"> and microscopy camps </w:t>
      </w:r>
      <w:r w:rsidR="00021B49">
        <w:rPr>
          <w:rFonts w:ascii="Arial" w:hAnsi="Arial" w:cs="Arial"/>
        </w:rPr>
        <w:t>complemented by sputum transportation systems</w:t>
      </w:r>
      <w:r w:rsidR="0064721F" w:rsidRPr="005D7DE4">
        <w:rPr>
          <w:rFonts w:ascii="Arial" w:hAnsi="Arial" w:cs="Arial"/>
        </w:rPr>
        <w:t>.</w:t>
      </w:r>
      <w:r w:rsidR="00390CF1">
        <w:rPr>
          <w:rFonts w:ascii="Arial" w:hAnsi="Arial" w:cs="Arial"/>
        </w:rPr>
        <w:t xml:space="preserve"> </w:t>
      </w:r>
      <w:r w:rsidR="006B4F7B">
        <w:rPr>
          <w:rFonts w:ascii="Arial" w:eastAsia="Times New Roman" w:hAnsi="Arial" w:cs="Arial"/>
          <w:bCs/>
        </w:rPr>
        <w:t>T</w:t>
      </w:r>
      <w:r w:rsidR="006B4F7B" w:rsidRPr="00D57C02">
        <w:rPr>
          <w:rFonts w:ascii="Arial" w:eastAsia="Times New Roman" w:hAnsi="Arial" w:cs="Arial"/>
          <w:bCs/>
        </w:rPr>
        <w:t xml:space="preserve">he </w:t>
      </w:r>
      <w:r w:rsidR="006B4F7B">
        <w:rPr>
          <w:rFonts w:ascii="Arial" w:eastAsia="Times New Roman" w:hAnsi="Arial" w:cs="Arial"/>
          <w:bCs/>
        </w:rPr>
        <w:t>microscopy centres (</w:t>
      </w:r>
      <w:r w:rsidR="006B4F7B" w:rsidRPr="00D57C02">
        <w:rPr>
          <w:rFonts w:ascii="Arial" w:eastAsia="Times New Roman" w:hAnsi="Arial" w:cs="Arial"/>
          <w:bCs/>
        </w:rPr>
        <w:t>MCs</w:t>
      </w:r>
      <w:r w:rsidR="006B4F7B">
        <w:rPr>
          <w:rFonts w:ascii="Arial" w:eastAsia="Times New Roman" w:hAnsi="Arial" w:cs="Arial"/>
          <w:bCs/>
        </w:rPr>
        <w:t>)</w:t>
      </w:r>
      <w:r w:rsidR="006B4F7B" w:rsidRPr="00D57C02">
        <w:rPr>
          <w:rFonts w:ascii="Arial" w:eastAsia="Times New Roman" w:hAnsi="Arial" w:cs="Arial"/>
          <w:bCs/>
        </w:rPr>
        <w:t xml:space="preserve"> are </w:t>
      </w:r>
      <w:r w:rsidR="006B4F7B">
        <w:rPr>
          <w:rFonts w:ascii="Arial" w:eastAsia="Times New Roman" w:hAnsi="Arial" w:cs="Arial"/>
          <w:bCs/>
        </w:rPr>
        <w:t xml:space="preserve">mostly </w:t>
      </w:r>
      <w:r w:rsidR="006B4F7B" w:rsidRPr="00D57C02">
        <w:rPr>
          <w:rFonts w:ascii="Arial" w:eastAsia="Times New Roman" w:hAnsi="Arial" w:cs="Arial"/>
          <w:bCs/>
        </w:rPr>
        <w:t xml:space="preserve">in the southern </w:t>
      </w:r>
      <w:proofErr w:type="spellStart"/>
      <w:r w:rsidR="006B4F7B">
        <w:rPr>
          <w:rFonts w:ascii="Arial" w:eastAsia="Times New Roman" w:hAnsi="Arial" w:cs="Arial"/>
          <w:bCs/>
          <w:i/>
        </w:rPr>
        <w:t>t</w:t>
      </w:r>
      <w:r w:rsidR="006B4F7B" w:rsidRPr="00347E91">
        <w:rPr>
          <w:rFonts w:ascii="Arial" w:eastAsia="Times New Roman" w:hAnsi="Arial" w:cs="Arial"/>
          <w:bCs/>
          <w:i/>
        </w:rPr>
        <w:t>erai</w:t>
      </w:r>
      <w:proofErr w:type="spellEnd"/>
      <w:r w:rsidR="006B4F7B" w:rsidRPr="00D57C02">
        <w:rPr>
          <w:rFonts w:ascii="Arial" w:eastAsia="Times New Roman" w:hAnsi="Arial" w:cs="Arial"/>
          <w:bCs/>
        </w:rPr>
        <w:t xml:space="preserve">; </w:t>
      </w:r>
      <w:r w:rsidR="006B4F7B">
        <w:rPr>
          <w:rFonts w:ascii="Arial" w:eastAsia="Times New Roman" w:hAnsi="Arial" w:cs="Arial"/>
          <w:bCs/>
        </w:rPr>
        <w:t>while</w:t>
      </w:r>
      <w:r w:rsidR="006B4F7B" w:rsidRPr="00D57C02">
        <w:rPr>
          <w:rFonts w:ascii="Arial" w:eastAsia="Times New Roman" w:hAnsi="Arial" w:cs="Arial"/>
          <w:bCs/>
        </w:rPr>
        <w:t xml:space="preserve"> the Western Region and the mountain areas are underserved.</w:t>
      </w:r>
      <w:r w:rsidR="006B4F7B" w:rsidRPr="00D57C02">
        <w:rPr>
          <w:rFonts w:ascii="Arial" w:eastAsia="Times New Roman" w:hAnsi="Arial" w:cs="Arial"/>
          <w:bCs/>
          <w:sz w:val="20"/>
          <w:szCs w:val="20"/>
        </w:rPr>
        <w:t xml:space="preserve"> </w:t>
      </w:r>
      <w:r w:rsidR="006B4F7B" w:rsidRPr="00455B24">
        <w:rPr>
          <w:rFonts w:ascii="Arial" w:eastAsia="Times New Roman" w:hAnsi="Arial" w:cs="Arial"/>
          <w:bCs/>
        </w:rPr>
        <w:t xml:space="preserve">The installation of 31 </w:t>
      </w:r>
      <w:proofErr w:type="spellStart"/>
      <w:r w:rsidR="006B4F7B" w:rsidRPr="00455B24">
        <w:rPr>
          <w:rFonts w:ascii="Arial" w:eastAsia="Times New Roman" w:hAnsi="Arial" w:cs="Arial"/>
          <w:bCs/>
        </w:rPr>
        <w:t>GeneXperts</w:t>
      </w:r>
      <w:proofErr w:type="spellEnd"/>
      <w:r w:rsidR="006B4F7B" w:rsidRPr="00455B24">
        <w:rPr>
          <w:rFonts w:ascii="Arial" w:eastAsia="Times New Roman" w:hAnsi="Arial" w:cs="Arial"/>
          <w:bCs/>
        </w:rPr>
        <w:t xml:space="preserve"> (GX) were mostly in the Central and Eastern Regions. </w:t>
      </w:r>
      <w:r w:rsidR="006B4F7B">
        <w:rPr>
          <w:rFonts w:ascii="Arial" w:eastAsia="Times New Roman" w:hAnsi="Arial" w:cs="Arial"/>
          <w:bCs/>
        </w:rPr>
        <w:t xml:space="preserve">Functioning X-Ray units were in </w:t>
      </w:r>
      <w:r w:rsidR="006B4F7B" w:rsidRPr="00A33CD9">
        <w:rPr>
          <w:rFonts w:ascii="Arial" w:eastAsia="Times New Roman" w:hAnsi="Arial" w:cs="Arial"/>
          <w:bCs/>
        </w:rPr>
        <w:t>97</w:t>
      </w:r>
      <w:r w:rsidR="006B4F7B">
        <w:rPr>
          <w:rFonts w:ascii="Arial" w:eastAsia="Times New Roman" w:hAnsi="Arial" w:cs="Arial"/>
          <w:bCs/>
        </w:rPr>
        <w:t>%</w:t>
      </w:r>
      <w:r w:rsidR="006B4F7B" w:rsidRPr="00A33CD9">
        <w:rPr>
          <w:rFonts w:ascii="Arial" w:eastAsia="Times New Roman" w:hAnsi="Arial" w:cs="Arial"/>
          <w:bCs/>
        </w:rPr>
        <w:t xml:space="preserve"> o</w:t>
      </w:r>
      <w:r w:rsidR="006B4F7B">
        <w:rPr>
          <w:rFonts w:ascii="Arial" w:eastAsia="Times New Roman" w:hAnsi="Arial" w:cs="Arial"/>
          <w:bCs/>
        </w:rPr>
        <w:t>f zonal and above hospitals, 86%</w:t>
      </w:r>
      <w:r w:rsidR="006B4F7B" w:rsidRPr="00A33CD9">
        <w:rPr>
          <w:rFonts w:ascii="Arial" w:eastAsia="Times New Roman" w:hAnsi="Arial" w:cs="Arial"/>
          <w:bCs/>
        </w:rPr>
        <w:t xml:space="preserve"> of district hospitals and 87</w:t>
      </w:r>
      <w:r w:rsidR="006B4F7B">
        <w:rPr>
          <w:rFonts w:ascii="Arial" w:eastAsia="Times New Roman" w:hAnsi="Arial" w:cs="Arial"/>
          <w:bCs/>
        </w:rPr>
        <w:t>%</w:t>
      </w:r>
      <w:r w:rsidR="006B4F7B" w:rsidRPr="00A33CD9">
        <w:rPr>
          <w:rFonts w:ascii="Arial" w:eastAsia="Times New Roman" w:hAnsi="Arial" w:cs="Arial"/>
          <w:bCs/>
        </w:rPr>
        <w:t xml:space="preserve"> of private h</w:t>
      </w:r>
      <w:r w:rsidR="006B4F7B">
        <w:rPr>
          <w:rFonts w:ascii="Arial" w:eastAsia="Times New Roman" w:hAnsi="Arial" w:cs="Arial"/>
          <w:bCs/>
        </w:rPr>
        <w:t xml:space="preserve">ospitals </w:t>
      </w:r>
      <w:r w:rsidR="006B4F7B" w:rsidRPr="00A33CD9">
        <w:rPr>
          <w:rFonts w:ascii="Arial" w:eastAsia="Times New Roman" w:hAnsi="Arial" w:cs="Arial"/>
          <w:bCs/>
        </w:rPr>
        <w:t xml:space="preserve">as compared with </w:t>
      </w:r>
      <w:r w:rsidR="006B4F7B" w:rsidRPr="00F112A4">
        <w:rPr>
          <w:rFonts w:ascii="Arial" w:eastAsia="Times New Roman" w:hAnsi="Arial" w:cs="Arial"/>
          <w:bCs/>
        </w:rPr>
        <w:t>11% of PHCCs</w:t>
      </w:r>
      <w:r w:rsidR="006B4F7B">
        <w:rPr>
          <w:rFonts w:ascii="Arial" w:eastAsia="Times New Roman" w:hAnsi="Arial" w:cs="Arial"/>
          <w:bCs/>
        </w:rPr>
        <w:t xml:space="preserve"> </w:t>
      </w:r>
      <w:r w:rsidR="006B4F7B" w:rsidRPr="00F951CF">
        <w:rPr>
          <w:rFonts w:ascii="Arial" w:eastAsia="Times New Roman" w:hAnsi="Arial" w:cs="Arial"/>
          <w:bCs/>
          <w:i/>
        </w:rPr>
        <w:t>(Annex-12,</w:t>
      </w:r>
      <w:r w:rsidR="006B4F7B">
        <w:rPr>
          <w:rFonts w:ascii="Arial" w:eastAsia="Times New Roman" w:hAnsi="Arial" w:cs="Arial"/>
          <w:bCs/>
          <w:i/>
        </w:rPr>
        <w:t xml:space="preserve"> </w:t>
      </w:r>
      <w:r w:rsidR="006B4F7B" w:rsidRPr="00F951CF">
        <w:rPr>
          <w:rFonts w:ascii="Arial" w:eastAsia="Times New Roman" w:hAnsi="Arial" w:cs="Arial"/>
          <w:bCs/>
          <w:i/>
        </w:rPr>
        <w:t>p44</w:t>
      </w:r>
      <w:r w:rsidR="006B4F7B">
        <w:rPr>
          <w:rFonts w:ascii="Arial" w:eastAsia="Times New Roman" w:hAnsi="Arial" w:cs="Arial"/>
          <w:bCs/>
          <w:i/>
        </w:rPr>
        <w:t>)</w:t>
      </w:r>
      <w:r w:rsidR="006B4F7B" w:rsidRPr="00F951CF">
        <w:rPr>
          <w:rFonts w:ascii="Arial" w:eastAsia="Times New Roman" w:hAnsi="Arial" w:cs="Arial"/>
          <w:bCs/>
          <w:i/>
        </w:rPr>
        <w:t>.</w:t>
      </w:r>
      <w:r w:rsidR="006B4F7B">
        <w:rPr>
          <w:rFonts w:ascii="Arial" w:eastAsia="Times New Roman" w:hAnsi="Arial" w:cs="Arial"/>
          <w:bCs/>
          <w:i/>
        </w:rPr>
        <w:t xml:space="preserve"> </w:t>
      </w:r>
      <w:r w:rsidR="006B4F7B" w:rsidRPr="0093721E">
        <w:rPr>
          <w:rFonts w:ascii="Arial" w:eastAsia="Times New Roman" w:hAnsi="Arial" w:cs="Arial"/>
          <w:bCs/>
        </w:rPr>
        <w:t>There</w:t>
      </w:r>
      <w:r w:rsidR="006B4F7B">
        <w:rPr>
          <w:rFonts w:ascii="Arial" w:eastAsia="Times New Roman" w:hAnsi="Arial" w:cs="Arial"/>
          <w:bCs/>
          <w:i/>
        </w:rPr>
        <w:t xml:space="preserve"> </w:t>
      </w:r>
      <w:r w:rsidR="006B4F7B">
        <w:rPr>
          <w:rFonts w:ascii="Arial" w:eastAsia="Times New Roman" w:hAnsi="Arial" w:cs="Arial"/>
          <w:bCs/>
        </w:rPr>
        <w:t xml:space="preserve">was no proper logistic system for </w:t>
      </w:r>
      <w:r w:rsidR="006B4F7B" w:rsidRPr="00AA3DA9">
        <w:rPr>
          <w:rFonts w:ascii="Arial" w:hAnsi="Arial" w:cs="Arial"/>
          <w:szCs w:val="24"/>
        </w:rPr>
        <w:t>sputum transportation and referral</w:t>
      </w:r>
      <w:r w:rsidR="006B4F7B">
        <w:rPr>
          <w:rFonts w:ascii="Arial" w:hAnsi="Arial" w:cs="Arial"/>
          <w:szCs w:val="24"/>
        </w:rPr>
        <w:t>s</w:t>
      </w:r>
      <w:r w:rsidR="006B4F7B" w:rsidRPr="00AA3DA9">
        <w:rPr>
          <w:rFonts w:ascii="Arial" w:hAnsi="Arial" w:cs="Arial"/>
          <w:szCs w:val="24"/>
        </w:rPr>
        <w:t xml:space="preserve"> from health facilities to MCs and to GX sites (</w:t>
      </w:r>
      <w:r w:rsidR="006B4F7B" w:rsidRPr="00F93611">
        <w:rPr>
          <w:rFonts w:ascii="Arial" w:hAnsi="Arial" w:cs="Arial"/>
          <w:i/>
          <w:szCs w:val="24"/>
        </w:rPr>
        <w:t>Annex-7, p58</w:t>
      </w:r>
      <w:r w:rsidR="006B4F7B" w:rsidRPr="00AA3DA9">
        <w:rPr>
          <w:rFonts w:ascii="Arial" w:hAnsi="Arial" w:cs="Arial"/>
          <w:szCs w:val="24"/>
        </w:rPr>
        <w:t>)</w:t>
      </w:r>
      <w:r w:rsidR="006B4F7B">
        <w:rPr>
          <w:rFonts w:ascii="Arial" w:hAnsi="Arial" w:cs="Arial"/>
          <w:szCs w:val="24"/>
        </w:rPr>
        <w:t>.</w:t>
      </w:r>
    </w:p>
    <w:p w14:paraId="39D4347A" w14:textId="77777777" w:rsidR="00FA63D3" w:rsidRDefault="00FA63D3" w:rsidP="006B4F7B">
      <w:pPr>
        <w:spacing w:after="0" w:line="240" w:lineRule="auto"/>
        <w:jc w:val="both"/>
        <w:rPr>
          <w:rFonts w:ascii="Arial" w:hAnsi="Arial" w:cs="Arial"/>
          <w:szCs w:val="24"/>
        </w:rPr>
      </w:pPr>
    </w:p>
    <w:p w14:paraId="779D03AD" w14:textId="3FD46FA3" w:rsidR="00790ACD" w:rsidRPr="001D1EBB" w:rsidRDefault="001D1EBB" w:rsidP="001D1EBB">
      <w:pPr>
        <w:pStyle w:val="ListParagraph"/>
        <w:spacing w:after="0" w:line="240" w:lineRule="auto"/>
        <w:ind w:left="0"/>
        <w:jc w:val="both"/>
        <w:rPr>
          <w:rFonts w:ascii="Arial" w:eastAsia="Times New Roman" w:hAnsi="Arial" w:cs="Arial"/>
          <w:u w:val="single"/>
        </w:rPr>
      </w:pPr>
      <w:r w:rsidRPr="001D1EBB">
        <w:rPr>
          <w:rFonts w:ascii="Arial" w:hAnsi="Arial" w:cs="Arial"/>
          <w:u w:val="single"/>
        </w:rPr>
        <w:t>Activities to address the key gaps include (</w:t>
      </w:r>
      <w:r w:rsidR="00663097" w:rsidRPr="001D1EBB">
        <w:rPr>
          <w:rFonts w:ascii="Arial" w:eastAsia="Times New Roman" w:hAnsi="Arial" w:cs="Arial"/>
          <w:u w:val="single"/>
        </w:rPr>
        <w:t>strengthen</w:t>
      </w:r>
      <w:r w:rsidR="003C2F73">
        <w:rPr>
          <w:rFonts w:ascii="Arial" w:eastAsia="Times New Roman" w:hAnsi="Arial" w:cs="Arial"/>
          <w:u w:val="single"/>
        </w:rPr>
        <w:t>ing</w:t>
      </w:r>
      <w:r w:rsidR="00663097" w:rsidRPr="001D1EBB">
        <w:rPr>
          <w:rFonts w:ascii="Arial" w:eastAsia="Times New Roman" w:hAnsi="Arial" w:cs="Arial"/>
          <w:u w:val="single"/>
        </w:rPr>
        <w:t xml:space="preserve"> </w:t>
      </w:r>
      <w:r w:rsidRPr="001D1EBB">
        <w:rPr>
          <w:rFonts w:ascii="Arial" w:eastAsia="Times New Roman" w:hAnsi="Arial" w:cs="Arial"/>
          <w:u w:val="single"/>
        </w:rPr>
        <w:t>the diagnostic capacity)</w:t>
      </w:r>
      <w:r w:rsidR="00790ACD" w:rsidRPr="001D1EBB">
        <w:rPr>
          <w:rFonts w:ascii="Arial" w:eastAsia="Times New Roman" w:hAnsi="Arial" w:cs="Arial"/>
          <w:u w:val="single"/>
        </w:rPr>
        <w:t>:</w:t>
      </w:r>
    </w:p>
    <w:p w14:paraId="5DA30B17"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Invest in the capacity building of the National Reference Laboratory (NTC) in collaboration with the Supranational Reference Laboratory (KTV, Munich-</w:t>
      </w:r>
      <w:proofErr w:type="spellStart"/>
      <w:r w:rsidRPr="00790ACD">
        <w:rPr>
          <w:rFonts w:ascii="Arial" w:hAnsi="Arial" w:cs="Arial"/>
        </w:rPr>
        <w:t>Gauting</w:t>
      </w:r>
      <w:proofErr w:type="spellEnd"/>
      <w:r w:rsidRPr="00790ACD">
        <w:rPr>
          <w:rFonts w:ascii="Arial" w:hAnsi="Arial" w:cs="Arial"/>
        </w:rPr>
        <w:t>).</w:t>
      </w:r>
    </w:p>
    <w:p w14:paraId="52ED6C50"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 xml:space="preserve">Strengthen the capacity of the laboratory technicians in the national TB microscopy network including basic skills in the maintenance of diagnostic equipment </w:t>
      </w:r>
    </w:p>
    <w:p w14:paraId="796115AC" w14:textId="00C9E2B5"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 xml:space="preserve">Technical support </w:t>
      </w:r>
      <w:r w:rsidR="00DB635E" w:rsidRPr="00790ACD">
        <w:rPr>
          <w:rFonts w:ascii="Arial" w:hAnsi="Arial" w:cs="Arial"/>
        </w:rPr>
        <w:t xml:space="preserve">to improve utilization of diagnostic services </w:t>
      </w:r>
      <w:r w:rsidRPr="00790ACD">
        <w:rPr>
          <w:rFonts w:ascii="Arial" w:hAnsi="Arial" w:cs="Arial"/>
        </w:rPr>
        <w:t xml:space="preserve">of </w:t>
      </w:r>
      <w:proofErr w:type="spellStart"/>
      <w:r w:rsidRPr="00790ACD">
        <w:rPr>
          <w:rFonts w:ascii="Arial" w:hAnsi="Arial" w:cs="Arial"/>
        </w:rPr>
        <w:t>GeneXpert</w:t>
      </w:r>
      <w:proofErr w:type="spellEnd"/>
      <w:r w:rsidRPr="00790ACD">
        <w:rPr>
          <w:rFonts w:ascii="Arial" w:hAnsi="Arial" w:cs="Arial"/>
        </w:rPr>
        <w:t xml:space="preserve"> (GX) centres and digital X-Rays (d/CXR) at strategic health facilities. </w:t>
      </w:r>
    </w:p>
    <w:p w14:paraId="1C8954CF"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 xml:space="preserve">Reinforce the integrated supervision of the labs and strengthen the QA system </w:t>
      </w:r>
    </w:p>
    <w:p w14:paraId="5B873D46"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Strengthen Infection prevention and control and waste management practice at all labs</w:t>
      </w:r>
    </w:p>
    <w:p w14:paraId="6E46897B"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 xml:space="preserve">Strengthen the referral and tracking of diagnosed TB case to prevent lost to follow up. </w:t>
      </w:r>
    </w:p>
    <w:p w14:paraId="231538D5" w14:textId="77777777" w:rsidR="00790ACD" w:rsidRPr="00790ACD" w:rsidRDefault="00790ACD" w:rsidP="00EE05FE">
      <w:pPr>
        <w:pStyle w:val="ListParagraph"/>
        <w:numPr>
          <w:ilvl w:val="0"/>
          <w:numId w:val="11"/>
        </w:numPr>
        <w:spacing w:after="0" w:line="240" w:lineRule="auto"/>
        <w:jc w:val="both"/>
        <w:rPr>
          <w:rFonts w:ascii="Arial" w:hAnsi="Arial" w:cs="Arial"/>
        </w:rPr>
      </w:pPr>
      <w:r w:rsidRPr="00790ACD">
        <w:rPr>
          <w:rFonts w:ascii="Arial" w:hAnsi="Arial" w:cs="Arial"/>
        </w:rPr>
        <w:t xml:space="preserve">Strengthen recording and reporting and fast track results </w:t>
      </w:r>
    </w:p>
    <w:p w14:paraId="003214AE" w14:textId="69510AAF" w:rsidR="00790ACD" w:rsidRPr="00790ACD" w:rsidRDefault="00790ACD" w:rsidP="00790ACD">
      <w:pPr>
        <w:spacing w:after="0" w:line="240" w:lineRule="auto"/>
        <w:jc w:val="both"/>
        <w:rPr>
          <w:rFonts w:ascii="Arial" w:hAnsi="Arial" w:cs="Arial"/>
        </w:rPr>
      </w:pPr>
      <w:r>
        <w:rPr>
          <w:rFonts w:ascii="Arial" w:hAnsi="Arial" w:cs="Arial"/>
        </w:rPr>
        <w:t>(viii)</w:t>
      </w:r>
      <w:r w:rsidRPr="00790ACD">
        <w:rPr>
          <w:rFonts w:ascii="Arial" w:hAnsi="Arial" w:cs="Arial"/>
        </w:rPr>
        <w:t xml:space="preserve">Strengthen the specimen transportation system from community to </w:t>
      </w:r>
      <w:r w:rsidR="00DB635E">
        <w:rPr>
          <w:rFonts w:ascii="Arial" w:hAnsi="Arial" w:cs="Arial"/>
        </w:rPr>
        <w:t>health facilit</w:t>
      </w:r>
      <w:r w:rsidR="0013146E">
        <w:rPr>
          <w:rFonts w:ascii="Arial" w:hAnsi="Arial" w:cs="Arial"/>
        </w:rPr>
        <w:t xml:space="preserve">ies (1053) </w:t>
      </w:r>
      <w:r w:rsidR="00DB635E">
        <w:rPr>
          <w:rFonts w:ascii="Arial" w:hAnsi="Arial" w:cs="Arial"/>
        </w:rPr>
        <w:t xml:space="preserve">and then to </w:t>
      </w:r>
      <w:r w:rsidRPr="00790ACD">
        <w:rPr>
          <w:rFonts w:ascii="Arial" w:hAnsi="Arial" w:cs="Arial"/>
        </w:rPr>
        <w:t>diagnostic centre building up o</w:t>
      </w:r>
      <w:r w:rsidR="008A131F">
        <w:rPr>
          <w:rFonts w:ascii="Arial" w:hAnsi="Arial" w:cs="Arial"/>
        </w:rPr>
        <w:t xml:space="preserve">n lessons learned from the past </w:t>
      </w:r>
    </w:p>
    <w:p w14:paraId="7B844199" w14:textId="3C0806B2" w:rsidR="001F34BF" w:rsidRPr="00790ACD" w:rsidRDefault="00790ACD" w:rsidP="00790ACD">
      <w:pPr>
        <w:spacing w:after="0" w:line="240" w:lineRule="auto"/>
        <w:jc w:val="both"/>
        <w:rPr>
          <w:rFonts w:ascii="Arial" w:hAnsi="Arial" w:cs="Arial"/>
        </w:rPr>
      </w:pPr>
      <w:r w:rsidRPr="005D7DE4">
        <w:rPr>
          <w:rFonts w:ascii="Arial" w:hAnsi="Arial" w:cs="Arial"/>
        </w:rPr>
        <w:t>(</w:t>
      </w:r>
      <w:proofErr w:type="gramStart"/>
      <w:r w:rsidRPr="005D7DE4">
        <w:rPr>
          <w:rFonts w:ascii="Arial" w:hAnsi="Arial" w:cs="Arial"/>
        </w:rPr>
        <w:t>ix</w:t>
      </w:r>
      <w:proofErr w:type="gramEnd"/>
      <w:r w:rsidRPr="005D7DE4">
        <w:rPr>
          <w:rFonts w:ascii="Arial" w:hAnsi="Arial" w:cs="Arial"/>
        </w:rPr>
        <w:t>)</w:t>
      </w:r>
      <w:r w:rsidR="00CF58FD" w:rsidRPr="005D7DE4">
        <w:rPr>
          <w:rFonts w:ascii="Arial" w:hAnsi="Arial" w:cs="Arial"/>
        </w:rPr>
        <w:t xml:space="preserve">“Pay for performance” to lab technicians in hill and </w:t>
      </w:r>
      <w:proofErr w:type="spellStart"/>
      <w:r w:rsidR="00CF58FD" w:rsidRPr="005D7DE4">
        <w:rPr>
          <w:rFonts w:ascii="Arial" w:hAnsi="Arial" w:cs="Arial"/>
        </w:rPr>
        <w:t>terai</w:t>
      </w:r>
      <w:proofErr w:type="spellEnd"/>
      <w:r w:rsidR="00CF58FD" w:rsidRPr="005D7DE4">
        <w:rPr>
          <w:rFonts w:ascii="Arial" w:hAnsi="Arial" w:cs="Arial"/>
        </w:rPr>
        <w:t xml:space="preserve"> districts for sputum microscopy</w:t>
      </w:r>
    </w:p>
    <w:p w14:paraId="29B06A86" w14:textId="363192C5" w:rsidR="00CF58FD" w:rsidRDefault="00790ACD" w:rsidP="00790ACD">
      <w:pPr>
        <w:spacing w:after="0" w:line="240" w:lineRule="auto"/>
        <w:jc w:val="both"/>
        <w:rPr>
          <w:rFonts w:ascii="Arial" w:hAnsi="Arial" w:cs="Arial"/>
        </w:rPr>
      </w:pPr>
      <w:r>
        <w:rPr>
          <w:rFonts w:ascii="Arial" w:hAnsi="Arial" w:cs="Arial"/>
        </w:rPr>
        <w:lastRenderedPageBreak/>
        <w:t>(x)</w:t>
      </w:r>
      <w:r w:rsidR="002F34C6">
        <w:rPr>
          <w:rFonts w:ascii="Arial" w:hAnsi="Arial" w:cs="Arial"/>
        </w:rPr>
        <w:t xml:space="preserve"> </w:t>
      </w:r>
      <w:r w:rsidR="00CF58FD" w:rsidRPr="00790ACD">
        <w:rPr>
          <w:rFonts w:ascii="Arial" w:hAnsi="Arial" w:cs="Arial"/>
        </w:rPr>
        <w:t xml:space="preserve">Procure </w:t>
      </w:r>
      <w:r w:rsidR="00113970">
        <w:rPr>
          <w:rFonts w:ascii="Arial" w:hAnsi="Arial" w:cs="Arial"/>
        </w:rPr>
        <w:t>12</w:t>
      </w:r>
      <w:r w:rsidR="00CF58FD" w:rsidRPr="00790ACD">
        <w:rPr>
          <w:rFonts w:ascii="Arial" w:hAnsi="Arial" w:cs="Arial"/>
        </w:rPr>
        <w:t>,</w:t>
      </w:r>
      <w:r w:rsidR="00113970">
        <w:rPr>
          <w:rFonts w:ascii="Arial" w:hAnsi="Arial" w:cs="Arial"/>
        </w:rPr>
        <w:t>5</w:t>
      </w:r>
      <w:r w:rsidR="00CF58FD" w:rsidRPr="00790ACD">
        <w:rPr>
          <w:rFonts w:ascii="Arial" w:hAnsi="Arial" w:cs="Arial"/>
        </w:rPr>
        <w:t>00 cartridges</w:t>
      </w:r>
      <w:r w:rsidR="0032297C" w:rsidRPr="00790ACD">
        <w:rPr>
          <w:rFonts w:ascii="Arial" w:hAnsi="Arial" w:cs="Arial"/>
        </w:rPr>
        <w:t xml:space="preserve"> for GX</w:t>
      </w:r>
      <w:r w:rsidR="00C368AA" w:rsidRPr="00790ACD">
        <w:rPr>
          <w:rFonts w:ascii="Arial" w:hAnsi="Arial" w:cs="Arial"/>
        </w:rPr>
        <w:t xml:space="preserve"> and consumables </w:t>
      </w:r>
      <w:r w:rsidR="00CF7212">
        <w:rPr>
          <w:rFonts w:ascii="Arial" w:hAnsi="Arial" w:cs="Arial"/>
        </w:rPr>
        <w:t xml:space="preserve">for sputum </w:t>
      </w:r>
      <w:r w:rsidR="005D7A4C">
        <w:rPr>
          <w:rFonts w:ascii="Arial" w:hAnsi="Arial" w:cs="Arial"/>
        </w:rPr>
        <w:t>transport.</w:t>
      </w:r>
    </w:p>
    <w:p w14:paraId="0DFF93F9" w14:textId="062B7988" w:rsidR="00FA63D3" w:rsidRDefault="00FA63D3" w:rsidP="00790ACD">
      <w:pPr>
        <w:spacing w:after="0" w:line="240" w:lineRule="auto"/>
        <w:jc w:val="both"/>
        <w:rPr>
          <w:rFonts w:ascii="Arial" w:hAnsi="Arial" w:cs="Arial"/>
        </w:rPr>
      </w:pPr>
    </w:p>
    <w:p w14:paraId="6726FE7C" w14:textId="2684E55D" w:rsidR="006449A3" w:rsidRPr="000016CC" w:rsidRDefault="006449A3" w:rsidP="000016CC">
      <w:pPr>
        <w:spacing w:after="0" w:line="240" w:lineRule="auto"/>
        <w:jc w:val="both"/>
        <w:rPr>
          <w:rFonts w:ascii="Arial" w:hAnsi="Arial" w:cs="Arial"/>
          <w:b/>
        </w:rPr>
      </w:pPr>
      <w:r w:rsidRPr="000016CC">
        <w:rPr>
          <w:rFonts w:ascii="Arial" w:hAnsi="Arial" w:cs="Arial"/>
          <w:b/>
        </w:rPr>
        <w:t>Treatment</w:t>
      </w:r>
      <w:r w:rsidR="001E76C0">
        <w:rPr>
          <w:rFonts w:ascii="Arial" w:hAnsi="Arial" w:cs="Arial"/>
          <w:b/>
        </w:rPr>
        <w:t xml:space="preserve"> </w:t>
      </w:r>
    </w:p>
    <w:p w14:paraId="171A42EB" w14:textId="39E684EF" w:rsidR="00B05F01" w:rsidRDefault="00640C23" w:rsidP="000D2240">
      <w:pPr>
        <w:pStyle w:val="ListParagraph"/>
        <w:spacing w:after="0" w:line="240" w:lineRule="auto"/>
        <w:ind w:left="0"/>
        <w:jc w:val="both"/>
        <w:rPr>
          <w:rFonts w:ascii="Arial" w:hAnsi="Arial" w:cs="Arial"/>
        </w:rPr>
      </w:pPr>
      <w:r w:rsidRPr="00640C23">
        <w:rPr>
          <w:rFonts w:ascii="Arial" w:hAnsi="Arial" w:cs="Arial"/>
        </w:rPr>
        <w:t>The rationale is to m</w:t>
      </w:r>
      <w:r w:rsidR="00B05F01" w:rsidRPr="00640C23">
        <w:rPr>
          <w:rFonts w:ascii="Arial" w:hAnsi="Arial" w:cs="Arial"/>
        </w:rPr>
        <w:t xml:space="preserve">aintain </w:t>
      </w:r>
      <w:r w:rsidR="002265F9">
        <w:rPr>
          <w:rFonts w:ascii="Arial" w:hAnsi="Arial" w:cs="Arial"/>
        </w:rPr>
        <w:t xml:space="preserve">at least </w:t>
      </w:r>
      <w:r w:rsidR="00B05F01" w:rsidRPr="00640C23">
        <w:rPr>
          <w:rFonts w:ascii="Arial" w:hAnsi="Arial" w:cs="Arial"/>
        </w:rPr>
        <w:t>90% treatment success among new PBC TB cases</w:t>
      </w:r>
      <w:r w:rsidR="001824D3">
        <w:rPr>
          <w:rFonts w:ascii="Arial" w:hAnsi="Arial" w:cs="Arial"/>
        </w:rPr>
        <w:t xml:space="preserve"> by strictly ensuring treatment adherence and follow up.</w:t>
      </w:r>
      <w:r w:rsidR="00C368AA">
        <w:rPr>
          <w:rFonts w:ascii="Arial" w:hAnsi="Arial" w:cs="Arial"/>
        </w:rPr>
        <w:t xml:space="preserve"> </w:t>
      </w:r>
    </w:p>
    <w:p w14:paraId="1F7D17AC" w14:textId="2040007F" w:rsidR="00702EF4" w:rsidRDefault="007D0C47" w:rsidP="00702EF4">
      <w:pPr>
        <w:pStyle w:val="ListParagraph"/>
        <w:spacing w:after="0" w:line="240" w:lineRule="auto"/>
        <w:ind w:left="0"/>
        <w:jc w:val="both"/>
        <w:rPr>
          <w:rFonts w:ascii="Arial" w:hAnsi="Arial" w:cs="Arial"/>
        </w:rPr>
      </w:pPr>
      <w:r>
        <w:rPr>
          <w:rFonts w:ascii="Arial" w:hAnsi="Arial" w:cs="Arial"/>
          <w:u w:val="single"/>
        </w:rPr>
        <w:t>A</w:t>
      </w:r>
      <w:r w:rsidR="00640C23" w:rsidRPr="00640C23">
        <w:rPr>
          <w:rFonts w:ascii="Arial" w:hAnsi="Arial" w:cs="Arial"/>
          <w:u w:val="single"/>
        </w:rPr>
        <w:t>ctivities</w:t>
      </w:r>
      <w:r>
        <w:rPr>
          <w:rFonts w:ascii="Arial" w:hAnsi="Arial" w:cs="Arial"/>
          <w:u w:val="single"/>
        </w:rPr>
        <w:t xml:space="preserve"> </w:t>
      </w:r>
      <w:r w:rsidR="00663097">
        <w:rPr>
          <w:rFonts w:ascii="Arial" w:hAnsi="Arial" w:cs="Arial"/>
          <w:u w:val="single"/>
        </w:rPr>
        <w:t xml:space="preserve">to address key gaps </w:t>
      </w:r>
      <w:r>
        <w:rPr>
          <w:rFonts w:ascii="Arial" w:hAnsi="Arial" w:cs="Arial"/>
          <w:u w:val="single"/>
        </w:rPr>
        <w:t>include</w:t>
      </w:r>
      <w:r w:rsidR="00640C23" w:rsidRPr="00640C23">
        <w:rPr>
          <w:rFonts w:ascii="Arial" w:hAnsi="Arial" w:cs="Arial"/>
          <w:u w:val="single"/>
        </w:rPr>
        <w:t>:</w:t>
      </w:r>
      <w:r w:rsidR="00640C23" w:rsidRPr="007D0C47">
        <w:rPr>
          <w:rFonts w:ascii="Arial" w:hAnsi="Arial" w:cs="Arial"/>
        </w:rPr>
        <w:t xml:space="preserve"> </w:t>
      </w:r>
      <w:r w:rsidRPr="003C2F73">
        <w:rPr>
          <w:rFonts w:ascii="Arial" w:hAnsi="Arial" w:cs="Arial"/>
          <w:b/>
        </w:rPr>
        <w:t>(</w:t>
      </w:r>
      <w:proofErr w:type="spellStart"/>
      <w:r w:rsidR="00640C23" w:rsidRPr="003C2F73">
        <w:rPr>
          <w:rFonts w:ascii="Arial" w:hAnsi="Arial" w:cs="Arial"/>
          <w:b/>
        </w:rPr>
        <w:t>i</w:t>
      </w:r>
      <w:proofErr w:type="spellEnd"/>
      <w:r w:rsidR="00640C23" w:rsidRPr="003C2F73">
        <w:rPr>
          <w:rFonts w:ascii="Arial" w:hAnsi="Arial" w:cs="Arial"/>
          <w:b/>
        </w:rPr>
        <w:t>)</w:t>
      </w:r>
      <w:r w:rsidR="00640C23">
        <w:rPr>
          <w:rFonts w:ascii="Arial" w:hAnsi="Arial" w:cs="Arial"/>
        </w:rPr>
        <w:t xml:space="preserve"> </w:t>
      </w:r>
      <w:r>
        <w:rPr>
          <w:rFonts w:ascii="Arial" w:hAnsi="Arial" w:cs="Arial"/>
        </w:rPr>
        <w:t>c</w:t>
      </w:r>
      <w:r w:rsidR="00B05F01" w:rsidRPr="00640C23">
        <w:rPr>
          <w:rFonts w:ascii="Arial" w:hAnsi="Arial" w:cs="Arial"/>
        </w:rPr>
        <w:t>apacity building of care givers including skills in counse</w:t>
      </w:r>
      <w:r w:rsidR="00640C23">
        <w:rPr>
          <w:rFonts w:ascii="Arial" w:hAnsi="Arial" w:cs="Arial"/>
        </w:rPr>
        <w:t xml:space="preserve">lling and ‘patient-centred </w:t>
      </w:r>
      <w:r w:rsidR="00B05F01" w:rsidRPr="00640C23">
        <w:rPr>
          <w:rFonts w:ascii="Arial" w:hAnsi="Arial" w:cs="Arial"/>
        </w:rPr>
        <w:t>care’</w:t>
      </w:r>
      <w:r w:rsidR="00640C23" w:rsidRPr="00640C23">
        <w:rPr>
          <w:rFonts w:ascii="Arial" w:hAnsi="Arial" w:cs="Arial"/>
        </w:rPr>
        <w:t xml:space="preserve">; </w:t>
      </w:r>
      <w:r w:rsidRPr="003C2F73">
        <w:rPr>
          <w:rFonts w:ascii="Arial" w:hAnsi="Arial" w:cs="Arial"/>
          <w:b/>
        </w:rPr>
        <w:t>(</w:t>
      </w:r>
      <w:r w:rsidR="00640C23" w:rsidRPr="003C2F73">
        <w:rPr>
          <w:rFonts w:ascii="Arial" w:hAnsi="Arial" w:cs="Arial"/>
          <w:b/>
        </w:rPr>
        <w:t>ii)</w:t>
      </w:r>
      <w:r w:rsidR="00640C23" w:rsidRPr="00640C23">
        <w:rPr>
          <w:rFonts w:ascii="Arial" w:hAnsi="Arial" w:cs="Arial"/>
        </w:rPr>
        <w:t xml:space="preserve"> e</w:t>
      </w:r>
      <w:r w:rsidR="00B05F01" w:rsidRPr="00640C23">
        <w:rPr>
          <w:rFonts w:ascii="Arial" w:hAnsi="Arial" w:cs="Arial"/>
        </w:rPr>
        <w:t xml:space="preserve">nsure uninterrupted supply of </w:t>
      </w:r>
      <w:r w:rsidR="00C368AA">
        <w:rPr>
          <w:rFonts w:ascii="Arial" w:hAnsi="Arial" w:cs="Arial"/>
        </w:rPr>
        <w:t xml:space="preserve">anti-TB drugs: </w:t>
      </w:r>
      <w:r w:rsidR="003C5792">
        <w:rPr>
          <w:rFonts w:ascii="Arial" w:hAnsi="Arial" w:cs="Arial"/>
        </w:rPr>
        <w:t>first line drugs (</w:t>
      </w:r>
      <w:r w:rsidR="00C368AA">
        <w:rPr>
          <w:rFonts w:ascii="Arial" w:hAnsi="Arial" w:cs="Arial"/>
        </w:rPr>
        <w:t>FLDs</w:t>
      </w:r>
      <w:r w:rsidR="003C5792">
        <w:rPr>
          <w:rFonts w:ascii="Arial" w:hAnsi="Arial" w:cs="Arial"/>
        </w:rPr>
        <w:t xml:space="preserve">) and </w:t>
      </w:r>
      <w:r w:rsidR="00C368AA">
        <w:rPr>
          <w:rFonts w:ascii="Arial" w:hAnsi="Arial" w:cs="Arial"/>
        </w:rPr>
        <w:t xml:space="preserve">paediatric </w:t>
      </w:r>
      <w:r w:rsidR="003C5792">
        <w:rPr>
          <w:rFonts w:ascii="Arial" w:hAnsi="Arial" w:cs="Arial"/>
        </w:rPr>
        <w:t>formulations</w:t>
      </w:r>
      <w:r w:rsidR="00C368AA">
        <w:rPr>
          <w:rFonts w:ascii="Arial" w:hAnsi="Arial" w:cs="Arial"/>
        </w:rPr>
        <w:t xml:space="preserve"> including isoniazid</w:t>
      </w:r>
      <w:r w:rsidR="00640C23" w:rsidRPr="00640C23">
        <w:rPr>
          <w:rFonts w:ascii="Arial" w:hAnsi="Arial" w:cs="Arial"/>
        </w:rPr>
        <w:t xml:space="preserve">; </w:t>
      </w:r>
      <w:r w:rsidRPr="003C2F73">
        <w:rPr>
          <w:rFonts w:ascii="Arial" w:hAnsi="Arial" w:cs="Arial"/>
          <w:b/>
        </w:rPr>
        <w:t>(</w:t>
      </w:r>
      <w:r w:rsidR="00640C23" w:rsidRPr="003C2F73">
        <w:rPr>
          <w:rFonts w:ascii="Arial" w:hAnsi="Arial" w:cs="Arial"/>
          <w:b/>
        </w:rPr>
        <w:t>iii)</w:t>
      </w:r>
      <w:r w:rsidR="00640C23" w:rsidRPr="00640C23">
        <w:rPr>
          <w:rFonts w:ascii="Arial" w:hAnsi="Arial" w:cs="Arial"/>
        </w:rPr>
        <w:t xml:space="preserve"> e</w:t>
      </w:r>
      <w:r w:rsidR="00B05F01" w:rsidRPr="00640C23">
        <w:rPr>
          <w:rFonts w:ascii="Arial" w:hAnsi="Arial" w:cs="Arial"/>
        </w:rPr>
        <w:t>nsure treatment supervision in both facility and community-based treatment adherence</w:t>
      </w:r>
      <w:r w:rsidR="00640C23" w:rsidRPr="00640C23">
        <w:rPr>
          <w:rFonts w:ascii="Arial" w:hAnsi="Arial" w:cs="Arial"/>
        </w:rPr>
        <w:t xml:space="preserve">; </w:t>
      </w:r>
      <w:r w:rsidRPr="003C2F73">
        <w:rPr>
          <w:rFonts w:ascii="Arial" w:hAnsi="Arial" w:cs="Arial"/>
          <w:b/>
        </w:rPr>
        <w:t>(</w:t>
      </w:r>
      <w:r w:rsidR="00640C23" w:rsidRPr="003C2F73">
        <w:rPr>
          <w:rFonts w:ascii="Arial" w:hAnsi="Arial" w:cs="Arial"/>
          <w:b/>
        </w:rPr>
        <w:t>iv)</w:t>
      </w:r>
      <w:r w:rsidR="00640C23">
        <w:rPr>
          <w:rFonts w:ascii="Arial" w:hAnsi="Arial" w:cs="Arial"/>
        </w:rPr>
        <w:t xml:space="preserve"> s</w:t>
      </w:r>
      <w:r w:rsidR="00B05F01" w:rsidRPr="00640C23">
        <w:rPr>
          <w:rFonts w:ascii="Arial" w:hAnsi="Arial" w:cs="Arial"/>
        </w:rPr>
        <w:t>upport management of adverse drug reactions for FLDs</w:t>
      </w:r>
      <w:r w:rsidR="00640C23">
        <w:rPr>
          <w:rFonts w:ascii="Arial" w:hAnsi="Arial" w:cs="Arial"/>
        </w:rPr>
        <w:t xml:space="preserve">; </w:t>
      </w:r>
      <w:r w:rsidRPr="003C2F73">
        <w:rPr>
          <w:rFonts w:ascii="Arial" w:hAnsi="Arial" w:cs="Arial"/>
          <w:b/>
        </w:rPr>
        <w:t>(</w:t>
      </w:r>
      <w:r w:rsidR="00640C23" w:rsidRPr="003C2F73">
        <w:rPr>
          <w:rFonts w:ascii="Arial" w:hAnsi="Arial" w:cs="Arial"/>
          <w:b/>
        </w:rPr>
        <w:t>v)</w:t>
      </w:r>
      <w:r w:rsidR="00640C23">
        <w:rPr>
          <w:rFonts w:ascii="Arial" w:hAnsi="Arial" w:cs="Arial"/>
        </w:rPr>
        <w:t xml:space="preserve"> </w:t>
      </w:r>
      <w:r w:rsidR="00B05F01" w:rsidRPr="00D57C02">
        <w:rPr>
          <w:rFonts w:ascii="Arial" w:hAnsi="Arial" w:cs="Arial"/>
        </w:rPr>
        <w:t xml:space="preserve">Nutritional &amp; transportation support </w:t>
      </w:r>
      <w:r w:rsidR="00B05F01">
        <w:rPr>
          <w:rFonts w:ascii="Arial" w:hAnsi="Arial" w:cs="Arial"/>
        </w:rPr>
        <w:t>for retreatment cases</w:t>
      </w:r>
      <w:r w:rsidR="00A71294">
        <w:rPr>
          <w:rFonts w:ascii="Arial" w:hAnsi="Arial" w:cs="Arial"/>
        </w:rPr>
        <w:t xml:space="preserve"> through </w:t>
      </w:r>
      <w:proofErr w:type="spellStart"/>
      <w:r w:rsidR="00A71294">
        <w:rPr>
          <w:rFonts w:ascii="Arial" w:hAnsi="Arial" w:cs="Arial"/>
        </w:rPr>
        <w:t>GoN</w:t>
      </w:r>
      <w:proofErr w:type="spellEnd"/>
      <w:r w:rsidR="00A71294">
        <w:rPr>
          <w:rFonts w:ascii="Arial" w:hAnsi="Arial" w:cs="Arial"/>
        </w:rPr>
        <w:t xml:space="preserve">; </w:t>
      </w:r>
      <w:r w:rsidR="00640C23">
        <w:rPr>
          <w:rFonts w:ascii="Arial" w:hAnsi="Arial" w:cs="Arial"/>
        </w:rPr>
        <w:t xml:space="preserve"> </w:t>
      </w:r>
      <w:r w:rsidRPr="003C2F73">
        <w:rPr>
          <w:rFonts w:ascii="Arial" w:hAnsi="Arial" w:cs="Arial"/>
          <w:b/>
        </w:rPr>
        <w:t>(</w:t>
      </w:r>
      <w:r w:rsidR="00640C23" w:rsidRPr="003C2F73">
        <w:rPr>
          <w:rFonts w:ascii="Arial" w:hAnsi="Arial" w:cs="Arial"/>
          <w:b/>
        </w:rPr>
        <w:t>vi)</w:t>
      </w:r>
      <w:r w:rsidR="00640C23">
        <w:rPr>
          <w:rFonts w:ascii="Arial" w:hAnsi="Arial" w:cs="Arial"/>
        </w:rPr>
        <w:t xml:space="preserve"> t</w:t>
      </w:r>
      <w:r w:rsidR="00B05F01" w:rsidRPr="00D57C02">
        <w:rPr>
          <w:rFonts w:ascii="Arial" w:hAnsi="Arial" w:cs="Arial"/>
        </w:rPr>
        <w:t xml:space="preserve">reatment follow up &amp; </w:t>
      </w:r>
      <w:r w:rsidR="00B05F01">
        <w:rPr>
          <w:rFonts w:ascii="Arial" w:hAnsi="Arial" w:cs="Arial"/>
        </w:rPr>
        <w:t xml:space="preserve">joint </w:t>
      </w:r>
      <w:r w:rsidR="00B05F01" w:rsidRPr="00D57C02">
        <w:rPr>
          <w:rFonts w:ascii="Arial" w:hAnsi="Arial" w:cs="Arial"/>
        </w:rPr>
        <w:t>monitoring by involvement of microscopy centres</w:t>
      </w:r>
      <w:r w:rsidR="00640C23">
        <w:rPr>
          <w:rFonts w:ascii="Arial" w:hAnsi="Arial" w:cs="Arial"/>
        </w:rPr>
        <w:t xml:space="preserve">; </w:t>
      </w:r>
      <w:r w:rsidR="00A71294" w:rsidRPr="003C2F73">
        <w:rPr>
          <w:rFonts w:ascii="Arial" w:hAnsi="Arial" w:cs="Arial"/>
          <w:b/>
        </w:rPr>
        <w:t>(vii)</w:t>
      </w:r>
      <w:r w:rsidR="00A71294">
        <w:rPr>
          <w:rFonts w:ascii="Arial" w:hAnsi="Arial" w:cs="Arial"/>
        </w:rPr>
        <w:t xml:space="preserve"> expansion of CB-DOTS in 9 additional districts </w:t>
      </w:r>
      <w:r w:rsidR="00702EF4">
        <w:rPr>
          <w:rFonts w:ascii="Arial" w:hAnsi="Arial" w:cs="Arial"/>
        </w:rPr>
        <w:t>(with GF grant).</w:t>
      </w:r>
    </w:p>
    <w:p w14:paraId="76C89D02" w14:textId="77777777" w:rsidR="00702EF4" w:rsidRDefault="00702EF4" w:rsidP="00702EF4">
      <w:pPr>
        <w:pStyle w:val="ListParagraph"/>
        <w:spacing w:after="0" w:line="240" w:lineRule="auto"/>
        <w:ind w:left="0"/>
        <w:jc w:val="both"/>
        <w:rPr>
          <w:rFonts w:ascii="Arial" w:hAnsi="Arial" w:cs="Arial"/>
        </w:rPr>
      </w:pPr>
    </w:p>
    <w:p w14:paraId="33CAB60A" w14:textId="0DF478BD" w:rsidR="006449A3" w:rsidRPr="000016CC" w:rsidRDefault="006449A3" w:rsidP="00702EF4">
      <w:pPr>
        <w:pStyle w:val="ListParagraph"/>
        <w:spacing w:after="0" w:line="240" w:lineRule="auto"/>
        <w:ind w:left="0"/>
        <w:jc w:val="both"/>
        <w:rPr>
          <w:rFonts w:ascii="Arial" w:hAnsi="Arial" w:cs="Arial"/>
          <w:b/>
        </w:rPr>
      </w:pPr>
      <w:r w:rsidRPr="000016CC">
        <w:rPr>
          <w:rFonts w:ascii="Arial" w:hAnsi="Arial" w:cs="Arial"/>
          <w:b/>
        </w:rPr>
        <w:t>Prevention</w:t>
      </w:r>
    </w:p>
    <w:p w14:paraId="409221A0" w14:textId="7EACC40A" w:rsidR="007D0C47" w:rsidRDefault="004B0D4C" w:rsidP="000D2240">
      <w:pPr>
        <w:pStyle w:val="ListParagraph"/>
        <w:spacing w:after="0" w:line="240" w:lineRule="auto"/>
        <w:ind w:left="0"/>
        <w:jc w:val="both"/>
        <w:rPr>
          <w:rFonts w:ascii="Arial" w:hAnsi="Arial" w:cs="Arial"/>
        </w:rPr>
      </w:pPr>
      <w:r w:rsidRPr="004B0D4C">
        <w:rPr>
          <w:rFonts w:ascii="Arial" w:hAnsi="Arial" w:cs="Arial"/>
        </w:rPr>
        <w:t xml:space="preserve">The </w:t>
      </w:r>
      <w:r>
        <w:rPr>
          <w:rFonts w:ascii="Arial" w:hAnsi="Arial" w:cs="Arial"/>
        </w:rPr>
        <w:t>rationale is to prevent the transmission of the disease in the community through awareness of the disease through advocacy, communication and social mobilization (ACSM) and at the same time</w:t>
      </w:r>
      <w:r w:rsidR="003128EE">
        <w:rPr>
          <w:rFonts w:ascii="Arial" w:hAnsi="Arial" w:cs="Arial"/>
        </w:rPr>
        <w:t>,</w:t>
      </w:r>
      <w:r>
        <w:rPr>
          <w:rFonts w:ascii="Arial" w:hAnsi="Arial" w:cs="Arial"/>
        </w:rPr>
        <w:t xml:space="preserve"> focus on</w:t>
      </w:r>
      <w:r w:rsidR="00566125">
        <w:rPr>
          <w:rFonts w:ascii="Arial" w:hAnsi="Arial" w:cs="Arial"/>
        </w:rPr>
        <w:t xml:space="preserve"> enforcement of</w:t>
      </w:r>
      <w:r>
        <w:rPr>
          <w:rFonts w:ascii="Arial" w:hAnsi="Arial" w:cs="Arial"/>
        </w:rPr>
        <w:t xml:space="preserve"> infection control activities at </w:t>
      </w:r>
      <w:r w:rsidR="00D022FA">
        <w:rPr>
          <w:rFonts w:ascii="Arial" w:hAnsi="Arial" w:cs="Arial"/>
        </w:rPr>
        <w:t xml:space="preserve">household, community and health facility </w:t>
      </w:r>
      <w:r w:rsidR="00D022FA" w:rsidRPr="006A22B2">
        <w:rPr>
          <w:rFonts w:ascii="Arial" w:hAnsi="Arial" w:cs="Arial"/>
        </w:rPr>
        <w:t>levels.</w:t>
      </w:r>
      <w:r w:rsidR="00D022FA">
        <w:rPr>
          <w:rFonts w:ascii="Arial" w:hAnsi="Arial" w:cs="Arial"/>
        </w:rPr>
        <w:t xml:space="preserve"> </w:t>
      </w:r>
    </w:p>
    <w:p w14:paraId="0BCD5092" w14:textId="2E9D657D" w:rsidR="00D022FA" w:rsidRDefault="00663097" w:rsidP="000D2240">
      <w:pPr>
        <w:pStyle w:val="ListParagraph"/>
        <w:spacing w:after="0" w:line="240" w:lineRule="auto"/>
        <w:ind w:left="0"/>
        <w:jc w:val="both"/>
        <w:rPr>
          <w:rFonts w:ascii="Arial" w:hAnsi="Arial" w:cs="Arial"/>
        </w:rPr>
      </w:pPr>
      <w:r>
        <w:rPr>
          <w:rFonts w:ascii="Arial" w:hAnsi="Arial" w:cs="Arial"/>
          <w:u w:val="single"/>
        </w:rPr>
        <w:t>A</w:t>
      </w:r>
      <w:r w:rsidRPr="00640C23">
        <w:rPr>
          <w:rFonts w:ascii="Arial" w:hAnsi="Arial" w:cs="Arial"/>
          <w:u w:val="single"/>
        </w:rPr>
        <w:t>ctivities</w:t>
      </w:r>
      <w:r>
        <w:rPr>
          <w:rFonts w:ascii="Arial" w:hAnsi="Arial" w:cs="Arial"/>
          <w:u w:val="single"/>
        </w:rPr>
        <w:t xml:space="preserve"> to address key gaps include</w:t>
      </w:r>
      <w:r w:rsidRPr="00640C23">
        <w:rPr>
          <w:rFonts w:ascii="Arial" w:hAnsi="Arial" w:cs="Arial"/>
          <w:u w:val="single"/>
        </w:rPr>
        <w:t>:</w:t>
      </w:r>
      <w:r w:rsidR="00D022FA">
        <w:rPr>
          <w:rFonts w:ascii="Arial" w:hAnsi="Arial" w:cs="Arial"/>
        </w:rPr>
        <w:t xml:space="preserve"> </w:t>
      </w:r>
      <w:r w:rsidR="00D022FA" w:rsidRPr="003C2F73">
        <w:rPr>
          <w:rFonts w:ascii="Arial" w:hAnsi="Arial" w:cs="Arial"/>
          <w:b/>
        </w:rPr>
        <w:t>(</w:t>
      </w:r>
      <w:proofErr w:type="spellStart"/>
      <w:r w:rsidR="00D022FA" w:rsidRPr="003C2F73">
        <w:rPr>
          <w:rFonts w:ascii="Arial" w:hAnsi="Arial" w:cs="Arial"/>
          <w:b/>
        </w:rPr>
        <w:t>i</w:t>
      </w:r>
      <w:proofErr w:type="spellEnd"/>
      <w:r w:rsidR="00D022FA" w:rsidRPr="003C2F73">
        <w:rPr>
          <w:rFonts w:ascii="Arial" w:hAnsi="Arial" w:cs="Arial"/>
          <w:b/>
        </w:rPr>
        <w:t>)</w:t>
      </w:r>
      <w:r w:rsidR="00D022FA">
        <w:rPr>
          <w:rFonts w:ascii="Arial" w:hAnsi="Arial" w:cs="Arial"/>
        </w:rPr>
        <w:t xml:space="preserve"> </w:t>
      </w:r>
      <w:r w:rsidR="00251181">
        <w:rPr>
          <w:rFonts w:ascii="Arial" w:hAnsi="Arial" w:cs="Arial"/>
        </w:rPr>
        <w:t xml:space="preserve">community awareness on infection control at household and community levels through ‘cough etiquette’, </w:t>
      </w:r>
      <w:r w:rsidR="00FA790D">
        <w:rPr>
          <w:rFonts w:ascii="Arial" w:hAnsi="Arial" w:cs="Arial"/>
        </w:rPr>
        <w:t xml:space="preserve">prevention of </w:t>
      </w:r>
      <w:r w:rsidR="00251181">
        <w:rPr>
          <w:rFonts w:ascii="Arial" w:hAnsi="Arial" w:cs="Arial"/>
        </w:rPr>
        <w:t xml:space="preserve">indiscriminate coughing and spitting, </w:t>
      </w:r>
      <w:r w:rsidR="00FA790D">
        <w:rPr>
          <w:rFonts w:ascii="Arial" w:hAnsi="Arial" w:cs="Arial"/>
        </w:rPr>
        <w:t xml:space="preserve">proper </w:t>
      </w:r>
      <w:r w:rsidR="00251181">
        <w:rPr>
          <w:rFonts w:ascii="Arial" w:hAnsi="Arial" w:cs="Arial"/>
        </w:rPr>
        <w:t xml:space="preserve">disposal of sputum, etc. </w:t>
      </w:r>
      <w:r w:rsidR="00251181" w:rsidRPr="003C2F73">
        <w:rPr>
          <w:rFonts w:ascii="Arial" w:hAnsi="Arial" w:cs="Arial"/>
          <w:b/>
        </w:rPr>
        <w:t>(ii)</w:t>
      </w:r>
      <w:r w:rsidR="00251181">
        <w:rPr>
          <w:rFonts w:ascii="Arial" w:hAnsi="Arial" w:cs="Arial"/>
        </w:rPr>
        <w:t xml:space="preserve"> </w:t>
      </w:r>
      <w:r w:rsidR="009A5E8E">
        <w:rPr>
          <w:rFonts w:ascii="Arial" w:hAnsi="Arial" w:cs="Arial"/>
        </w:rPr>
        <w:t>p</w:t>
      </w:r>
      <w:r w:rsidR="00D022FA">
        <w:rPr>
          <w:rFonts w:ascii="Arial" w:hAnsi="Arial" w:cs="Arial"/>
        </w:rPr>
        <w:t>rovision of isoniazid preventive therapy (IPT) for c</w:t>
      </w:r>
      <w:r w:rsidR="00702EF4">
        <w:rPr>
          <w:rFonts w:ascii="Arial" w:hAnsi="Arial" w:cs="Arial"/>
        </w:rPr>
        <w:t>hild contacts of index TB cases</w:t>
      </w:r>
      <w:r w:rsidR="00D022FA">
        <w:rPr>
          <w:rFonts w:ascii="Arial" w:hAnsi="Arial" w:cs="Arial"/>
        </w:rPr>
        <w:t xml:space="preserve">; </w:t>
      </w:r>
      <w:r w:rsidR="00D022FA" w:rsidRPr="003C2F73">
        <w:rPr>
          <w:rFonts w:ascii="Arial" w:hAnsi="Arial" w:cs="Arial"/>
          <w:b/>
        </w:rPr>
        <w:t>(i</w:t>
      </w:r>
      <w:r w:rsidR="00251181" w:rsidRPr="003C2F73">
        <w:rPr>
          <w:rFonts w:ascii="Arial" w:hAnsi="Arial" w:cs="Arial"/>
          <w:b/>
        </w:rPr>
        <w:t>i</w:t>
      </w:r>
      <w:r w:rsidR="00D022FA" w:rsidRPr="003C2F73">
        <w:rPr>
          <w:rFonts w:ascii="Arial" w:hAnsi="Arial" w:cs="Arial"/>
          <w:b/>
        </w:rPr>
        <w:t>i)</w:t>
      </w:r>
      <w:r w:rsidR="00D022FA">
        <w:rPr>
          <w:rFonts w:ascii="Arial" w:hAnsi="Arial" w:cs="Arial"/>
        </w:rPr>
        <w:t xml:space="preserve"> </w:t>
      </w:r>
      <w:r w:rsidR="00251181">
        <w:rPr>
          <w:rFonts w:ascii="Arial" w:hAnsi="Arial" w:cs="Arial"/>
        </w:rPr>
        <w:t xml:space="preserve">infection and prevention control (IPC) </w:t>
      </w:r>
      <w:r w:rsidR="00C5521D">
        <w:rPr>
          <w:rFonts w:ascii="Arial" w:hAnsi="Arial" w:cs="Arial"/>
        </w:rPr>
        <w:t xml:space="preserve">measures </w:t>
      </w:r>
      <w:r w:rsidR="000626C8">
        <w:rPr>
          <w:rFonts w:ascii="Arial" w:hAnsi="Arial" w:cs="Arial"/>
        </w:rPr>
        <w:t xml:space="preserve">based on the SOP </w:t>
      </w:r>
      <w:r w:rsidR="00C5521D">
        <w:rPr>
          <w:rFonts w:ascii="Arial" w:hAnsi="Arial" w:cs="Arial"/>
        </w:rPr>
        <w:t xml:space="preserve">to be </w:t>
      </w:r>
      <w:r w:rsidR="006A22B2">
        <w:rPr>
          <w:rFonts w:ascii="Arial" w:hAnsi="Arial" w:cs="Arial"/>
        </w:rPr>
        <w:t xml:space="preserve">developed will be </w:t>
      </w:r>
      <w:r w:rsidR="00C5521D">
        <w:rPr>
          <w:rFonts w:ascii="Arial" w:hAnsi="Arial" w:cs="Arial"/>
        </w:rPr>
        <w:t>enforced at all health facilities managing DR-TB patients</w:t>
      </w:r>
      <w:r w:rsidR="00FF61FE">
        <w:rPr>
          <w:rFonts w:ascii="Arial" w:hAnsi="Arial" w:cs="Arial"/>
        </w:rPr>
        <w:t xml:space="preserve"> including laboratories</w:t>
      </w:r>
      <w:r w:rsidR="00702EF4">
        <w:rPr>
          <w:rFonts w:ascii="Arial" w:hAnsi="Arial" w:cs="Arial"/>
        </w:rPr>
        <w:t xml:space="preserve">; </w:t>
      </w:r>
      <w:r w:rsidR="00702EF4" w:rsidRPr="003C2F73">
        <w:rPr>
          <w:rFonts w:ascii="Arial" w:hAnsi="Arial" w:cs="Arial"/>
          <w:b/>
        </w:rPr>
        <w:t>(iv)</w:t>
      </w:r>
      <w:r w:rsidR="00702EF4">
        <w:rPr>
          <w:rFonts w:ascii="Arial" w:hAnsi="Arial" w:cs="Arial"/>
        </w:rPr>
        <w:t xml:space="preserve"> capacity building of laboratory staff on IPC.</w:t>
      </w:r>
    </w:p>
    <w:p w14:paraId="2A9B6050" w14:textId="77777777" w:rsidR="00702EF4" w:rsidRDefault="00702EF4" w:rsidP="000D2240">
      <w:pPr>
        <w:pStyle w:val="ListParagraph"/>
        <w:spacing w:after="0" w:line="240" w:lineRule="auto"/>
        <w:ind w:left="0"/>
        <w:jc w:val="both"/>
        <w:rPr>
          <w:rFonts w:ascii="Arial" w:hAnsi="Arial" w:cs="Arial"/>
        </w:rPr>
      </w:pPr>
    </w:p>
    <w:p w14:paraId="76DD5C68" w14:textId="45B1FCB6" w:rsidR="006449A3" w:rsidRPr="000016CC" w:rsidRDefault="006449A3" w:rsidP="000016CC">
      <w:pPr>
        <w:spacing w:after="0" w:line="240" w:lineRule="auto"/>
        <w:jc w:val="both"/>
        <w:rPr>
          <w:rFonts w:ascii="Arial" w:hAnsi="Arial" w:cs="Arial"/>
          <w:b/>
        </w:rPr>
      </w:pPr>
      <w:r w:rsidRPr="00985C02">
        <w:rPr>
          <w:rFonts w:ascii="Arial" w:hAnsi="Arial" w:cs="Arial"/>
          <w:b/>
        </w:rPr>
        <w:t>Engaging all care providers</w:t>
      </w:r>
      <w:r w:rsidR="006B01F0" w:rsidRPr="00985C02">
        <w:rPr>
          <w:rFonts w:ascii="Arial" w:hAnsi="Arial" w:cs="Arial"/>
          <w:b/>
        </w:rPr>
        <w:t xml:space="preserve"> </w:t>
      </w:r>
    </w:p>
    <w:p w14:paraId="417C1197" w14:textId="4536B5D9" w:rsidR="00F95F42" w:rsidRDefault="003300F8" w:rsidP="00A02FC5">
      <w:pPr>
        <w:pStyle w:val="ListParagraph"/>
        <w:spacing w:line="240" w:lineRule="auto"/>
        <w:ind w:left="0"/>
        <w:jc w:val="both"/>
        <w:rPr>
          <w:rFonts w:ascii="Arial" w:hAnsi="Arial" w:cs="Arial"/>
          <w:bCs/>
          <w:lang w:val="en-US"/>
        </w:rPr>
      </w:pPr>
      <w:r w:rsidRPr="00972812">
        <w:rPr>
          <w:rFonts w:ascii="Arial" w:hAnsi="Arial" w:cs="Arial"/>
        </w:rPr>
        <w:t xml:space="preserve">The rationale </w:t>
      </w:r>
      <w:r w:rsidR="00A13A73" w:rsidRPr="00972812">
        <w:rPr>
          <w:rFonts w:ascii="Arial" w:hAnsi="Arial" w:cs="Arial"/>
        </w:rPr>
        <w:t xml:space="preserve">is to engage the dominant private health sector which provides approximately 70% of doctors in the </w:t>
      </w:r>
      <w:proofErr w:type="spellStart"/>
      <w:r w:rsidR="00A13A73" w:rsidRPr="00972812">
        <w:rPr>
          <w:rFonts w:ascii="Arial" w:hAnsi="Arial" w:cs="Arial"/>
        </w:rPr>
        <w:t>terai</w:t>
      </w:r>
      <w:proofErr w:type="spellEnd"/>
      <w:r w:rsidR="00A13A73" w:rsidRPr="00972812">
        <w:rPr>
          <w:rFonts w:ascii="Arial" w:hAnsi="Arial" w:cs="Arial"/>
        </w:rPr>
        <w:t xml:space="preserve"> and the </w:t>
      </w:r>
      <w:r w:rsidR="00A95C6D" w:rsidRPr="00972812">
        <w:rPr>
          <w:rFonts w:ascii="Arial" w:hAnsi="Arial" w:cs="Arial"/>
        </w:rPr>
        <w:t xml:space="preserve">main cities. </w:t>
      </w:r>
      <w:r w:rsidR="00A13A73" w:rsidRPr="00972812">
        <w:rPr>
          <w:rFonts w:ascii="Arial" w:hAnsi="Arial" w:cs="Arial"/>
          <w:bCs/>
          <w:lang w:val="en-US"/>
        </w:rPr>
        <w:t>A systematic mechanism and strategic approach to engage all care providers using structures established in collaboration with the NTP can have a sustained long-term positive impact on access to quality and affordable TB care, leading to early case finding and high treatment success.</w:t>
      </w:r>
      <w:r w:rsidR="00A13A73" w:rsidRPr="00972812">
        <w:rPr>
          <w:rFonts w:ascii="Arial" w:hAnsi="Arial" w:cs="Arial"/>
        </w:rPr>
        <w:t xml:space="preserve"> </w:t>
      </w:r>
    </w:p>
    <w:p w14:paraId="5164062A" w14:textId="0E794483" w:rsidR="00F45113" w:rsidRPr="00972812" w:rsidRDefault="00F45113" w:rsidP="00A8058B">
      <w:pPr>
        <w:pStyle w:val="ListParagraph"/>
        <w:spacing w:after="0" w:line="240" w:lineRule="auto"/>
        <w:ind w:left="0"/>
        <w:jc w:val="both"/>
        <w:rPr>
          <w:rFonts w:ascii="Arial" w:hAnsi="Arial" w:cs="Arial"/>
        </w:rPr>
      </w:pPr>
      <w:r>
        <w:rPr>
          <w:rFonts w:ascii="Arial" w:hAnsi="Arial" w:cs="Arial"/>
          <w:u w:val="single"/>
        </w:rPr>
        <w:t>A</w:t>
      </w:r>
      <w:r w:rsidRPr="00640C23">
        <w:rPr>
          <w:rFonts w:ascii="Arial" w:hAnsi="Arial" w:cs="Arial"/>
          <w:u w:val="single"/>
        </w:rPr>
        <w:t>ctivities</w:t>
      </w:r>
      <w:r>
        <w:rPr>
          <w:rFonts w:ascii="Arial" w:hAnsi="Arial" w:cs="Arial"/>
          <w:u w:val="single"/>
        </w:rPr>
        <w:t xml:space="preserve"> to address key gaps include</w:t>
      </w:r>
      <w:r w:rsidRPr="00640C23">
        <w:rPr>
          <w:rFonts w:ascii="Arial" w:hAnsi="Arial" w:cs="Arial"/>
          <w:u w:val="single"/>
        </w:rPr>
        <w:t>:</w:t>
      </w:r>
    </w:p>
    <w:p w14:paraId="2A85A9C9" w14:textId="1A09851F" w:rsidR="00985C02" w:rsidRDefault="00B7099E" w:rsidP="00A8058B">
      <w:pPr>
        <w:spacing w:after="0" w:line="240" w:lineRule="auto"/>
        <w:jc w:val="both"/>
        <w:rPr>
          <w:rFonts w:ascii="Arial" w:hAnsi="Arial" w:cs="Arial"/>
          <w:bCs/>
          <w:lang w:val="en-US"/>
        </w:rPr>
      </w:pPr>
      <w:r>
        <w:rPr>
          <w:rFonts w:ascii="Arial" w:hAnsi="Arial" w:cs="Arial"/>
          <w:b/>
          <w:bCs/>
          <w:lang w:val="en-US"/>
        </w:rPr>
        <w:t>1</w:t>
      </w:r>
      <w:r w:rsidR="00A13A73" w:rsidRPr="00E709A7">
        <w:rPr>
          <w:rFonts w:ascii="Arial" w:hAnsi="Arial" w:cs="Arial"/>
          <w:bCs/>
          <w:lang w:val="en-US"/>
        </w:rPr>
        <w:t xml:space="preserve">) </w:t>
      </w:r>
      <w:r w:rsidR="00A13A73" w:rsidRPr="00185CD3">
        <w:rPr>
          <w:rFonts w:ascii="Arial" w:hAnsi="Arial" w:cs="Arial"/>
          <w:bCs/>
          <w:u w:val="single"/>
          <w:lang w:val="en-US"/>
        </w:rPr>
        <w:t xml:space="preserve">Support operationalization of </w:t>
      </w:r>
      <w:r w:rsidRPr="00185CD3">
        <w:rPr>
          <w:rFonts w:ascii="Arial" w:hAnsi="Arial" w:cs="Arial"/>
          <w:bCs/>
          <w:u w:val="single"/>
          <w:lang w:val="en-US"/>
        </w:rPr>
        <w:t>public-private-mix (</w:t>
      </w:r>
      <w:r w:rsidR="00A13A73" w:rsidRPr="00185CD3">
        <w:rPr>
          <w:rFonts w:ascii="Arial" w:hAnsi="Arial" w:cs="Arial"/>
          <w:bCs/>
          <w:u w:val="single"/>
          <w:lang w:val="en-US"/>
        </w:rPr>
        <w:t>PPM</w:t>
      </w:r>
      <w:r w:rsidRPr="00185CD3">
        <w:rPr>
          <w:rFonts w:ascii="Arial" w:hAnsi="Arial" w:cs="Arial"/>
          <w:bCs/>
          <w:u w:val="single"/>
          <w:lang w:val="en-US"/>
        </w:rPr>
        <w:t>)</w:t>
      </w:r>
      <w:r w:rsidR="00A13A73" w:rsidRPr="00185CD3">
        <w:rPr>
          <w:rFonts w:ascii="Arial" w:hAnsi="Arial" w:cs="Arial"/>
          <w:bCs/>
          <w:u w:val="single"/>
          <w:lang w:val="en-US"/>
        </w:rPr>
        <w:t xml:space="preserve"> task force</w:t>
      </w:r>
      <w:r w:rsidR="00A13A73">
        <w:rPr>
          <w:rFonts w:ascii="Arial" w:hAnsi="Arial" w:cs="Arial"/>
          <w:bCs/>
          <w:lang w:val="en-US"/>
        </w:rPr>
        <w:t xml:space="preserve"> at national and sub-national levels</w:t>
      </w:r>
      <w:r w:rsidR="00EC3CBE">
        <w:rPr>
          <w:rFonts w:ascii="Arial" w:hAnsi="Arial" w:cs="Arial"/>
          <w:bCs/>
          <w:lang w:val="en-US"/>
        </w:rPr>
        <w:t xml:space="preserve">: </w:t>
      </w:r>
      <w:r w:rsidR="00270B29" w:rsidRPr="00B7099E">
        <w:rPr>
          <w:rFonts w:ascii="Arial" w:hAnsi="Arial" w:cs="Arial"/>
          <w:b/>
          <w:bCs/>
          <w:lang w:val="en-US"/>
        </w:rPr>
        <w:t>(</w:t>
      </w:r>
      <w:proofErr w:type="spellStart"/>
      <w:r w:rsidR="00270B29" w:rsidRPr="00B7099E">
        <w:rPr>
          <w:rFonts w:ascii="Arial" w:hAnsi="Arial" w:cs="Arial"/>
          <w:b/>
          <w:bCs/>
          <w:lang w:val="en-US"/>
        </w:rPr>
        <w:t>i</w:t>
      </w:r>
      <w:proofErr w:type="spellEnd"/>
      <w:r w:rsidR="00EC3CBE" w:rsidRPr="00B7099E">
        <w:rPr>
          <w:rFonts w:ascii="Arial" w:hAnsi="Arial" w:cs="Arial"/>
          <w:b/>
          <w:bCs/>
          <w:lang w:val="en-US"/>
        </w:rPr>
        <w:t>)</w:t>
      </w:r>
      <w:r w:rsidR="00EC3CBE">
        <w:rPr>
          <w:rFonts w:ascii="Arial" w:hAnsi="Arial" w:cs="Arial"/>
          <w:bCs/>
          <w:lang w:val="en-US"/>
        </w:rPr>
        <w:t xml:space="preserve"> establish national level PPM task force under </w:t>
      </w:r>
      <w:proofErr w:type="spellStart"/>
      <w:r w:rsidR="00EC3CBE">
        <w:rPr>
          <w:rFonts w:ascii="Arial" w:hAnsi="Arial" w:cs="Arial"/>
          <w:bCs/>
          <w:lang w:val="en-US"/>
        </w:rPr>
        <w:t>MoH</w:t>
      </w:r>
      <w:proofErr w:type="spellEnd"/>
      <w:r w:rsidR="00EC3CBE">
        <w:rPr>
          <w:rFonts w:ascii="Arial" w:hAnsi="Arial" w:cs="Arial"/>
          <w:bCs/>
          <w:lang w:val="en-US"/>
        </w:rPr>
        <w:t xml:space="preserve">; </w:t>
      </w:r>
      <w:r w:rsidR="00716577" w:rsidRPr="00B7099E">
        <w:rPr>
          <w:rFonts w:ascii="Arial" w:hAnsi="Arial" w:cs="Arial"/>
          <w:b/>
          <w:bCs/>
          <w:lang w:val="en-US"/>
        </w:rPr>
        <w:t>(ii)</w:t>
      </w:r>
      <w:r w:rsidR="00716577">
        <w:rPr>
          <w:rFonts w:ascii="Arial" w:hAnsi="Arial" w:cs="Arial"/>
          <w:bCs/>
          <w:lang w:val="en-US"/>
        </w:rPr>
        <w:t xml:space="preserve"> conduct regular meeting/WS to establish PPM unit at provincial level; </w:t>
      </w:r>
      <w:r w:rsidR="00716577" w:rsidRPr="00B7099E">
        <w:rPr>
          <w:rFonts w:ascii="Arial" w:hAnsi="Arial" w:cs="Arial"/>
          <w:b/>
          <w:bCs/>
          <w:lang w:val="en-US"/>
        </w:rPr>
        <w:t>(iii)</w:t>
      </w:r>
      <w:r w:rsidR="00716577">
        <w:rPr>
          <w:rFonts w:ascii="Arial" w:hAnsi="Arial" w:cs="Arial"/>
          <w:bCs/>
          <w:lang w:val="en-US"/>
        </w:rPr>
        <w:t xml:space="preserve"> develop, update and revise PPM strategy document, guidelines and model; </w:t>
      </w:r>
      <w:r w:rsidR="00716577" w:rsidRPr="00B7099E">
        <w:rPr>
          <w:rFonts w:ascii="Arial" w:hAnsi="Arial" w:cs="Arial"/>
          <w:b/>
          <w:bCs/>
          <w:lang w:val="en-US"/>
        </w:rPr>
        <w:t>(iv)</w:t>
      </w:r>
      <w:r w:rsidR="00716577">
        <w:rPr>
          <w:rFonts w:ascii="Arial" w:hAnsi="Arial" w:cs="Arial"/>
          <w:bCs/>
          <w:lang w:val="en-US"/>
        </w:rPr>
        <w:t xml:space="preserve"> develop concise manual for private providers and update; </w:t>
      </w:r>
      <w:r w:rsidR="00972812" w:rsidRPr="00B7099E">
        <w:rPr>
          <w:rFonts w:ascii="Arial" w:hAnsi="Arial" w:cs="Arial"/>
          <w:b/>
          <w:bCs/>
          <w:lang w:val="en-US"/>
        </w:rPr>
        <w:t>(v</w:t>
      </w:r>
      <w:r w:rsidR="00B43D1D" w:rsidRPr="00B7099E">
        <w:rPr>
          <w:rFonts w:ascii="Arial" w:hAnsi="Arial" w:cs="Arial"/>
          <w:b/>
          <w:bCs/>
          <w:lang w:val="en-US"/>
        </w:rPr>
        <w:t>)</w:t>
      </w:r>
      <w:r w:rsidR="00B43D1D">
        <w:rPr>
          <w:rFonts w:ascii="Arial" w:hAnsi="Arial" w:cs="Arial"/>
          <w:bCs/>
          <w:lang w:val="en-US"/>
        </w:rPr>
        <w:t xml:space="preserve"> </w:t>
      </w:r>
      <w:r w:rsidR="00985C02">
        <w:rPr>
          <w:rFonts w:ascii="Arial" w:hAnsi="Arial" w:cs="Arial"/>
          <w:bCs/>
          <w:lang w:val="en-US"/>
        </w:rPr>
        <w:t>d</w:t>
      </w:r>
      <w:r w:rsidR="00985C02" w:rsidRPr="00E709A7">
        <w:rPr>
          <w:rFonts w:ascii="Arial" w:hAnsi="Arial" w:cs="Arial"/>
          <w:bCs/>
          <w:lang w:val="en-US"/>
        </w:rPr>
        <w:t>evelop and implement result</w:t>
      </w:r>
      <w:r w:rsidR="00985C02">
        <w:rPr>
          <w:rFonts w:ascii="Arial" w:hAnsi="Arial" w:cs="Arial"/>
          <w:bCs/>
          <w:lang w:val="en-US"/>
        </w:rPr>
        <w:t>-</w:t>
      </w:r>
      <w:r w:rsidR="00985C02" w:rsidRPr="00E709A7">
        <w:rPr>
          <w:rFonts w:ascii="Arial" w:hAnsi="Arial" w:cs="Arial"/>
          <w:bCs/>
          <w:lang w:val="en-US"/>
        </w:rPr>
        <w:t xml:space="preserve">based </w:t>
      </w:r>
      <w:r w:rsidR="00985C02">
        <w:rPr>
          <w:rFonts w:ascii="Arial" w:hAnsi="Arial" w:cs="Arial"/>
          <w:bCs/>
          <w:lang w:val="en-US"/>
        </w:rPr>
        <w:t>financing</w:t>
      </w:r>
      <w:r w:rsidR="00985C02" w:rsidRPr="00E709A7">
        <w:rPr>
          <w:rFonts w:ascii="Arial" w:hAnsi="Arial" w:cs="Arial"/>
          <w:bCs/>
          <w:lang w:val="en-US"/>
        </w:rPr>
        <w:t xml:space="preserve"> mechanism for engaged private providers</w:t>
      </w:r>
      <w:r w:rsidR="00985C02" w:rsidRPr="00D65452">
        <w:rPr>
          <w:rFonts w:ascii="Arial" w:hAnsi="Arial" w:cs="Arial"/>
          <w:b/>
          <w:bCs/>
          <w:lang w:val="en-US"/>
        </w:rPr>
        <w:t xml:space="preserve"> </w:t>
      </w:r>
      <w:r w:rsidR="00270B29" w:rsidRPr="00270B29">
        <w:rPr>
          <w:rFonts w:ascii="Arial" w:hAnsi="Arial" w:cs="Arial"/>
          <w:bCs/>
          <w:lang w:val="en-US"/>
        </w:rPr>
        <w:t>in 15 metropolitan and sub-metropolitan cities</w:t>
      </w:r>
      <w:r w:rsidR="00270B29">
        <w:rPr>
          <w:rFonts w:ascii="Arial" w:hAnsi="Arial" w:cs="Arial"/>
          <w:bCs/>
          <w:lang w:val="en-US"/>
        </w:rPr>
        <w:t xml:space="preserve">, expecting </w:t>
      </w:r>
      <w:r w:rsidR="00270B29" w:rsidRPr="008F0F95">
        <w:rPr>
          <w:rFonts w:ascii="Arial" w:hAnsi="Arial" w:cs="Arial"/>
          <w:bCs/>
          <w:lang w:val="en-US"/>
        </w:rPr>
        <w:t>7,200</w:t>
      </w:r>
      <w:r>
        <w:rPr>
          <w:rFonts w:ascii="Arial" w:hAnsi="Arial" w:cs="Arial"/>
          <w:bCs/>
          <w:lang w:val="en-US"/>
        </w:rPr>
        <w:t xml:space="preserve"> TB case notifications annually; </w:t>
      </w:r>
      <w:r w:rsidRPr="00B7099E">
        <w:rPr>
          <w:rFonts w:ascii="Arial" w:hAnsi="Arial" w:cs="Arial"/>
          <w:b/>
          <w:bCs/>
          <w:lang w:val="en-US"/>
        </w:rPr>
        <w:t>(vi)</w:t>
      </w:r>
      <w:r>
        <w:rPr>
          <w:rFonts w:ascii="Arial" w:hAnsi="Arial" w:cs="Arial"/>
          <w:bCs/>
          <w:lang w:val="en-US"/>
        </w:rPr>
        <w:t xml:space="preserve"> </w:t>
      </w:r>
      <w:r>
        <w:rPr>
          <w:rFonts w:ascii="Arial" w:hAnsi="Arial" w:cs="Arial"/>
        </w:rPr>
        <w:t>t</w:t>
      </w:r>
      <w:r w:rsidRPr="00972812">
        <w:rPr>
          <w:rFonts w:ascii="Arial" w:hAnsi="Arial" w:cs="Arial"/>
        </w:rPr>
        <w:t xml:space="preserve">he </w:t>
      </w:r>
      <w:proofErr w:type="spellStart"/>
      <w:r w:rsidRPr="00972812">
        <w:rPr>
          <w:rFonts w:ascii="Arial" w:hAnsi="Arial" w:cs="Arial"/>
        </w:rPr>
        <w:t>eTB</w:t>
      </w:r>
      <w:proofErr w:type="spellEnd"/>
      <w:r w:rsidRPr="00972812">
        <w:rPr>
          <w:rFonts w:ascii="Arial" w:hAnsi="Arial" w:cs="Arial"/>
        </w:rPr>
        <w:t xml:space="preserve"> register would be customized as a user-friendly tool for private providers </w:t>
      </w:r>
      <w:r w:rsidRPr="00972812">
        <w:rPr>
          <w:rFonts w:ascii="Arial" w:hAnsi="Arial" w:cs="Arial"/>
          <w:bCs/>
          <w:lang w:val="en-US"/>
        </w:rPr>
        <w:t>(</w:t>
      </w:r>
      <w:r w:rsidRPr="00972812">
        <w:rPr>
          <w:rFonts w:ascii="Arial" w:hAnsi="Arial" w:cs="Arial"/>
          <w:bCs/>
          <w:i/>
          <w:lang w:val="en-US"/>
        </w:rPr>
        <w:t>Annex-22, p6-11</w:t>
      </w:r>
      <w:r w:rsidRPr="00972812">
        <w:rPr>
          <w:rFonts w:ascii="Arial" w:hAnsi="Arial" w:cs="Arial"/>
          <w:bCs/>
          <w:lang w:val="en-US"/>
        </w:rPr>
        <w:t>).</w:t>
      </w:r>
    </w:p>
    <w:p w14:paraId="77A2FCAF" w14:textId="77777777" w:rsidR="00121C61" w:rsidRPr="00270B29" w:rsidRDefault="00121C61" w:rsidP="00A8058B">
      <w:pPr>
        <w:spacing w:after="0" w:line="240" w:lineRule="auto"/>
        <w:jc w:val="both"/>
        <w:rPr>
          <w:rFonts w:ascii="Arial" w:hAnsi="Arial" w:cs="Arial"/>
          <w:bCs/>
          <w:lang w:val="en-US"/>
        </w:rPr>
      </w:pPr>
    </w:p>
    <w:p w14:paraId="1465A68B" w14:textId="77777777" w:rsidR="00D33A3B" w:rsidRDefault="00B7099E" w:rsidP="00A8058B">
      <w:pPr>
        <w:spacing w:after="0" w:line="240" w:lineRule="auto"/>
        <w:jc w:val="both"/>
        <w:rPr>
          <w:rFonts w:ascii="Arial" w:hAnsi="Arial" w:cs="Arial"/>
        </w:rPr>
      </w:pPr>
      <w:r>
        <w:rPr>
          <w:rFonts w:ascii="Arial" w:hAnsi="Arial" w:cs="Arial"/>
          <w:b/>
          <w:bCs/>
          <w:lang w:val="en-US"/>
        </w:rPr>
        <w:t>2</w:t>
      </w:r>
      <w:r w:rsidR="000C09EB">
        <w:rPr>
          <w:rFonts w:ascii="Arial" w:hAnsi="Arial" w:cs="Arial"/>
          <w:bCs/>
          <w:lang w:val="en-US"/>
        </w:rPr>
        <w:t xml:space="preserve">) </w:t>
      </w:r>
      <w:r w:rsidR="000C09EB" w:rsidRPr="00185CD3">
        <w:rPr>
          <w:rFonts w:ascii="Arial" w:hAnsi="Arial" w:cs="Arial"/>
          <w:bCs/>
          <w:u w:val="single"/>
          <w:lang w:val="en-US"/>
        </w:rPr>
        <w:t xml:space="preserve">Establish partnership with </w:t>
      </w:r>
      <w:r w:rsidR="00985C02" w:rsidRPr="00185CD3">
        <w:rPr>
          <w:rFonts w:ascii="Arial" w:hAnsi="Arial" w:cs="Arial"/>
          <w:bCs/>
          <w:u w:val="single"/>
          <w:lang w:val="en-US"/>
        </w:rPr>
        <w:t xml:space="preserve">22 </w:t>
      </w:r>
      <w:r w:rsidR="000C09EB" w:rsidRPr="00185CD3">
        <w:rPr>
          <w:rFonts w:ascii="Arial" w:hAnsi="Arial" w:cs="Arial"/>
          <w:bCs/>
          <w:u w:val="single"/>
          <w:lang w:val="en-US"/>
        </w:rPr>
        <w:t>selected medical colleges</w:t>
      </w:r>
      <w:r w:rsidR="00972812">
        <w:rPr>
          <w:rFonts w:ascii="Arial" w:hAnsi="Arial" w:cs="Arial"/>
          <w:bCs/>
          <w:lang w:val="en-US"/>
        </w:rPr>
        <w:t xml:space="preserve"> </w:t>
      </w:r>
      <w:r w:rsidR="00972812" w:rsidRPr="00D57C02">
        <w:rPr>
          <w:rFonts w:ascii="Arial" w:hAnsi="Arial" w:cs="Arial"/>
        </w:rPr>
        <w:t>(</w:t>
      </w:r>
      <w:r w:rsidR="00972812">
        <w:rPr>
          <w:rFonts w:ascii="Arial" w:hAnsi="Arial" w:cs="Arial"/>
        </w:rPr>
        <w:t>Annex-13, p25-27)</w:t>
      </w:r>
    </w:p>
    <w:p w14:paraId="5E8BDD6F" w14:textId="77777777" w:rsidR="00D33A3B" w:rsidRDefault="00D33A3B" w:rsidP="00D33A3B">
      <w:pPr>
        <w:pStyle w:val="ListParagraph"/>
        <w:spacing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69A26C36" w14:textId="4119265F" w:rsidR="00972812" w:rsidRDefault="00D33A3B" w:rsidP="00D33A3B">
      <w:pPr>
        <w:pStyle w:val="ListParagraph"/>
        <w:spacing w:line="240" w:lineRule="auto"/>
        <w:ind w:left="0"/>
        <w:jc w:val="both"/>
        <w:rPr>
          <w:rFonts w:ascii="Arial" w:hAnsi="Arial" w:cs="Arial"/>
        </w:rPr>
      </w:pPr>
      <w:r w:rsidRPr="00D33A3B">
        <w:rPr>
          <w:rFonts w:ascii="Arial" w:hAnsi="Arial" w:cs="Arial"/>
          <w:b/>
        </w:rPr>
        <w:t>(</w:t>
      </w:r>
      <w:proofErr w:type="spellStart"/>
      <w:r w:rsidRPr="00D33A3B">
        <w:rPr>
          <w:rFonts w:ascii="Arial" w:hAnsi="Arial" w:cs="Arial"/>
          <w:b/>
        </w:rPr>
        <w:t>i</w:t>
      </w:r>
      <w:proofErr w:type="spellEnd"/>
      <w:r w:rsidRPr="00D33A3B">
        <w:rPr>
          <w:rFonts w:ascii="Arial" w:hAnsi="Arial" w:cs="Arial"/>
          <w:b/>
        </w:rPr>
        <w:t>)</w:t>
      </w:r>
      <w:r w:rsidR="000902E9">
        <w:rPr>
          <w:rFonts w:ascii="Arial" w:hAnsi="Arial" w:cs="Arial"/>
          <w:b/>
        </w:rPr>
        <w:t xml:space="preserve"> </w:t>
      </w:r>
      <w:r w:rsidR="000902E9" w:rsidRPr="00690D7B">
        <w:rPr>
          <w:rFonts w:ascii="Arial" w:hAnsi="Arial" w:cs="Arial"/>
          <w:bCs/>
        </w:rPr>
        <w:t>Development of the medical college task force at National level and core-committee at medical college level</w:t>
      </w:r>
      <w:r w:rsidR="000902E9">
        <w:rPr>
          <w:rFonts w:ascii="Arial" w:hAnsi="Arial" w:cs="Arial"/>
          <w:bCs/>
        </w:rPr>
        <w:t xml:space="preserve"> and regular review of program activities</w:t>
      </w:r>
      <w:r w:rsidR="00EE3146">
        <w:rPr>
          <w:rFonts w:ascii="Arial" w:hAnsi="Arial" w:cs="Arial"/>
          <w:bCs/>
        </w:rPr>
        <w:t>;</w:t>
      </w:r>
      <w:r w:rsidR="000902E9">
        <w:rPr>
          <w:rFonts w:ascii="Arial" w:hAnsi="Arial" w:cs="Arial"/>
        </w:rPr>
        <w:t xml:space="preserve"> </w:t>
      </w:r>
      <w:r w:rsidR="000902E9" w:rsidRPr="00EE3146">
        <w:rPr>
          <w:rFonts w:ascii="Arial" w:hAnsi="Arial" w:cs="Arial"/>
          <w:b/>
        </w:rPr>
        <w:t>(ii)</w:t>
      </w:r>
      <w:r w:rsidR="000902E9">
        <w:rPr>
          <w:rFonts w:ascii="Arial" w:hAnsi="Arial" w:cs="Arial"/>
        </w:rPr>
        <w:t xml:space="preserve"> </w:t>
      </w:r>
      <w:r w:rsidR="00EE3146">
        <w:rPr>
          <w:rFonts w:ascii="Arial" w:hAnsi="Arial" w:cs="Arial"/>
        </w:rPr>
        <w:t>c</w:t>
      </w:r>
      <w:r w:rsidR="000902E9">
        <w:rPr>
          <w:rFonts w:ascii="Arial" w:hAnsi="Arial" w:cs="Arial"/>
        </w:rPr>
        <w:t>apacity building with TOT available across country through medical college</w:t>
      </w:r>
      <w:r w:rsidR="00EE3146">
        <w:rPr>
          <w:rFonts w:ascii="Arial" w:hAnsi="Arial" w:cs="Arial"/>
        </w:rPr>
        <w:t>;</w:t>
      </w:r>
      <w:r w:rsidR="000902E9">
        <w:rPr>
          <w:rFonts w:ascii="Arial" w:hAnsi="Arial" w:cs="Arial"/>
        </w:rPr>
        <w:t xml:space="preserve"> </w:t>
      </w:r>
      <w:r w:rsidR="000902E9" w:rsidRPr="00EE3146">
        <w:rPr>
          <w:rFonts w:ascii="Arial" w:hAnsi="Arial" w:cs="Arial"/>
          <w:b/>
        </w:rPr>
        <w:t>(iii)</w:t>
      </w:r>
      <w:r w:rsidR="002C399D">
        <w:rPr>
          <w:rFonts w:ascii="Arial" w:hAnsi="Arial" w:cs="Arial"/>
        </w:rPr>
        <w:t xml:space="preserve"> </w:t>
      </w:r>
      <w:r w:rsidR="00EE3146">
        <w:rPr>
          <w:rFonts w:ascii="Arial" w:hAnsi="Arial" w:cs="Arial"/>
        </w:rPr>
        <w:t>s</w:t>
      </w:r>
      <w:r w:rsidR="002B6025">
        <w:rPr>
          <w:rFonts w:ascii="Arial" w:hAnsi="Arial" w:cs="Arial"/>
        </w:rPr>
        <w:t>ensitiz</w:t>
      </w:r>
      <w:r>
        <w:rPr>
          <w:rFonts w:ascii="Arial" w:hAnsi="Arial" w:cs="Arial"/>
        </w:rPr>
        <w:t xml:space="preserve">ation meetings with </w:t>
      </w:r>
      <w:r w:rsidR="00B85420">
        <w:rPr>
          <w:rFonts w:ascii="Arial" w:hAnsi="Arial" w:cs="Arial"/>
        </w:rPr>
        <w:t>4</w:t>
      </w:r>
      <w:r w:rsidR="00A673A9">
        <w:rPr>
          <w:rFonts w:ascii="Arial" w:hAnsi="Arial" w:cs="Arial"/>
        </w:rPr>
        <w:t>,</w:t>
      </w:r>
      <w:r w:rsidR="00B85420">
        <w:rPr>
          <w:rFonts w:ascii="Arial" w:hAnsi="Arial" w:cs="Arial"/>
        </w:rPr>
        <w:t>000 faculty members</w:t>
      </w:r>
      <w:r w:rsidR="002C399D">
        <w:rPr>
          <w:rFonts w:ascii="Arial" w:hAnsi="Arial" w:cs="Arial"/>
        </w:rPr>
        <w:t xml:space="preserve"> </w:t>
      </w:r>
      <w:r w:rsidR="002B6025">
        <w:rPr>
          <w:rFonts w:ascii="Arial" w:hAnsi="Arial" w:cs="Arial"/>
        </w:rPr>
        <w:t xml:space="preserve">and students on International Standards of TB Care (ISTC) and PPM </w:t>
      </w:r>
      <w:r w:rsidR="00B30406">
        <w:rPr>
          <w:rFonts w:ascii="Arial" w:hAnsi="Arial" w:cs="Arial"/>
        </w:rPr>
        <w:t xml:space="preserve">strategies; </w:t>
      </w:r>
      <w:r w:rsidRPr="00D33A3B">
        <w:rPr>
          <w:rFonts w:ascii="Arial" w:hAnsi="Arial" w:cs="Arial"/>
          <w:b/>
        </w:rPr>
        <w:t>(i</w:t>
      </w:r>
      <w:r w:rsidR="00EE3146">
        <w:rPr>
          <w:rFonts w:ascii="Arial" w:hAnsi="Arial" w:cs="Arial"/>
          <w:b/>
        </w:rPr>
        <w:t>v</w:t>
      </w:r>
      <w:r w:rsidRPr="00D33A3B">
        <w:rPr>
          <w:rFonts w:ascii="Arial" w:hAnsi="Arial" w:cs="Arial"/>
          <w:b/>
        </w:rPr>
        <w:t>)</w:t>
      </w:r>
      <w:r>
        <w:rPr>
          <w:rFonts w:ascii="Arial" w:hAnsi="Arial" w:cs="Arial"/>
        </w:rPr>
        <w:t xml:space="preserve"> </w:t>
      </w:r>
      <w:r w:rsidR="00B30406">
        <w:rPr>
          <w:rFonts w:ascii="Arial" w:hAnsi="Arial" w:cs="Arial"/>
        </w:rPr>
        <w:t xml:space="preserve">develop master trainers on ISTC and PPM to expand to other institutions; </w:t>
      </w:r>
      <w:r w:rsidRPr="00D33A3B">
        <w:rPr>
          <w:rFonts w:ascii="Arial" w:hAnsi="Arial" w:cs="Arial"/>
          <w:b/>
        </w:rPr>
        <w:t>(</w:t>
      </w:r>
      <w:r w:rsidR="00EE3146">
        <w:rPr>
          <w:rFonts w:ascii="Arial" w:hAnsi="Arial" w:cs="Arial"/>
          <w:b/>
        </w:rPr>
        <w:t>v</w:t>
      </w:r>
      <w:r w:rsidRPr="00D33A3B">
        <w:rPr>
          <w:rFonts w:ascii="Arial" w:hAnsi="Arial" w:cs="Arial"/>
          <w:b/>
        </w:rPr>
        <w:t>)</w:t>
      </w:r>
      <w:r>
        <w:rPr>
          <w:rFonts w:ascii="Arial" w:hAnsi="Arial" w:cs="Arial"/>
        </w:rPr>
        <w:t xml:space="preserve"> </w:t>
      </w:r>
      <w:r w:rsidR="00B30406">
        <w:rPr>
          <w:rFonts w:ascii="Arial" w:hAnsi="Arial" w:cs="Arial"/>
        </w:rPr>
        <w:t>maintain regular interaction through meetings</w:t>
      </w:r>
      <w:r>
        <w:rPr>
          <w:rFonts w:ascii="Arial" w:hAnsi="Arial" w:cs="Arial"/>
        </w:rPr>
        <w:t xml:space="preserve"> to update progress</w:t>
      </w:r>
      <w:r w:rsidR="00BE0A28">
        <w:rPr>
          <w:rFonts w:ascii="Arial" w:hAnsi="Arial" w:cs="Arial"/>
        </w:rPr>
        <w:t xml:space="preserve">, </w:t>
      </w:r>
      <w:r w:rsidR="00EE3146">
        <w:rPr>
          <w:rFonts w:ascii="Arial" w:hAnsi="Arial" w:cs="Arial"/>
        </w:rPr>
        <w:t xml:space="preserve">and </w:t>
      </w:r>
      <w:r w:rsidR="00EE3146">
        <w:rPr>
          <w:rFonts w:ascii="Arial" w:hAnsi="Arial" w:cs="Arial"/>
          <w:b/>
        </w:rPr>
        <w:t>(</w:t>
      </w:r>
      <w:r w:rsidR="002C399D" w:rsidRPr="00EE3146">
        <w:rPr>
          <w:rFonts w:ascii="Arial" w:hAnsi="Arial" w:cs="Arial"/>
          <w:b/>
        </w:rPr>
        <w:t>v</w:t>
      </w:r>
      <w:r w:rsidR="00EE3146">
        <w:rPr>
          <w:rFonts w:ascii="Arial" w:hAnsi="Arial" w:cs="Arial"/>
          <w:b/>
        </w:rPr>
        <w:t>i</w:t>
      </w:r>
      <w:r w:rsidR="002C399D" w:rsidRPr="00EE3146">
        <w:rPr>
          <w:rFonts w:ascii="Arial" w:hAnsi="Arial" w:cs="Arial"/>
          <w:b/>
        </w:rPr>
        <w:t>)</w:t>
      </w:r>
      <w:r w:rsidR="002C399D">
        <w:rPr>
          <w:rFonts w:ascii="Arial" w:hAnsi="Arial" w:cs="Arial"/>
        </w:rPr>
        <w:t xml:space="preserve"> </w:t>
      </w:r>
      <w:r w:rsidR="00EE3146">
        <w:rPr>
          <w:rFonts w:ascii="Arial" w:hAnsi="Arial" w:cs="Arial"/>
        </w:rPr>
        <w:t>p</w:t>
      </w:r>
      <w:r w:rsidR="002C399D">
        <w:rPr>
          <w:rFonts w:ascii="Arial" w:hAnsi="Arial" w:cs="Arial"/>
        </w:rPr>
        <w:t>rovide support for the college level operation research</w:t>
      </w:r>
      <w:r w:rsidR="00EE3146">
        <w:rPr>
          <w:rFonts w:ascii="Arial" w:hAnsi="Arial" w:cs="Arial"/>
        </w:rPr>
        <w:t>.</w:t>
      </w:r>
    </w:p>
    <w:p w14:paraId="52E0BC98" w14:textId="77777777" w:rsidR="00121C61" w:rsidRPr="00985C02" w:rsidRDefault="00121C61" w:rsidP="00D33A3B">
      <w:pPr>
        <w:pStyle w:val="ListParagraph"/>
        <w:spacing w:line="240" w:lineRule="auto"/>
        <w:ind w:left="0"/>
        <w:jc w:val="both"/>
        <w:rPr>
          <w:rFonts w:ascii="Arial" w:hAnsi="Arial" w:cs="Arial"/>
          <w:b/>
          <w:bCs/>
          <w:lang w:val="en-US"/>
        </w:rPr>
      </w:pPr>
    </w:p>
    <w:p w14:paraId="5BEFDCA1" w14:textId="237AAA5A" w:rsidR="009B258A" w:rsidRDefault="00B7099E" w:rsidP="00972812">
      <w:pPr>
        <w:pStyle w:val="ListParagraph"/>
        <w:spacing w:line="240" w:lineRule="auto"/>
        <w:ind w:left="0"/>
        <w:jc w:val="both"/>
        <w:rPr>
          <w:rFonts w:ascii="Arial" w:hAnsi="Arial" w:cs="Arial"/>
        </w:rPr>
      </w:pPr>
      <w:r>
        <w:rPr>
          <w:rFonts w:ascii="Arial" w:hAnsi="Arial" w:cs="Arial"/>
          <w:b/>
        </w:rPr>
        <w:t>3</w:t>
      </w:r>
      <w:r w:rsidR="00972812" w:rsidRPr="00911E06">
        <w:rPr>
          <w:rFonts w:ascii="Arial" w:hAnsi="Arial" w:cs="Arial"/>
        </w:rPr>
        <w:t xml:space="preserve">) </w:t>
      </w:r>
      <w:r w:rsidR="00972812" w:rsidRPr="00185CD3">
        <w:rPr>
          <w:rFonts w:ascii="Arial" w:hAnsi="Arial" w:cs="Arial"/>
          <w:u w:val="single"/>
        </w:rPr>
        <w:t>Targeted interventions in Army hospitals</w:t>
      </w:r>
      <w:r w:rsidR="00972812" w:rsidRPr="00911E06">
        <w:rPr>
          <w:rFonts w:ascii="Arial" w:hAnsi="Arial" w:cs="Arial"/>
        </w:rPr>
        <w:t xml:space="preserve"> </w:t>
      </w:r>
      <w:r w:rsidR="00F650D1">
        <w:rPr>
          <w:rFonts w:ascii="Arial" w:hAnsi="Arial" w:cs="Arial"/>
        </w:rPr>
        <w:t>to shift from passive to active TB case finding</w:t>
      </w:r>
      <w:r w:rsidR="009B258A">
        <w:rPr>
          <w:rFonts w:ascii="Arial" w:hAnsi="Arial" w:cs="Arial"/>
        </w:rPr>
        <w:t xml:space="preserve"> as the estimated population under their care is about 9</w:t>
      </w:r>
      <w:proofErr w:type="gramStart"/>
      <w:r w:rsidR="009B258A">
        <w:rPr>
          <w:rFonts w:ascii="Arial" w:hAnsi="Arial" w:cs="Arial"/>
        </w:rPr>
        <w:t>,00,000</w:t>
      </w:r>
      <w:proofErr w:type="gramEnd"/>
      <w:r w:rsidR="006279AB">
        <w:rPr>
          <w:rFonts w:ascii="Arial" w:hAnsi="Arial" w:cs="Arial"/>
        </w:rPr>
        <w:t>,</w:t>
      </w:r>
      <w:r w:rsidR="009B258A">
        <w:rPr>
          <w:rFonts w:ascii="Arial" w:hAnsi="Arial" w:cs="Arial"/>
        </w:rPr>
        <w:t xml:space="preserve"> which includes </w:t>
      </w:r>
      <w:r w:rsidR="009B258A" w:rsidRPr="00911E06">
        <w:rPr>
          <w:rFonts w:ascii="Arial" w:hAnsi="Arial" w:cs="Arial"/>
        </w:rPr>
        <w:t xml:space="preserve">army personnel and </w:t>
      </w:r>
      <w:r w:rsidR="009B258A">
        <w:rPr>
          <w:rFonts w:ascii="Arial" w:hAnsi="Arial" w:cs="Arial"/>
        </w:rPr>
        <w:t xml:space="preserve">their </w:t>
      </w:r>
      <w:r w:rsidR="009B258A" w:rsidRPr="00911E06">
        <w:rPr>
          <w:rFonts w:ascii="Arial" w:hAnsi="Arial" w:cs="Arial"/>
        </w:rPr>
        <w:t>families including pensioners</w:t>
      </w:r>
      <w:r w:rsidR="009B258A">
        <w:rPr>
          <w:rFonts w:ascii="Arial" w:hAnsi="Arial" w:cs="Arial"/>
        </w:rPr>
        <w:t xml:space="preserve">; in addition, the army screens thousands of youth, </w:t>
      </w:r>
      <w:r w:rsidR="009B258A">
        <w:rPr>
          <w:rFonts w:ascii="Arial" w:hAnsi="Arial" w:cs="Arial"/>
        </w:rPr>
        <w:lastRenderedPageBreak/>
        <w:t>both male and female, for recruitment into the army</w:t>
      </w:r>
      <w:r w:rsidR="00BB7879">
        <w:rPr>
          <w:rFonts w:ascii="Arial" w:hAnsi="Arial" w:cs="Arial"/>
        </w:rPr>
        <w:t xml:space="preserve"> and would provide data on presumptive TB for further management</w:t>
      </w:r>
      <w:r w:rsidR="00B817C3">
        <w:rPr>
          <w:rFonts w:ascii="Arial" w:hAnsi="Arial" w:cs="Arial"/>
        </w:rPr>
        <w:t xml:space="preserve">. </w:t>
      </w:r>
      <w:r w:rsidR="00BB7879">
        <w:rPr>
          <w:rFonts w:ascii="Arial" w:hAnsi="Arial" w:cs="Arial"/>
        </w:rPr>
        <w:t>This is of particular i</w:t>
      </w:r>
      <w:r w:rsidR="00B817C3">
        <w:rPr>
          <w:rFonts w:ascii="Arial" w:hAnsi="Arial" w:cs="Arial"/>
        </w:rPr>
        <w:t>nterest</w:t>
      </w:r>
      <w:r w:rsidR="00BB7879">
        <w:rPr>
          <w:rFonts w:ascii="Arial" w:hAnsi="Arial" w:cs="Arial"/>
        </w:rPr>
        <w:t xml:space="preserve"> to the NTC</w:t>
      </w:r>
      <w:r w:rsidR="00B817C3">
        <w:rPr>
          <w:rFonts w:ascii="Arial" w:hAnsi="Arial" w:cs="Arial"/>
        </w:rPr>
        <w:t xml:space="preserve">, </w:t>
      </w:r>
      <w:r w:rsidR="00BB7879">
        <w:rPr>
          <w:rFonts w:ascii="Arial" w:hAnsi="Arial" w:cs="Arial"/>
        </w:rPr>
        <w:t xml:space="preserve">as </w:t>
      </w:r>
      <w:r w:rsidR="00B817C3">
        <w:rPr>
          <w:rFonts w:ascii="Arial" w:hAnsi="Arial" w:cs="Arial"/>
        </w:rPr>
        <w:t>37% of TB case notifications are among the 15-34 years age group</w:t>
      </w:r>
      <w:r w:rsidR="009B258A">
        <w:rPr>
          <w:rFonts w:ascii="Arial" w:hAnsi="Arial" w:cs="Arial"/>
        </w:rPr>
        <w:t xml:space="preserve">. Above all, the army hospital also provides health care to the civilian population in the cantonment area. </w:t>
      </w:r>
    </w:p>
    <w:p w14:paraId="1F18466A" w14:textId="4BBBF1A1" w:rsidR="00185CD3" w:rsidRDefault="00D268D3" w:rsidP="00972812">
      <w:pPr>
        <w:pStyle w:val="ListParagraph"/>
        <w:spacing w:line="240" w:lineRule="auto"/>
        <w:ind w:left="0"/>
        <w:jc w:val="both"/>
        <w:rPr>
          <w:rFonts w:ascii="Arial" w:hAnsi="Arial" w:cs="Arial"/>
          <w:u w:val="single"/>
        </w:rPr>
      </w:pPr>
      <w:r>
        <w:rPr>
          <w:rFonts w:ascii="Arial" w:hAnsi="Arial" w:cs="Arial"/>
          <w:u w:val="single"/>
        </w:rPr>
        <w:t>Major a</w:t>
      </w:r>
      <w:r w:rsidR="00185CD3">
        <w:rPr>
          <w:rFonts w:ascii="Arial" w:hAnsi="Arial" w:cs="Arial"/>
          <w:u w:val="single"/>
        </w:rPr>
        <w:t xml:space="preserve">ctivities </w:t>
      </w:r>
      <w:r>
        <w:rPr>
          <w:rFonts w:ascii="Arial" w:hAnsi="Arial" w:cs="Arial"/>
          <w:u w:val="single"/>
        </w:rPr>
        <w:t xml:space="preserve">at the army hospital </w:t>
      </w:r>
      <w:r w:rsidR="00185CD3">
        <w:rPr>
          <w:rFonts w:ascii="Arial" w:hAnsi="Arial" w:cs="Arial"/>
          <w:u w:val="single"/>
        </w:rPr>
        <w:t>t</w:t>
      </w:r>
      <w:r w:rsidR="00185CD3" w:rsidRPr="00185CD3">
        <w:rPr>
          <w:rFonts w:ascii="Arial" w:hAnsi="Arial" w:cs="Arial"/>
          <w:u w:val="single"/>
        </w:rPr>
        <w:t>o address the key gaps</w:t>
      </w:r>
      <w:r w:rsidR="00185CD3">
        <w:rPr>
          <w:rFonts w:ascii="Arial" w:hAnsi="Arial" w:cs="Arial"/>
          <w:u w:val="single"/>
        </w:rPr>
        <w:t xml:space="preserve"> include:</w:t>
      </w:r>
    </w:p>
    <w:p w14:paraId="6638F636" w14:textId="01C24D88" w:rsidR="00972812" w:rsidRDefault="00972812" w:rsidP="00972812">
      <w:pPr>
        <w:pStyle w:val="ListParagraph"/>
        <w:spacing w:line="240" w:lineRule="auto"/>
        <w:ind w:left="0"/>
        <w:jc w:val="both"/>
        <w:rPr>
          <w:rFonts w:ascii="Arial" w:hAnsi="Arial" w:cs="Arial"/>
        </w:rPr>
      </w:pPr>
      <w:r w:rsidRPr="009B258A">
        <w:rPr>
          <w:rFonts w:ascii="Arial" w:hAnsi="Arial" w:cs="Arial"/>
          <w:b/>
        </w:rPr>
        <w:t>(</w:t>
      </w:r>
      <w:proofErr w:type="spellStart"/>
      <w:r w:rsidRPr="009B258A">
        <w:rPr>
          <w:rFonts w:ascii="Arial" w:hAnsi="Arial" w:cs="Arial"/>
          <w:b/>
        </w:rPr>
        <w:t>i</w:t>
      </w:r>
      <w:proofErr w:type="spellEnd"/>
      <w:r w:rsidRPr="009B258A">
        <w:rPr>
          <w:rFonts w:ascii="Arial" w:hAnsi="Arial" w:cs="Arial"/>
          <w:b/>
        </w:rPr>
        <w:t>)</w:t>
      </w:r>
      <w:r w:rsidRPr="009B258A">
        <w:rPr>
          <w:rFonts w:ascii="Arial" w:hAnsi="Arial" w:cs="Arial"/>
        </w:rPr>
        <w:t xml:space="preserve"> </w:t>
      </w:r>
      <w:r w:rsidR="009B258A" w:rsidRPr="009B258A">
        <w:rPr>
          <w:rFonts w:ascii="Arial" w:hAnsi="Arial" w:cs="Arial"/>
        </w:rPr>
        <w:t>conduct o</w:t>
      </w:r>
      <w:r w:rsidRPr="009B258A">
        <w:rPr>
          <w:rFonts w:ascii="Arial" w:hAnsi="Arial" w:cs="Arial"/>
        </w:rPr>
        <w:t>rientation meeting on ACF</w:t>
      </w:r>
      <w:r w:rsidR="00B30406" w:rsidRPr="009B258A">
        <w:rPr>
          <w:rFonts w:ascii="Arial" w:hAnsi="Arial" w:cs="Arial"/>
        </w:rPr>
        <w:t xml:space="preserve"> for 25 staff and medical students</w:t>
      </w:r>
      <w:r w:rsidR="009B258A">
        <w:rPr>
          <w:rFonts w:ascii="Arial" w:hAnsi="Arial" w:cs="Arial"/>
        </w:rPr>
        <w:t>;</w:t>
      </w:r>
      <w:r w:rsidRPr="009B258A">
        <w:rPr>
          <w:rFonts w:ascii="Arial" w:hAnsi="Arial" w:cs="Arial"/>
        </w:rPr>
        <w:t xml:space="preserve"> </w:t>
      </w:r>
      <w:r w:rsidRPr="009B258A">
        <w:rPr>
          <w:rFonts w:ascii="Arial" w:hAnsi="Arial" w:cs="Arial"/>
          <w:b/>
        </w:rPr>
        <w:t>(ii)</w:t>
      </w:r>
      <w:r w:rsidRPr="009B258A">
        <w:rPr>
          <w:rFonts w:ascii="Arial" w:hAnsi="Arial" w:cs="Arial"/>
        </w:rPr>
        <w:t xml:space="preserve"> </w:t>
      </w:r>
      <w:r w:rsidR="009B258A">
        <w:rPr>
          <w:rFonts w:ascii="Arial" w:hAnsi="Arial" w:cs="Arial"/>
        </w:rPr>
        <w:t xml:space="preserve">the army would </w:t>
      </w:r>
      <w:r w:rsidR="006279AB">
        <w:rPr>
          <w:rFonts w:ascii="Arial" w:hAnsi="Arial" w:cs="Arial"/>
        </w:rPr>
        <w:t xml:space="preserve">screen recruits for TB and refer those diagnosed as TB to the nearest health facility for treatment and share the data with NTC for follow up; </w:t>
      </w:r>
      <w:r w:rsidR="006279AB" w:rsidRPr="006279AB">
        <w:rPr>
          <w:rFonts w:ascii="Arial" w:hAnsi="Arial" w:cs="Arial"/>
          <w:b/>
        </w:rPr>
        <w:t>(iii)</w:t>
      </w:r>
      <w:r w:rsidRPr="009B258A">
        <w:rPr>
          <w:rFonts w:ascii="Arial" w:hAnsi="Arial" w:cs="Arial"/>
        </w:rPr>
        <w:t xml:space="preserve"> </w:t>
      </w:r>
      <w:r w:rsidR="006279AB">
        <w:rPr>
          <w:rFonts w:ascii="Arial" w:hAnsi="Arial" w:cs="Arial"/>
        </w:rPr>
        <w:t>conduct active c</w:t>
      </w:r>
      <w:r w:rsidRPr="009B258A">
        <w:rPr>
          <w:rFonts w:ascii="Arial" w:hAnsi="Arial" w:cs="Arial"/>
        </w:rPr>
        <w:t>ontact tracing of index</w:t>
      </w:r>
      <w:r w:rsidRPr="00911E06">
        <w:rPr>
          <w:rFonts w:ascii="Arial" w:hAnsi="Arial" w:cs="Arial"/>
        </w:rPr>
        <w:t xml:space="preserve"> TB cases</w:t>
      </w:r>
      <w:r w:rsidR="006279AB">
        <w:rPr>
          <w:rFonts w:ascii="Arial" w:hAnsi="Arial" w:cs="Arial"/>
        </w:rPr>
        <w:t xml:space="preserve"> among soldiers and their families,</w:t>
      </w:r>
      <w:r w:rsidRPr="00911E06">
        <w:rPr>
          <w:rFonts w:ascii="Arial" w:hAnsi="Arial" w:cs="Arial"/>
        </w:rPr>
        <w:t xml:space="preserve"> through community-based ACS</w:t>
      </w:r>
      <w:r w:rsidR="006279AB">
        <w:rPr>
          <w:rFonts w:ascii="Arial" w:hAnsi="Arial" w:cs="Arial"/>
        </w:rPr>
        <w:t xml:space="preserve">M activities; </w:t>
      </w:r>
      <w:r w:rsidR="006279AB" w:rsidRPr="006279AB">
        <w:rPr>
          <w:rFonts w:ascii="Arial" w:hAnsi="Arial" w:cs="Arial"/>
          <w:b/>
        </w:rPr>
        <w:t>(iv)</w:t>
      </w:r>
      <w:r w:rsidR="006279AB">
        <w:rPr>
          <w:rFonts w:ascii="Arial" w:hAnsi="Arial" w:cs="Arial"/>
        </w:rPr>
        <w:t xml:space="preserve"> notify </w:t>
      </w:r>
      <w:r w:rsidRPr="00911E06">
        <w:rPr>
          <w:rFonts w:ascii="Arial" w:hAnsi="Arial" w:cs="Arial"/>
        </w:rPr>
        <w:t>all forms of diagnosed TB</w:t>
      </w:r>
      <w:r w:rsidR="006279AB">
        <w:rPr>
          <w:rFonts w:ascii="Arial" w:hAnsi="Arial" w:cs="Arial"/>
        </w:rPr>
        <w:t xml:space="preserve"> to the NTC on a regular basis.</w:t>
      </w:r>
    </w:p>
    <w:p w14:paraId="4702DB3D" w14:textId="1CEB7A3D" w:rsidR="006449A3" w:rsidRPr="000016CC" w:rsidRDefault="006449A3" w:rsidP="000016CC">
      <w:pPr>
        <w:spacing w:after="0" w:line="240" w:lineRule="auto"/>
        <w:jc w:val="both"/>
        <w:rPr>
          <w:rFonts w:ascii="Arial" w:hAnsi="Arial" w:cs="Arial"/>
          <w:b/>
        </w:rPr>
      </w:pPr>
      <w:r w:rsidRPr="000016CC">
        <w:rPr>
          <w:rFonts w:ascii="Arial" w:hAnsi="Arial" w:cs="Arial"/>
          <w:b/>
        </w:rPr>
        <w:t>Community TB care</w:t>
      </w:r>
    </w:p>
    <w:p w14:paraId="487FC58B" w14:textId="6D8F344E" w:rsidR="007D0C47" w:rsidRDefault="001824D3" w:rsidP="001824D3">
      <w:pPr>
        <w:spacing w:after="0" w:line="240" w:lineRule="auto"/>
        <w:jc w:val="both"/>
        <w:rPr>
          <w:rFonts w:ascii="Arial" w:hAnsi="Arial" w:cs="Arial"/>
        </w:rPr>
      </w:pPr>
      <w:r w:rsidRPr="001824D3">
        <w:rPr>
          <w:rFonts w:ascii="Arial" w:hAnsi="Arial" w:cs="Arial"/>
        </w:rPr>
        <w:t>The rationale</w:t>
      </w:r>
      <w:r>
        <w:rPr>
          <w:rFonts w:ascii="Arial" w:hAnsi="Arial" w:cs="Arial"/>
        </w:rPr>
        <w:t xml:space="preserve"> is to improve accessibility to TB care and treatment for remote and hard-to-reach populations </w:t>
      </w:r>
      <w:r w:rsidR="00D65452">
        <w:rPr>
          <w:rFonts w:ascii="Arial" w:hAnsi="Arial" w:cs="Arial"/>
        </w:rPr>
        <w:t>to</w:t>
      </w:r>
      <w:r>
        <w:rPr>
          <w:rFonts w:ascii="Arial" w:hAnsi="Arial" w:cs="Arial"/>
        </w:rPr>
        <w:t xml:space="preserve"> ensure 100% treatment adherence. </w:t>
      </w:r>
      <w:r w:rsidRPr="00517371">
        <w:rPr>
          <w:rFonts w:ascii="Arial" w:hAnsi="Arial" w:cs="Arial"/>
        </w:rPr>
        <w:t>Expansion of Community DOTS</w:t>
      </w:r>
      <w:r w:rsidR="00517371">
        <w:rPr>
          <w:rFonts w:ascii="Arial" w:hAnsi="Arial" w:cs="Arial"/>
        </w:rPr>
        <w:t xml:space="preserve"> to 9 more districts during 2018-2021.</w:t>
      </w:r>
    </w:p>
    <w:p w14:paraId="6526F21D" w14:textId="77777777" w:rsidR="00121C61" w:rsidRDefault="00121C61" w:rsidP="00121C61">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2ECC51C3" w14:textId="5EC8A353" w:rsidR="000D2240" w:rsidRDefault="00C973FD" w:rsidP="00121C61">
      <w:pPr>
        <w:spacing w:after="0" w:line="240" w:lineRule="auto"/>
        <w:jc w:val="both"/>
        <w:rPr>
          <w:rFonts w:ascii="Arial" w:hAnsi="Arial" w:cs="Arial"/>
        </w:rPr>
      </w:pPr>
      <w:r w:rsidRPr="00121C61">
        <w:rPr>
          <w:rFonts w:ascii="Arial" w:hAnsi="Arial" w:cs="Arial"/>
          <w:b/>
        </w:rPr>
        <w:t>(</w:t>
      </w:r>
      <w:proofErr w:type="spellStart"/>
      <w:r w:rsidRPr="00121C61">
        <w:rPr>
          <w:rFonts w:ascii="Arial" w:hAnsi="Arial" w:cs="Arial"/>
          <w:b/>
        </w:rPr>
        <w:t>i</w:t>
      </w:r>
      <w:proofErr w:type="spellEnd"/>
      <w:r w:rsidRPr="00121C61">
        <w:rPr>
          <w:rFonts w:ascii="Arial" w:hAnsi="Arial" w:cs="Arial"/>
          <w:b/>
        </w:rPr>
        <w:t>)</w:t>
      </w:r>
      <w:r>
        <w:rPr>
          <w:rFonts w:ascii="Arial" w:hAnsi="Arial" w:cs="Arial"/>
        </w:rPr>
        <w:t xml:space="preserve"> printing and distribution of IEC materials; </w:t>
      </w:r>
      <w:r w:rsidRPr="00121C61">
        <w:rPr>
          <w:rFonts w:ascii="Arial" w:hAnsi="Arial" w:cs="Arial"/>
          <w:b/>
        </w:rPr>
        <w:t>(ii)</w:t>
      </w:r>
      <w:r>
        <w:rPr>
          <w:rFonts w:ascii="Arial" w:hAnsi="Arial" w:cs="Arial"/>
        </w:rPr>
        <w:t xml:space="preserve"> TB orientation for KAP group; </w:t>
      </w:r>
      <w:r w:rsidRPr="00121C61">
        <w:rPr>
          <w:rFonts w:ascii="Arial" w:hAnsi="Arial" w:cs="Arial"/>
          <w:b/>
        </w:rPr>
        <w:t>(iii)</w:t>
      </w:r>
      <w:r>
        <w:rPr>
          <w:rFonts w:ascii="Arial" w:hAnsi="Arial" w:cs="Arial"/>
        </w:rPr>
        <w:t xml:space="preserve"> orientation to district health supervisors on TB -DOTS; </w:t>
      </w:r>
      <w:r w:rsidRPr="00121C61">
        <w:rPr>
          <w:rFonts w:ascii="Arial" w:hAnsi="Arial" w:cs="Arial"/>
          <w:b/>
        </w:rPr>
        <w:t>(iv)</w:t>
      </w:r>
      <w:r>
        <w:rPr>
          <w:rFonts w:ascii="Arial" w:hAnsi="Arial" w:cs="Arial"/>
        </w:rPr>
        <w:t xml:space="preserve"> orientation to treatment centres focal persons; </w:t>
      </w:r>
    </w:p>
    <w:p w14:paraId="0FBEB8CA" w14:textId="28817375" w:rsidR="00C973FD" w:rsidRDefault="00C973FD" w:rsidP="00121C61">
      <w:pPr>
        <w:spacing w:after="0" w:line="240" w:lineRule="auto"/>
        <w:jc w:val="both"/>
        <w:rPr>
          <w:rFonts w:ascii="Arial" w:hAnsi="Arial" w:cs="Arial"/>
        </w:rPr>
      </w:pPr>
      <w:r w:rsidRPr="00121C61">
        <w:rPr>
          <w:rFonts w:ascii="Arial" w:hAnsi="Arial" w:cs="Arial"/>
          <w:b/>
        </w:rPr>
        <w:t>(v)</w:t>
      </w:r>
      <w:r>
        <w:rPr>
          <w:rFonts w:ascii="Arial" w:hAnsi="Arial" w:cs="Arial"/>
        </w:rPr>
        <w:t xml:space="preserve"> orientation to the </w:t>
      </w:r>
      <w:r w:rsidR="006428E8">
        <w:rPr>
          <w:rFonts w:ascii="Arial" w:hAnsi="Arial" w:cs="Arial"/>
        </w:rPr>
        <w:t xml:space="preserve">DOT </w:t>
      </w:r>
      <w:r>
        <w:rPr>
          <w:rFonts w:ascii="Arial" w:hAnsi="Arial" w:cs="Arial"/>
        </w:rPr>
        <w:t xml:space="preserve">providers; </w:t>
      </w:r>
      <w:r w:rsidRPr="00121C61">
        <w:rPr>
          <w:rFonts w:ascii="Arial" w:hAnsi="Arial" w:cs="Arial"/>
          <w:b/>
        </w:rPr>
        <w:t>(vi)</w:t>
      </w:r>
      <w:r>
        <w:rPr>
          <w:rFonts w:ascii="Arial" w:hAnsi="Arial" w:cs="Arial"/>
        </w:rPr>
        <w:t xml:space="preserve"> prepare and distribute counselling material on TB-DOTS; </w:t>
      </w:r>
      <w:r w:rsidRPr="00121C61">
        <w:rPr>
          <w:rFonts w:ascii="Arial" w:hAnsi="Arial" w:cs="Arial"/>
          <w:b/>
        </w:rPr>
        <w:t>(vii)</w:t>
      </w:r>
      <w:r>
        <w:rPr>
          <w:rFonts w:ascii="Arial" w:hAnsi="Arial" w:cs="Arial"/>
        </w:rPr>
        <w:t xml:space="preserve"> meeting orientation with relevant stakeholders at the</w:t>
      </w:r>
      <w:r w:rsidR="00D65452">
        <w:rPr>
          <w:rFonts w:ascii="Arial" w:hAnsi="Arial" w:cs="Arial"/>
        </w:rPr>
        <w:t xml:space="preserve"> </w:t>
      </w:r>
      <w:r>
        <w:rPr>
          <w:rFonts w:ascii="Arial" w:hAnsi="Arial" w:cs="Arial"/>
        </w:rPr>
        <w:t xml:space="preserve">district for mapping of CBOs, FBOs, at the local levels; </w:t>
      </w:r>
      <w:r w:rsidRPr="00121C61">
        <w:rPr>
          <w:rFonts w:ascii="Arial" w:hAnsi="Arial" w:cs="Arial"/>
          <w:b/>
        </w:rPr>
        <w:t>(viii)</w:t>
      </w:r>
      <w:r>
        <w:rPr>
          <w:rFonts w:ascii="Arial" w:hAnsi="Arial" w:cs="Arial"/>
        </w:rPr>
        <w:t xml:space="preserve"> sensitisation meeting with FCHV and other volunteers for establishing community referral mechanism; </w:t>
      </w:r>
      <w:r w:rsidRPr="00121C61">
        <w:rPr>
          <w:rFonts w:ascii="Arial" w:hAnsi="Arial" w:cs="Arial"/>
          <w:b/>
        </w:rPr>
        <w:t>(ix)</w:t>
      </w:r>
      <w:r>
        <w:rPr>
          <w:rFonts w:ascii="Arial" w:hAnsi="Arial" w:cs="Arial"/>
        </w:rPr>
        <w:t xml:space="preserve"> organize review and planning meeting at local level for effective operation of TB DOTS programme.</w:t>
      </w:r>
    </w:p>
    <w:p w14:paraId="09370DD9" w14:textId="77777777" w:rsidR="001C7492" w:rsidRDefault="001C7492" w:rsidP="00C973FD">
      <w:pPr>
        <w:spacing w:after="0" w:line="240" w:lineRule="auto"/>
        <w:jc w:val="both"/>
        <w:rPr>
          <w:rFonts w:ascii="Arial" w:hAnsi="Arial" w:cs="Arial"/>
        </w:rPr>
      </w:pPr>
    </w:p>
    <w:p w14:paraId="64454F8E" w14:textId="390C1B34" w:rsidR="006449A3" w:rsidRPr="000016CC" w:rsidRDefault="006449A3" w:rsidP="000016CC">
      <w:pPr>
        <w:spacing w:after="0" w:line="240" w:lineRule="auto"/>
        <w:jc w:val="both"/>
        <w:rPr>
          <w:rFonts w:ascii="Arial" w:hAnsi="Arial" w:cs="Arial"/>
          <w:b/>
        </w:rPr>
      </w:pPr>
      <w:r w:rsidRPr="000016CC">
        <w:rPr>
          <w:rFonts w:ascii="Arial" w:hAnsi="Arial" w:cs="Arial"/>
          <w:b/>
        </w:rPr>
        <w:t>Key populations</w:t>
      </w:r>
      <w:r w:rsidR="009C67A2">
        <w:rPr>
          <w:rFonts w:ascii="Arial" w:hAnsi="Arial" w:cs="Arial"/>
          <w:b/>
        </w:rPr>
        <w:t xml:space="preserve"> </w:t>
      </w:r>
      <w:r w:rsidR="009C67A2" w:rsidRPr="0019610C">
        <w:rPr>
          <w:rFonts w:ascii="Arial" w:hAnsi="Arial" w:cs="Arial"/>
        </w:rPr>
        <w:t xml:space="preserve">(based on </w:t>
      </w:r>
      <w:r w:rsidR="009C67A2">
        <w:rPr>
          <w:rFonts w:ascii="Arial" w:hAnsi="Arial" w:cs="Arial"/>
        </w:rPr>
        <w:t xml:space="preserve">the </w:t>
      </w:r>
      <w:r w:rsidR="009C67A2" w:rsidRPr="00D57C02">
        <w:rPr>
          <w:rFonts w:ascii="Arial" w:hAnsi="Arial" w:cs="Arial"/>
        </w:rPr>
        <w:t>recommendat</w:t>
      </w:r>
      <w:r w:rsidR="009C67A2">
        <w:rPr>
          <w:rFonts w:ascii="Arial" w:hAnsi="Arial" w:cs="Arial"/>
        </w:rPr>
        <w:t>ions from the country dialogue</w:t>
      </w:r>
      <w:r w:rsidR="009C67A2" w:rsidRPr="00D57C02">
        <w:rPr>
          <w:rFonts w:ascii="Arial" w:hAnsi="Arial" w:cs="Arial"/>
        </w:rPr>
        <w:t>):</w:t>
      </w:r>
    </w:p>
    <w:p w14:paraId="4F77F9E1" w14:textId="77777777" w:rsidR="00C15E65" w:rsidRDefault="00C15E65" w:rsidP="0019610C">
      <w:pPr>
        <w:pStyle w:val="ListParagraph"/>
        <w:spacing w:line="240" w:lineRule="auto"/>
        <w:ind w:left="0"/>
        <w:jc w:val="both"/>
        <w:rPr>
          <w:rFonts w:ascii="Arial" w:hAnsi="Arial" w:cs="Arial"/>
        </w:rPr>
      </w:pPr>
      <w:r w:rsidRPr="00C15E65">
        <w:rPr>
          <w:rFonts w:ascii="Arial" w:hAnsi="Arial" w:cs="Arial"/>
          <w:b/>
          <w:u w:val="single"/>
        </w:rPr>
        <w:t>1</w:t>
      </w:r>
      <w:r w:rsidR="006F40D3" w:rsidRPr="00C15E65">
        <w:rPr>
          <w:rFonts w:ascii="Arial" w:hAnsi="Arial" w:cs="Arial"/>
          <w:b/>
          <w:u w:val="single"/>
        </w:rPr>
        <w:t>)</w:t>
      </w:r>
      <w:r w:rsidR="006F40D3">
        <w:rPr>
          <w:rFonts w:ascii="Arial" w:hAnsi="Arial" w:cs="Arial"/>
          <w:u w:val="single"/>
        </w:rPr>
        <w:t xml:space="preserve"> </w:t>
      </w:r>
      <w:r w:rsidR="00BE0733">
        <w:rPr>
          <w:rFonts w:ascii="Arial" w:hAnsi="Arial" w:cs="Arial"/>
          <w:u w:val="single"/>
        </w:rPr>
        <w:t>P</w:t>
      </w:r>
      <w:r w:rsidR="0019610C">
        <w:rPr>
          <w:rFonts w:ascii="Arial" w:hAnsi="Arial" w:cs="Arial"/>
          <w:u w:val="single"/>
        </w:rPr>
        <w:t>risoners: t</w:t>
      </w:r>
      <w:r w:rsidR="007D0C47" w:rsidRPr="00D57C02">
        <w:rPr>
          <w:rFonts w:ascii="Arial" w:hAnsi="Arial" w:cs="Arial"/>
          <w:u w:val="single"/>
        </w:rPr>
        <w:t>argeted interventions in 74 prisons in Nepal</w:t>
      </w:r>
      <w:r w:rsidR="007D0C47" w:rsidRPr="00D57C02">
        <w:rPr>
          <w:rFonts w:ascii="Arial" w:hAnsi="Arial" w:cs="Arial"/>
        </w:rPr>
        <w:t>:</w:t>
      </w:r>
      <w:r w:rsidR="000D2240">
        <w:rPr>
          <w:rFonts w:ascii="Arial" w:hAnsi="Arial" w:cs="Arial"/>
        </w:rPr>
        <w:t xml:space="preserve"> </w:t>
      </w:r>
    </w:p>
    <w:p w14:paraId="73068B31" w14:textId="77777777" w:rsidR="00C15E65" w:rsidRDefault="00C15E65" w:rsidP="00C15E65">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5BC51CE6" w14:textId="107E7BB8" w:rsidR="007D0C47" w:rsidRDefault="000D2240" w:rsidP="0019610C">
      <w:pPr>
        <w:pStyle w:val="ListParagraph"/>
        <w:spacing w:line="240" w:lineRule="auto"/>
        <w:ind w:left="0"/>
        <w:jc w:val="both"/>
        <w:rPr>
          <w:rFonts w:ascii="Arial" w:hAnsi="Arial" w:cs="Arial"/>
        </w:rPr>
      </w:pPr>
      <w:r w:rsidRPr="00C15E65">
        <w:rPr>
          <w:rFonts w:ascii="Arial" w:hAnsi="Arial" w:cs="Arial"/>
          <w:b/>
        </w:rPr>
        <w:t>(</w:t>
      </w:r>
      <w:proofErr w:type="spellStart"/>
      <w:r w:rsidRPr="00C15E65">
        <w:rPr>
          <w:rFonts w:ascii="Arial" w:hAnsi="Arial" w:cs="Arial"/>
          <w:b/>
        </w:rPr>
        <w:t>i</w:t>
      </w:r>
      <w:proofErr w:type="spellEnd"/>
      <w:r w:rsidR="007D0C47" w:rsidRPr="00C15E65">
        <w:rPr>
          <w:rFonts w:ascii="Arial" w:hAnsi="Arial" w:cs="Arial"/>
          <w:b/>
        </w:rPr>
        <w:t>)</w:t>
      </w:r>
      <w:r w:rsidR="007D0C47" w:rsidRPr="00D57C02">
        <w:rPr>
          <w:rFonts w:ascii="Arial" w:hAnsi="Arial" w:cs="Arial"/>
        </w:rPr>
        <w:t xml:space="preserve"> </w:t>
      </w:r>
      <w:r w:rsidR="005B7BF6">
        <w:rPr>
          <w:rFonts w:ascii="Arial" w:hAnsi="Arial" w:cs="Arial"/>
        </w:rPr>
        <w:t xml:space="preserve">WS to develop strategy -TB in prisons’ and training curriculum; </w:t>
      </w:r>
      <w:r w:rsidR="005B7BF6" w:rsidRPr="00C15E65">
        <w:rPr>
          <w:rFonts w:ascii="Arial" w:hAnsi="Arial" w:cs="Arial"/>
          <w:b/>
        </w:rPr>
        <w:t>(ii)</w:t>
      </w:r>
      <w:r w:rsidR="005B7BF6">
        <w:rPr>
          <w:rFonts w:ascii="Arial" w:hAnsi="Arial" w:cs="Arial"/>
        </w:rPr>
        <w:t xml:space="preserve"> organize training for prison health staff </w:t>
      </w:r>
      <w:r w:rsidR="007D0C47">
        <w:rPr>
          <w:rFonts w:ascii="Arial" w:hAnsi="Arial" w:cs="Arial"/>
        </w:rPr>
        <w:t xml:space="preserve">on </w:t>
      </w:r>
      <w:r w:rsidR="005B7BF6">
        <w:rPr>
          <w:rFonts w:ascii="Arial" w:hAnsi="Arial" w:cs="Arial"/>
        </w:rPr>
        <w:t>early TB screening and diagnosis; orientatio</w:t>
      </w:r>
      <w:r w:rsidR="00CD0E42">
        <w:rPr>
          <w:rFonts w:ascii="Arial" w:hAnsi="Arial" w:cs="Arial"/>
        </w:rPr>
        <w:t xml:space="preserve">n for </w:t>
      </w:r>
      <w:proofErr w:type="spellStart"/>
      <w:r w:rsidR="00CD0E42" w:rsidRPr="00CD0E42">
        <w:rPr>
          <w:rFonts w:ascii="Arial" w:hAnsi="Arial" w:cs="Arial"/>
          <w:i/>
        </w:rPr>
        <w:t>naike</w:t>
      </w:r>
      <w:proofErr w:type="spellEnd"/>
      <w:r w:rsidR="00CD0E42">
        <w:rPr>
          <w:rFonts w:ascii="Arial" w:hAnsi="Arial" w:cs="Arial"/>
        </w:rPr>
        <w:t xml:space="preserve"> and </w:t>
      </w:r>
      <w:proofErr w:type="spellStart"/>
      <w:r w:rsidR="00CD0E42" w:rsidRPr="00CD0E42">
        <w:rPr>
          <w:rFonts w:ascii="Arial" w:hAnsi="Arial" w:cs="Arial"/>
          <w:i/>
        </w:rPr>
        <w:t>bhainaike</w:t>
      </w:r>
      <w:proofErr w:type="spellEnd"/>
      <w:r w:rsidR="00CD0E42">
        <w:rPr>
          <w:rFonts w:ascii="Arial" w:hAnsi="Arial" w:cs="Arial"/>
          <w:i/>
        </w:rPr>
        <w:t xml:space="preserve"> </w:t>
      </w:r>
      <w:r w:rsidR="00CD0E42" w:rsidRPr="00843212">
        <w:rPr>
          <w:rFonts w:ascii="Arial" w:hAnsi="Arial" w:cs="Arial"/>
        </w:rPr>
        <w:t>(</w:t>
      </w:r>
      <w:r w:rsidR="00843212" w:rsidRPr="00843212">
        <w:rPr>
          <w:rFonts w:ascii="Arial" w:hAnsi="Arial" w:cs="Arial"/>
        </w:rPr>
        <w:t>focal points among prisoners)</w:t>
      </w:r>
      <w:r w:rsidR="00CD0E42" w:rsidRPr="00843212">
        <w:rPr>
          <w:rFonts w:ascii="Arial" w:hAnsi="Arial" w:cs="Arial"/>
        </w:rPr>
        <w:t>;</w:t>
      </w:r>
      <w:r w:rsidR="00CD0E42">
        <w:rPr>
          <w:rFonts w:ascii="Arial" w:hAnsi="Arial" w:cs="Arial"/>
        </w:rPr>
        <w:t xml:space="preserve"> </w:t>
      </w:r>
      <w:r w:rsidR="00CD0E42" w:rsidRPr="00C15E65">
        <w:rPr>
          <w:rFonts w:ascii="Arial" w:hAnsi="Arial" w:cs="Arial"/>
          <w:b/>
        </w:rPr>
        <w:t>(iii</w:t>
      </w:r>
      <w:r w:rsidR="00C15E65" w:rsidRPr="00C15E65">
        <w:rPr>
          <w:rFonts w:ascii="Arial" w:hAnsi="Arial" w:cs="Arial"/>
          <w:b/>
        </w:rPr>
        <w:t>)</w:t>
      </w:r>
      <w:r w:rsidR="005B7BF6">
        <w:rPr>
          <w:rFonts w:ascii="Arial" w:hAnsi="Arial" w:cs="Arial"/>
        </w:rPr>
        <w:t xml:space="preserve"> </w:t>
      </w:r>
      <w:r w:rsidR="007D0C47" w:rsidRPr="00D57C02">
        <w:rPr>
          <w:rFonts w:ascii="Arial" w:hAnsi="Arial" w:cs="Arial"/>
        </w:rPr>
        <w:t>entry</w:t>
      </w:r>
      <w:r w:rsidR="007D0C47">
        <w:rPr>
          <w:rFonts w:ascii="Arial" w:hAnsi="Arial" w:cs="Arial"/>
        </w:rPr>
        <w:t>/</w:t>
      </w:r>
      <w:r w:rsidR="007D0C47" w:rsidRPr="00D57C02">
        <w:rPr>
          <w:rFonts w:ascii="Arial" w:hAnsi="Arial" w:cs="Arial"/>
        </w:rPr>
        <w:t>annual screening of inmates/prison staff</w:t>
      </w:r>
      <w:r w:rsidR="00517371">
        <w:rPr>
          <w:rFonts w:ascii="Arial" w:hAnsi="Arial" w:cs="Arial"/>
        </w:rPr>
        <w:t xml:space="preserve">; </w:t>
      </w:r>
      <w:r w:rsidR="00517371" w:rsidRPr="00C15E65">
        <w:rPr>
          <w:rFonts w:ascii="Arial" w:hAnsi="Arial" w:cs="Arial"/>
          <w:b/>
        </w:rPr>
        <w:t>(iv</w:t>
      </w:r>
      <w:r w:rsidRPr="00C15E65">
        <w:rPr>
          <w:rFonts w:ascii="Arial" w:hAnsi="Arial" w:cs="Arial"/>
          <w:b/>
        </w:rPr>
        <w:t>)</w:t>
      </w:r>
      <w:r>
        <w:rPr>
          <w:rFonts w:ascii="Arial" w:hAnsi="Arial" w:cs="Arial"/>
        </w:rPr>
        <w:t xml:space="preserve"> f</w:t>
      </w:r>
      <w:r w:rsidR="007D0C47" w:rsidRPr="00D57C02">
        <w:rPr>
          <w:rFonts w:ascii="Arial" w:hAnsi="Arial" w:cs="Arial"/>
        </w:rPr>
        <w:t xml:space="preserve">acility-based ACF </w:t>
      </w:r>
      <w:r w:rsidR="007D0C47">
        <w:rPr>
          <w:rFonts w:ascii="Arial" w:hAnsi="Arial" w:cs="Arial"/>
        </w:rPr>
        <w:t xml:space="preserve">jointly with HIV programme </w:t>
      </w:r>
      <w:r w:rsidR="007D0C47" w:rsidRPr="00D57C02">
        <w:rPr>
          <w:rFonts w:ascii="Arial" w:hAnsi="Arial" w:cs="Arial"/>
        </w:rPr>
        <w:t xml:space="preserve">at the Central </w:t>
      </w:r>
      <w:r w:rsidR="007D0C47">
        <w:rPr>
          <w:rFonts w:ascii="Arial" w:hAnsi="Arial" w:cs="Arial"/>
        </w:rPr>
        <w:t xml:space="preserve">Jail </w:t>
      </w:r>
      <w:r w:rsidR="007D0C47" w:rsidRPr="00517371">
        <w:rPr>
          <w:rFonts w:ascii="Arial" w:hAnsi="Arial" w:cs="Arial"/>
        </w:rPr>
        <w:t>Hospital, Kathmandu</w:t>
      </w:r>
      <w:r w:rsidRPr="00517371">
        <w:rPr>
          <w:rFonts w:ascii="Arial" w:hAnsi="Arial" w:cs="Arial"/>
        </w:rPr>
        <w:t xml:space="preserve">; </w:t>
      </w:r>
      <w:r w:rsidR="00517371" w:rsidRPr="00C15E65">
        <w:rPr>
          <w:rFonts w:ascii="Arial" w:hAnsi="Arial" w:cs="Arial"/>
          <w:b/>
        </w:rPr>
        <w:t>(v</w:t>
      </w:r>
      <w:r w:rsidR="0019610C" w:rsidRPr="00C15E65">
        <w:rPr>
          <w:rFonts w:ascii="Arial" w:hAnsi="Arial" w:cs="Arial"/>
          <w:b/>
        </w:rPr>
        <w:t>)</w:t>
      </w:r>
      <w:r w:rsidR="0019610C" w:rsidRPr="00517371">
        <w:rPr>
          <w:rFonts w:ascii="Arial" w:hAnsi="Arial" w:cs="Arial"/>
        </w:rPr>
        <w:t xml:space="preserve"> </w:t>
      </w:r>
      <w:r w:rsidR="007D0C47" w:rsidRPr="00517371">
        <w:rPr>
          <w:rFonts w:ascii="Arial" w:hAnsi="Arial" w:cs="Arial"/>
        </w:rPr>
        <w:t>ACF in prisons outside Kathmandu</w:t>
      </w:r>
      <w:r w:rsidR="00517371">
        <w:rPr>
          <w:rFonts w:ascii="Arial" w:hAnsi="Arial" w:cs="Arial"/>
        </w:rPr>
        <w:t xml:space="preserve">; </w:t>
      </w:r>
      <w:r w:rsidR="00517371" w:rsidRPr="00C15E65">
        <w:rPr>
          <w:rFonts w:ascii="Arial" w:hAnsi="Arial" w:cs="Arial"/>
          <w:b/>
        </w:rPr>
        <w:t>(</w:t>
      </w:r>
      <w:r w:rsidR="00D20B80" w:rsidRPr="00C15E65">
        <w:rPr>
          <w:rFonts w:ascii="Arial" w:hAnsi="Arial" w:cs="Arial"/>
          <w:b/>
        </w:rPr>
        <w:t>v</w:t>
      </w:r>
      <w:r w:rsidR="00517371" w:rsidRPr="00C15E65">
        <w:rPr>
          <w:rFonts w:ascii="Arial" w:hAnsi="Arial" w:cs="Arial"/>
          <w:b/>
        </w:rPr>
        <w:t>i</w:t>
      </w:r>
      <w:r w:rsidR="00D20B80" w:rsidRPr="00C15E65">
        <w:rPr>
          <w:rFonts w:ascii="Arial" w:hAnsi="Arial" w:cs="Arial"/>
          <w:b/>
        </w:rPr>
        <w:t>)</w:t>
      </w:r>
      <w:r w:rsidR="00D20B80" w:rsidRPr="00517371">
        <w:rPr>
          <w:rFonts w:ascii="Arial" w:hAnsi="Arial" w:cs="Arial"/>
        </w:rPr>
        <w:t xml:space="preserve"> supervision from central prison to other prisons;</w:t>
      </w:r>
      <w:r w:rsidR="00D20B80">
        <w:rPr>
          <w:rFonts w:ascii="Arial" w:hAnsi="Arial" w:cs="Arial"/>
        </w:rPr>
        <w:t xml:space="preserve"> </w:t>
      </w:r>
    </w:p>
    <w:p w14:paraId="08562168" w14:textId="3DFE99D8" w:rsidR="00FA188A" w:rsidRDefault="00D36268" w:rsidP="0019610C">
      <w:pPr>
        <w:pStyle w:val="ListParagraph"/>
        <w:spacing w:after="0" w:line="240" w:lineRule="auto"/>
        <w:ind w:left="0"/>
        <w:jc w:val="both"/>
        <w:rPr>
          <w:rFonts w:ascii="Arial" w:hAnsi="Arial" w:cs="Arial"/>
        </w:rPr>
      </w:pPr>
      <w:r w:rsidRPr="00D36268">
        <w:rPr>
          <w:rFonts w:ascii="Arial" w:hAnsi="Arial" w:cs="Arial"/>
          <w:b/>
          <w:u w:val="single"/>
        </w:rPr>
        <w:t>2</w:t>
      </w:r>
      <w:r w:rsidR="006F40D3" w:rsidRPr="00D36268">
        <w:rPr>
          <w:rFonts w:ascii="Arial" w:hAnsi="Arial" w:cs="Arial"/>
          <w:b/>
          <w:u w:val="single"/>
        </w:rPr>
        <w:t>)</w:t>
      </w:r>
      <w:r w:rsidR="006F40D3">
        <w:rPr>
          <w:rFonts w:ascii="Arial" w:hAnsi="Arial" w:cs="Arial"/>
          <w:u w:val="single"/>
        </w:rPr>
        <w:t xml:space="preserve"> </w:t>
      </w:r>
      <w:r w:rsidR="008434F0">
        <w:rPr>
          <w:rFonts w:ascii="Arial" w:hAnsi="Arial" w:cs="Arial"/>
          <w:u w:val="single"/>
        </w:rPr>
        <w:t>Marginalized groups</w:t>
      </w:r>
      <w:r w:rsidR="000D2240" w:rsidRPr="00D57C02">
        <w:rPr>
          <w:rFonts w:ascii="Arial" w:hAnsi="Arial" w:cs="Arial"/>
          <w:u w:val="single"/>
        </w:rPr>
        <w:t xml:space="preserve"> </w:t>
      </w:r>
      <w:r w:rsidR="00167495">
        <w:rPr>
          <w:rFonts w:ascii="Arial" w:hAnsi="Arial" w:cs="Arial"/>
          <w:u w:val="single"/>
        </w:rPr>
        <w:t xml:space="preserve">in districts </w:t>
      </w:r>
      <w:r w:rsidR="009C67A2">
        <w:rPr>
          <w:rFonts w:ascii="Arial" w:hAnsi="Arial" w:cs="Arial"/>
          <w:u w:val="single"/>
        </w:rPr>
        <w:t>and slum dwellers in Kathmandu valley</w:t>
      </w:r>
    </w:p>
    <w:p w14:paraId="105C27E0" w14:textId="77777777" w:rsidR="00FA188A" w:rsidRDefault="00FA188A" w:rsidP="00FA188A">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3427FB51" w14:textId="3F8C9ACB" w:rsidR="004A3E3F" w:rsidRDefault="0019610C" w:rsidP="0019610C">
      <w:pPr>
        <w:pStyle w:val="ListParagraph"/>
        <w:spacing w:after="0" w:line="240" w:lineRule="auto"/>
        <w:ind w:left="0"/>
        <w:jc w:val="both"/>
        <w:rPr>
          <w:rFonts w:ascii="Arial" w:hAnsi="Arial" w:cs="Arial"/>
        </w:rPr>
      </w:pPr>
      <w:r w:rsidRPr="00D36268">
        <w:rPr>
          <w:rFonts w:ascii="Arial" w:hAnsi="Arial" w:cs="Arial"/>
          <w:b/>
        </w:rPr>
        <w:t>(</w:t>
      </w:r>
      <w:proofErr w:type="spellStart"/>
      <w:r w:rsidR="004A3E3F" w:rsidRPr="00D36268">
        <w:rPr>
          <w:rFonts w:ascii="Arial" w:hAnsi="Arial" w:cs="Arial"/>
          <w:b/>
        </w:rPr>
        <w:t>i</w:t>
      </w:r>
      <w:proofErr w:type="spellEnd"/>
      <w:r w:rsidR="000D2240" w:rsidRPr="00D36268">
        <w:rPr>
          <w:rFonts w:ascii="Arial" w:hAnsi="Arial" w:cs="Arial"/>
          <w:b/>
        </w:rPr>
        <w:t>)</w:t>
      </w:r>
      <w:r w:rsidR="000D2240" w:rsidRPr="00D57C02">
        <w:rPr>
          <w:rFonts w:ascii="Arial" w:hAnsi="Arial" w:cs="Arial"/>
        </w:rPr>
        <w:t xml:space="preserve"> </w:t>
      </w:r>
      <w:r w:rsidR="008434F0">
        <w:rPr>
          <w:rFonts w:ascii="Arial" w:hAnsi="Arial" w:cs="Arial"/>
        </w:rPr>
        <w:t xml:space="preserve">coordination meetings with community leaders and volunteers; </w:t>
      </w:r>
      <w:r w:rsidR="008434F0" w:rsidRPr="008434F0">
        <w:rPr>
          <w:rFonts w:ascii="Arial" w:hAnsi="Arial" w:cs="Arial"/>
          <w:b/>
        </w:rPr>
        <w:t>(ii)</w:t>
      </w:r>
      <w:r w:rsidR="008434F0">
        <w:rPr>
          <w:rFonts w:ascii="Arial" w:hAnsi="Arial" w:cs="Arial"/>
        </w:rPr>
        <w:t xml:space="preserve"> awareness raising in the community; </w:t>
      </w:r>
      <w:r w:rsidR="008434F0" w:rsidRPr="008434F0">
        <w:rPr>
          <w:rFonts w:ascii="Arial" w:hAnsi="Arial" w:cs="Arial"/>
          <w:b/>
        </w:rPr>
        <w:t>(iii)</w:t>
      </w:r>
      <w:r w:rsidR="008434F0">
        <w:rPr>
          <w:rFonts w:ascii="Arial" w:hAnsi="Arial" w:cs="Arial"/>
          <w:b/>
        </w:rPr>
        <w:t xml:space="preserve"> </w:t>
      </w:r>
      <w:r w:rsidR="008434F0">
        <w:rPr>
          <w:rFonts w:ascii="Arial" w:hAnsi="Arial" w:cs="Arial"/>
        </w:rPr>
        <w:t xml:space="preserve">ACF activities, screening and microscopy camps; </w:t>
      </w:r>
      <w:r w:rsidR="008434F0" w:rsidRPr="008434F0">
        <w:rPr>
          <w:rFonts w:ascii="Arial" w:hAnsi="Arial" w:cs="Arial"/>
          <w:b/>
        </w:rPr>
        <w:t>(iv)</w:t>
      </w:r>
      <w:r w:rsidR="008434F0">
        <w:rPr>
          <w:rFonts w:ascii="Arial" w:hAnsi="Arial" w:cs="Arial"/>
        </w:rPr>
        <w:t xml:space="preserve"> printing and distribution of materials on </w:t>
      </w:r>
      <w:r w:rsidR="000D2240" w:rsidRPr="00D57C02">
        <w:rPr>
          <w:rFonts w:ascii="Arial" w:hAnsi="Arial" w:cs="Arial"/>
        </w:rPr>
        <w:t>advocacy</w:t>
      </w:r>
      <w:r w:rsidR="000D2240">
        <w:rPr>
          <w:rFonts w:ascii="Arial" w:hAnsi="Arial" w:cs="Arial"/>
        </w:rPr>
        <w:t>, communication</w:t>
      </w:r>
      <w:r w:rsidR="000D2240" w:rsidRPr="00D57C02">
        <w:rPr>
          <w:rFonts w:ascii="Arial" w:hAnsi="Arial" w:cs="Arial"/>
        </w:rPr>
        <w:t xml:space="preserve"> and social mobilization </w:t>
      </w:r>
      <w:r w:rsidR="000D2240">
        <w:rPr>
          <w:rFonts w:ascii="Arial" w:hAnsi="Arial" w:cs="Arial"/>
        </w:rPr>
        <w:t>(ACSM)</w:t>
      </w:r>
      <w:r w:rsidR="000D2240" w:rsidRPr="00D57C02">
        <w:rPr>
          <w:rFonts w:ascii="Arial" w:hAnsi="Arial" w:cs="Arial"/>
        </w:rPr>
        <w:t xml:space="preserve">; </w:t>
      </w:r>
    </w:p>
    <w:p w14:paraId="5E0EA0C4" w14:textId="00AC9EEA" w:rsidR="000D2240" w:rsidRDefault="0019610C" w:rsidP="0019610C">
      <w:pPr>
        <w:pStyle w:val="ListParagraph"/>
        <w:spacing w:after="0" w:line="240" w:lineRule="auto"/>
        <w:ind w:left="0"/>
        <w:jc w:val="both"/>
        <w:rPr>
          <w:rFonts w:ascii="Arial" w:hAnsi="Arial" w:cs="Arial"/>
        </w:rPr>
      </w:pPr>
      <w:r w:rsidRPr="00D36268">
        <w:rPr>
          <w:rFonts w:ascii="Arial" w:hAnsi="Arial" w:cs="Arial"/>
          <w:b/>
        </w:rPr>
        <w:t>(</w:t>
      </w:r>
      <w:r w:rsidR="008434F0">
        <w:rPr>
          <w:rFonts w:ascii="Arial" w:hAnsi="Arial" w:cs="Arial"/>
          <w:b/>
        </w:rPr>
        <w:t>v</w:t>
      </w:r>
      <w:r w:rsidRPr="00D36268">
        <w:rPr>
          <w:rFonts w:ascii="Arial" w:hAnsi="Arial" w:cs="Arial"/>
          <w:b/>
        </w:rPr>
        <w:t>)</w:t>
      </w:r>
      <w:r>
        <w:rPr>
          <w:rFonts w:ascii="Arial" w:hAnsi="Arial" w:cs="Arial"/>
        </w:rPr>
        <w:t xml:space="preserve"> </w:t>
      </w:r>
      <w:proofErr w:type="gramStart"/>
      <w:r w:rsidR="008434F0">
        <w:rPr>
          <w:rFonts w:ascii="Arial" w:hAnsi="Arial" w:cs="Arial"/>
        </w:rPr>
        <w:t>organization</w:t>
      </w:r>
      <w:proofErr w:type="gramEnd"/>
      <w:r w:rsidR="008434F0">
        <w:rPr>
          <w:rFonts w:ascii="Arial" w:hAnsi="Arial" w:cs="Arial"/>
        </w:rPr>
        <w:t xml:space="preserve"> of sputum transportation</w:t>
      </w:r>
      <w:r w:rsidR="00BE0733" w:rsidRPr="008F03D6">
        <w:rPr>
          <w:rFonts w:ascii="Arial" w:hAnsi="Arial" w:cs="Arial"/>
        </w:rPr>
        <w:t>;</w:t>
      </w:r>
      <w:r w:rsidR="000D2240" w:rsidRPr="00B41E9A">
        <w:rPr>
          <w:rFonts w:ascii="Arial" w:hAnsi="Arial" w:cs="Arial"/>
        </w:rPr>
        <w:t xml:space="preserve"> </w:t>
      </w:r>
    </w:p>
    <w:p w14:paraId="50550529" w14:textId="75AC32C8" w:rsidR="00BE0733" w:rsidRDefault="00D36268" w:rsidP="004A3E3F">
      <w:pPr>
        <w:spacing w:after="0" w:line="240" w:lineRule="auto"/>
        <w:jc w:val="both"/>
        <w:rPr>
          <w:rFonts w:ascii="Arial" w:hAnsi="Arial" w:cs="Arial"/>
          <w:u w:val="single"/>
        </w:rPr>
      </w:pPr>
      <w:r w:rsidRPr="00D36268">
        <w:rPr>
          <w:rFonts w:ascii="Arial" w:hAnsi="Arial" w:cs="Arial"/>
          <w:b/>
        </w:rPr>
        <w:t>3</w:t>
      </w:r>
      <w:r w:rsidR="00F031A5" w:rsidRPr="00D36268">
        <w:rPr>
          <w:rFonts w:ascii="Arial" w:hAnsi="Arial" w:cs="Arial"/>
          <w:b/>
        </w:rPr>
        <w:t>)</w:t>
      </w:r>
      <w:r w:rsidR="00F031A5">
        <w:rPr>
          <w:rFonts w:ascii="Arial" w:hAnsi="Arial" w:cs="Arial"/>
        </w:rPr>
        <w:t xml:space="preserve"> </w:t>
      </w:r>
      <w:r w:rsidR="00BE0733">
        <w:rPr>
          <w:rFonts w:ascii="Arial" w:hAnsi="Arial" w:cs="Arial"/>
          <w:u w:val="single"/>
        </w:rPr>
        <w:t>Migrants</w:t>
      </w:r>
      <w:r w:rsidR="00006B37">
        <w:rPr>
          <w:rFonts w:ascii="Arial" w:hAnsi="Arial" w:cs="Arial"/>
          <w:u w:val="single"/>
        </w:rPr>
        <w:t>, refugees and IDPs (based on country dialogue)</w:t>
      </w:r>
      <w:r w:rsidR="00BE0733">
        <w:rPr>
          <w:rFonts w:ascii="Arial" w:hAnsi="Arial" w:cs="Arial"/>
          <w:u w:val="single"/>
        </w:rPr>
        <w:t>:</w:t>
      </w:r>
    </w:p>
    <w:p w14:paraId="10837320" w14:textId="77777777" w:rsidR="00FA188A" w:rsidRDefault="00FA188A" w:rsidP="00FA188A">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33B1B4C7" w14:textId="7C3C8999" w:rsidR="00BE0733" w:rsidRDefault="00BE0733" w:rsidP="0058738A">
      <w:pPr>
        <w:spacing w:after="0" w:line="240" w:lineRule="auto"/>
        <w:jc w:val="both"/>
        <w:rPr>
          <w:rFonts w:ascii="Arial" w:hAnsi="Arial" w:cs="Arial"/>
        </w:rPr>
      </w:pPr>
      <w:r w:rsidRPr="00D36268">
        <w:rPr>
          <w:rFonts w:ascii="Arial" w:hAnsi="Arial" w:cs="Arial"/>
          <w:b/>
        </w:rPr>
        <w:t>(</w:t>
      </w:r>
      <w:proofErr w:type="spellStart"/>
      <w:r w:rsidRPr="00D36268">
        <w:rPr>
          <w:rFonts w:ascii="Arial" w:hAnsi="Arial" w:cs="Arial"/>
          <w:b/>
        </w:rPr>
        <w:t>i</w:t>
      </w:r>
      <w:proofErr w:type="spellEnd"/>
      <w:r w:rsidRPr="00D36268">
        <w:rPr>
          <w:rFonts w:ascii="Arial" w:hAnsi="Arial" w:cs="Arial"/>
          <w:b/>
        </w:rPr>
        <w:t>)</w:t>
      </w:r>
      <w:r w:rsidRPr="00936DCF">
        <w:rPr>
          <w:rFonts w:ascii="Arial" w:hAnsi="Arial" w:cs="Arial"/>
        </w:rPr>
        <w:t xml:space="preserve"> </w:t>
      </w:r>
      <w:r w:rsidR="006D610B" w:rsidRPr="00936DCF">
        <w:rPr>
          <w:rFonts w:ascii="Arial" w:hAnsi="Arial" w:cs="Arial"/>
        </w:rPr>
        <w:t>s</w:t>
      </w:r>
      <w:r w:rsidR="00F031A5" w:rsidRPr="00936DCF">
        <w:rPr>
          <w:rFonts w:ascii="Arial" w:hAnsi="Arial" w:cs="Arial"/>
        </w:rPr>
        <w:t>easonal migrant workers</w:t>
      </w:r>
      <w:r w:rsidR="006D610B">
        <w:rPr>
          <w:rFonts w:ascii="Arial" w:hAnsi="Arial" w:cs="Arial"/>
        </w:rPr>
        <w:t xml:space="preserve"> </w:t>
      </w:r>
      <w:r w:rsidR="00911E06">
        <w:rPr>
          <w:rFonts w:ascii="Arial" w:hAnsi="Arial" w:cs="Arial"/>
        </w:rPr>
        <w:t xml:space="preserve">will be screened </w:t>
      </w:r>
      <w:r w:rsidR="006D610B">
        <w:rPr>
          <w:rFonts w:ascii="Arial" w:hAnsi="Arial" w:cs="Arial"/>
        </w:rPr>
        <w:t>for TB and HIV a</w:t>
      </w:r>
      <w:r w:rsidR="004239C5">
        <w:rPr>
          <w:rFonts w:ascii="Arial" w:hAnsi="Arial" w:cs="Arial"/>
        </w:rPr>
        <w:t xml:space="preserve">s </w:t>
      </w:r>
      <w:r w:rsidR="002F68F6">
        <w:rPr>
          <w:rFonts w:ascii="Arial" w:hAnsi="Arial" w:cs="Arial"/>
        </w:rPr>
        <w:t>a</w:t>
      </w:r>
      <w:r w:rsidR="004239C5">
        <w:rPr>
          <w:rFonts w:ascii="Arial" w:hAnsi="Arial" w:cs="Arial"/>
        </w:rPr>
        <w:t xml:space="preserve"> meaningful collaborati</w:t>
      </w:r>
      <w:r w:rsidR="006D610B">
        <w:rPr>
          <w:rFonts w:ascii="Arial" w:hAnsi="Arial" w:cs="Arial"/>
        </w:rPr>
        <w:t>ve activity in</w:t>
      </w:r>
      <w:r w:rsidR="004239C5">
        <w:rPr>
          <w:rFonts w:ascii="Arial" w:hAnsi="Arial" w:cs="Arial"/>
        </w:rPr>
        <w:t xml:space="preserve"> cluster camps </w:t>
      </w:r>
      <w:r w:rsidR="006D610B">
        <w:rPr>
          <w:rFonts w:ascii="Arial" w:hAnsi="Arial" w:cs="Arial"/>
        </w:rPr>
        <w:t>to</w:t>
      </w:r>
      <w:r w:rsidR="004239C5">
        <w:rPr>
          <w:rFonts w:ascii="Arial" w:hAnsi="Arial" w:cs="Arial"/>
        </w:rPr>
        <w:t xml:space="preserve"> be organized 2-3 times in a year in specific areas by the HIV programme </w:t>
      </w:r>
      <w:r w:rsidR="006D610B">
        <w:rPr>
          <w:rFonts w:ascii="Arial" w:hAnsi="Arial" w:cs="Arial"/>
        </w:rPr>
        <w:t xml:space="preserve">and will also </w:t>
      </w:r>
      <w:r w:rsidR="00911E06">
        <w:rPr>
          <w:rFonts w:ascii="Arial" w:hAnsi="Arial" w:cs="Arial"/>
        </w:rPr>
        <w:t>target their families</w:t>
      </w:r>
      <w:r w:rsidR="00D36268">
        <w:rPr>
          <w:rFonts w:ascii="Arial" w:hAnsi="Arial" w:cs="Arial"/>
        </w:rPr>
        <w:t xml:space="preserve">; </w:t>
      </w:r>
      <w:r w:rsidR="00D36268" w:rsidRPr="00D36268">
        <w:rPr>
          <w:rFonts w:ascii="Arial" w:hAnsi="Arial" w:cs="Arial"/>
          <w:b/>
        </w:rPr>
        <w:t>(ii)</w:t>
      </w:r>
      <w:r w:rsidR="00D36268">
        <w:rPr>
          <w:rFonts w:ascii="Arial" w:hAnsi="Arial" w:cs="Arial"/>
        </w:rPr>
        <w:t xml:space="preserve"> t</w:t>
      </w:r>
      <w:r w:rsidR="00F031A5">
        <w:rPr>
          <w:rFonts w:ascii="Arial" w:hAnsi="Arial" w:cs="Arial"/>
        </w:rPr>
        <w:t xml:space="preserve">he focal point for TB </w:t>
      </w:r>
      <w:r w:rsidR="006D610B">
        <w:rPr>
          <w:rFonts w:ascii="Arial" w:hAnsi="Arial" w:cs="Arial"/>
        </w:rPr>
        <w:t>will</w:t>
      </w:r>
      <w:r w:rsidR="00F031A5">
        <w:rPr>
          <w:rFonts w:ascii="Arial" w:hAnsi="Arial" w:cs="Arial"/>
        </w:rPr>
        <w:t xml:space="preserve"> be responsible for mapping of TB diagnostic facilities</w:t>
      </w:r>
      <w:r w:rsidR="006D610B">
        <w:rPr>
          <w:rFonts w:ascii="Arial" w:hAnsi="Arial" w:cs="Arial"/>
        </w:rPr>
        <w:t>,</w:t>
      </w:r>
      <w:r w:rsidR="00F031A5">
        <w:rPr>
          <w:rFonts w:ascii="Arial" w:hAnsi="Arial" w:cs="Arial"/>
        </w:rPr>
        <w:t xml:space="preserve"> ensuring proper referral mechanisms, including recording and reporting of TB presumptive and notification of TB cases from seasonal migrant workers</w:t>
      </w:r>
      <w:r w:rsidR="006D610B">
        <w:rPr>
          <w:rFonts w:ascii="Arial" w:hAnsi="Arial" w:cs="Arial"/>
        </w:rPr>
        <w:t xml:space="preserve"> and their dependents</w:t>
      </w:r>
      <w:r w:rsidR="0058738A">
        <w:rPr>
          <w:rFonts w:ascii="Arial" w:hAnsi="Arial" w:cs="Arial"/>
        </w:rPr>
        <w:t xml:space="preserve">; </w:t>
      </w:r>
      <w:r w:rsidRPr="00D36268">
        <w:rPr>
          <w:rFonts w:ascii="Arial" w:hAnsi="Arial" w:cs="Arial"/>
          <w:b/>
        </w:rPr>
        <w:t>(ii</w:t>
      </w:r>
      <w:r w:rsidR="00D36268" w:rsidRPr="00D36268">
        <w:rPr>
          <w:rFonts w:ascii="Arial" w:hAnsi="Arial" w:cs="Arial"/>
          <w:b/>
        </w:rPr>
        <w:t>i</w:t>
      </w:r>
      <w:r w:rsidRPr="00D36268">
        <w:rPr>
          <w:rFonts w:ascii="Arial" w:hAnsi="Arial" w:cs="Arial"/>
          <w:b/>
        </w:rPr>
        <w:t>)</w:t>
      </w:r>
      <w:r>
        <w:rPr>
          <w:rFonts w:ascii="Arial" w:hAnsi="Arial" w:cs="Arial"/>
        </w:rPr>
        <w:t xml:space="preserve"> </w:t>
      </w:r>
      <w:r w:rsidR="00911E06">
        <w:rPr>
          <w:rFonts w:ascii="Arial" w:hAnsi="Arial" w:cs="Arial"/>
        </w:rPr>
        <w:t xml:space="preserve">screening of </w:t>
      </w:r>
      <w:r w:rsidR="00880D97">
        <w:rPr>
          <w:rFonts w:ascii="Arial" w:hAnsi="Arial" w:cs="Arial"/>
        </w:rPr>
        <w:t xml:space="preserve">Tibetan </w:t>
      </w:r>
      <w:r w:rsidRPr="00B41E9A">
        <w:rPr>
          <w:rFonts w:ascii="Arial" w:hAnsi="Arial" w:cs="Arial"/>
        </w:rPr>
        <w:t>refugees</w:t>
      </w:r>
      <w:r>
        <w:rPr>
          <w:rFonts w:ascii="Arial" w:hAnsi="Arial" w:cs="Arial"/>
        </w:rPr>
        <w:t xml:space="preserve"> (</w:t>
      </w:r>
      <w:r w:rsidR="00880D97">
        <w:rPr>
          <w:rFonts w:ascii="Arial" w:hAnsi="Arial" w:cs="Arial"/>
        </w:rPr>
        <w:t xml:space="preserve">mostly in </w:t>
      </w:r>
      <w:r w:rsidR="00911E06">
        <w:rPr>
          <w:rFonts w:ascii="Arial" w:hAnsi="Arial" w:cs="Arial"/>
        </w:rPr>
        <w:t>camps</w:t>
      </w:r>
      <w:r w:rsidR="00D36268">
        <w:rPr>
          <w:rFonts w:ascii="Arial" w:hAnsi="Arial" w:cs="Arial"/>
        </w:rPr>
        <w:t xml:space="preserve">) will be conducted through community volunteers and diagnosed TB cases will be under CB-DOTS and </w:t>
      </w:r>
      <w:r w:rsidR="00D36268" w:rsidRPr="00D36268">
        <w:rPr>
          <w:rFonts w:ascii="Arial" w:hAnsi="Arial" w:cs="Arial"/>
          <w:b/>
        </w:rPr>
        <w:t>(iv</w:t>
      </w:r>
      <w:r w:rsidRPr="00D36268">
        <w:rPr>
          <w:rFonts w:ascii="Arial" w:hAnsi="Arial" w:cs="Arial"/>
          <w:b/>
        </w:rPr>
        <w:t>)</w:t>
      </w:r>
      <w:r>
        <w:rPr>
          <w:rFonts w:ascii="Arial" w:hAnsi="Arial" w:cs="Arial"/>
        </w:rPr>
        <w:t xml:space="preserve"> </w:t>
      </w:r>
      <w:r w:rsidR="00880D97">
        <w:rPr>
          <w:rFonts w:ascii="Arial" w:hAnsi="Arial" w:cs="Arial"/>
        </w:rPr>
        <w:t xml:space="preserve">similarly </w:t>
      </w:r>
      <w:r w:rsidR="00911E06">
        <w:rPr>
          <w:rFonts w:ascii="Arial" w:hAnsi="Arial" w:cs="Arial"/>
        </w:rPr>
        <w:t xml:space="preserve">screening of </w:t>
      </w:r>
      <w:r w:rsidRPr="00B41E9A">
        <w:rPr>
          <w:rFonts w:ascii="Arial" w:hAnsi="Arial" w:cs="Arial"/>
        </w:rPr>
        <w:t>internally displaced persons</w:t>
      </w:r>
      <w:r w:rsidR="00911E06">
        <w:rPr>
          <w:rFonts w:ascii="Arial" w:hAnsi="Arial" w:cs="Arial"/>
        </w:rPr>
        <w:t xml:space="preserve"> (IDPs)</w:t>
      </w:r>
      <w:r w:rsidR="008A7A50" w:rsidRPr="008A7A50">
        <w:rPr>
          <w:rFonts w:ascii="Arial" w:hAnsi="Arial" w:cs="Arial"/>
        </w:rPr>
        <w:t xml:space="preserve"> </w:t>
      </w:r>
      <w:r w:rsidR="008A7A50">
        <w:rPr>
          <w:rFonts w:ascii="Arial" w:hAnsi="Arial" w:cs="Arial"/>
        </w:rPr>
        <w:t>through community volunteers and diagnosed TB cases will be under CB-DOTS</w:t>
      </w:r>
      <w:r w:rsidR="0058738A">
        <w:rPr>
          <w:rFonts w:ascii="Arial" w:hAnsi="Arial" w:cs="Arial"/>
        </w:rPr>
        <w:t>.</w:t>
      </w:r>
    </w:p>
    <w:p w14:paraId="0CA7EC2C" w14:textId="4B4F210B" w:rsidR="007F0F77" w:rsidRDefault="007F0F77" w:rsidP="00F031A5">
      <w:pPr>
        <w:spacing w:after="0" w:line="240" w:lineRule="auto"/>
        <w:jc w:val="both"/>
        <w:rPr>
          <w:rFonts w:ascii="Arial" w:hAnsi="Arial" w:cs="Arial"/>
        </w:rPr>
      </w:pPr>
    </w:p>
    <w:p w14:paraId="7D61604C" w14:textId="313EC4EA" w:rsidR="006449A3" w:rsidRDefault="006449A3" w:rsidP="000016CC">
      <w:pPr>
        <w:spacing w:after="0" w:line="240" w:lineRule="auto"/>
        <w:jc w:val="both"/>
        <w:rPr>
          <w:rFonts w:ascii="Arial" w:hAnsi="Arial" w:cs="Arial"/>
          <w:b/>
        </w:rPr>
      </w:pPr>
      <w:r w:rsidRPr="000016CC">
        <w:rPr>
          <w:rFonts w:ascii="Arial" w:hAnsi="Arial" w:cs="Arial"/>
          <w:b/>
        </w:rPr>
        <w:t>Collaborative activities with all other programmes and sectors</w:t>
      </w:r>
    </w:p>
    <w:p w14:paraId="7FB03F3A" w14:textId="3ECEB37C" w:rsidR="00FB3147" w:rsidRDefault="00FA188A" w:rsidP="00B43D1D">
      <w:pPr>
        <w:spacing w:after="0" w:line="240" w:lineRule="auto"/>
        <w:jc w:val="both"/>
        <w:rPr>
          <w:rFonts w:ascii="Arial" w:hAnsi="Arial" w:cs="Arial"/>
        </w:rPr>
      </w:pPr>
      <w:r w:rsidRPr="00FA188A">
        <w:rPr>
          <w:rFonts w:ascii="Arial" w:hAnsi="Arial" w:cs="Arial"/>
          <w:b/>
        </w:rPr>
        <w:t>1</w:t>
      </w:r>
      <w:r w:rsidR="00E90084" w:rsidRPr="00FA188A">
        <w:rPr>
          <w:rFonts w:ascii="Arial" w:hAnsi="Arial" w:cs="Arial"/>
          <w:b/>
        </w:rPr>
        <w:t>)</w:t>
      </w:r>
      <w:r w:rsidR="00E90084" w:rsidRPr="00FA188A">
        <w:rPr>
          <w:rFonts w:ascii="Arial" w:hAnsi="Arial" w:cs="Arial"/>
        </w:rPr>
        <w:t xml:space="preserve"> </w:t>
      </w:r>
      <w:r w:rsidR="00142CD2" w:rsidRPr="00FA188A">
        <w:rPr>
          <w:rFonts w:ascii="Arial" w:hAnsi="Arial" w:cs="Arial"/>
          <w:u w:val="single"/>
        </w:rPr>
        <w:t>Childhood malnutrition and TB</w:t>
      </w:r>
      <w:r w:rsidR="00EF28ED" w:rsidRPr="00FA188A">
        <w:rPr>
          <w:rFonts w:ascii="Arial" w:hAnsi="Arial" w:cs="Arial"/>
        </w:rPr>
        <w:t xml:space="preserve"> </w:t>
      </w:r>
    </w:p>
    <w:p w14:paraId="196266F8" w14:textId="77777777" w:rsidR="00FA188A" w:rsidRDefault="00FA188A" w:rsidP="00FA188A">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0C64450D" w14:textId="5D0B1846" w:rsidR="007D0C47" w:rsidRDefault="00B43D1D" w:rsidP="00B43D1D">
      <w:pPr>
        <w:spacing w:after="0" w:line="240" w:lineRule="auto"/>
        <w:jc w:val="both"/>
        <w:rPr>
          <w:rFonts w:ascii="Arial" w:hAnsi="Arial" w:cs="Arial"/>
        </w:rPr>
      </w:pPr>
      <w:r w:rsidRPr="00FA188A">
        <w:rPr>
          <w:rFonts w:ascii="Arial" w:hAnsi="Arial" w:cs="Arial"/>
          <w:b/>
        </w:rPr>
        <w:lastRenderedPageBreak/>
        <w:t>(</w:t>
      </w:r>
      <w:proofErr w:type="spellStart"/>
      <w:r w:rsidRPr="00FA188A">
        <w:rPr>
          <w:rFonts w:ascii="Arial" w:hAnsi="Arial" w:cs="Arial"/>
          <w:b/>
        </w:rPr>
        <w:t>i</w:t>
      </w:r>
      <w:proofErr w:type="spellEnd"/>
      <w:r w:rsidRPr="00FA188A">
        <w:rPr>
          <w:rFonts w:ascii="Arial" w:hAnsi="Arial" w:cs="Arial"/>
          <w:b/>
        </w:rPr>
        <w:t>)</w:t>
      </w:r>
      <w:r>
        <w:rPr>
          <w:rFonts w:ascii="Arial" w:hAnsi="Arial" w:cs="Arial"/>
        </w:rPr>
        <w:t xml:space="preserve"> sensitization meetings and collaborative activities for TB screening in malnourished children</w:t>
      </w:r>
      <w:r w:rsidR="002F34C6">
        <w:rPr>
          <w:rFonts w:ascii="Arial" w:hAnsi="Arial" w:cs="Arial"/>
        </w:rPr>
        <w:t>:</w:t>
      </w:r>
      <w:r w:rsidR="00E578C1">
        <w:rPr>
          <w:rFonts w:ascii="Arial" w:hAnsi="Arial" w:cs="Arial"/>
        </w:rPr>
        <w:t xml:space="preserve"> severe acute malnutrition</w:t>
      </w:r>
      <w:r w:rsidR="00D65452">
        <w:rPr>
          <w:rFonts w:ascii="Arial" w:hAnsi="Arial" w:cs="Arial"/>
        </w:rPr>
        <w:t xml:space="preserve"> (SAM</w:t>
      </w:r>
      <w:r w:rsidR="00E578C1">
        <w:rPr>
          <w:rFonts w:ascii="Arial" w:hAnsi="Arial" w:cs="Arial"/>
        </w:rPr>
        <w:t>), moderate acute malnutrition</w:t>
      </w:r>
      <w:r w:rsidR="00D65452">
        <w:rPr>
          <w:rFonts w:ascii="Arial" w:hAnsi="Arial" w:cs="Arial"/>
        </w:rPr>
        <w:t xml:space="preserve"> </w:t>
      </w:r>
      <w:r w:rsidR="00E578C1">
        <w:rPr>
          <w:rFonts w:ascii="Arial" w:hAnsi="Arial" w:cs="Arial"/>
        </w:rPr>
        <w:t>(</w:t>
      </w:r>
      <w:r w:rsidR="00D65452">
        <w:rPr>
          <w:rFonts w:ascii="Arial" w:hAnsi="Arial" w:cs="Arial"/>
        </w:rPr>
        <w:t>MAM</w:t>
      </w:r>
      <w:r w:rsidR="00E578C1">
        <w:rPr>
          <w:rFonts w:ascii="Arial" w:hAnsi="Arial" w:cs="Arial"/>
        </w:rPr>
        <w:t>)</w:t>
      </w:r>
      <w:r w:rsidR="00D65452">
        <w:rPr>
          <w:rFonts w:ascii="Arial" w:hAnsi="Arial" w:cs="Arial"/>
        </w:rPr>
        <w:t xml:space="preserve"> and </w:t>
      </w:r>
      <w:r w:rsidR="00E578C1">
        <w:rPr>
          <w:rFonts w:ascii="Arial" w:hAnsi="Arial" w:cs="Arial"/>
        </w:rPr>
        <w:t>integrated management of neonatal and childhood illness (</w:t>
      </w:r>
      <w:r w:rsidR="00D65452">
        <w:rPr>
          <w:rFonts w:ascii="Arial" w:hAnsi="Arial" w:cs="Arial"/>
        </w:rPr>
        <w:t xml:space="preserve">IMNCI) </w:t>
      </w:r>
      <w:r>
        <w:rPr>
          <w:rFonts w:ascii="Arial" w:hAnsi="Arial" w:cs="Arial"/>
        </w:rPr>
        <w:t xml:space="preserve">in outreach units and health facilities; </w:t>
      </w:r>
      <w:r w:rsidRPr="00FA188A">
        <w:rPr>
          <w:rFonts w:ascii="Arial" w:hAnsi="Arial" w:cs="Arial"/>
          <w:b/>
        </w:rPr>
        <w:t>(ii)</w:t>
      </w:r>
      <w:r>
        <w:rPr>
          <w:rFonts w:ascii="Arial" w:hAnsi="Arial" w:cs="Arial"/>
        </w:rPr>
        <w:t xml:space="preserve"> support </w:t>
      </w:r>
      <w:r w:rsidR="006E050A">
        <w:rPr>
          <w:rFonts w:ascii="Arial" w:hAnsi="Arial" w:cs="Arial"/>
        </w:rPr>
        <w:t xml:space="preserve">accommodation and travel costs of </w:t>
      </w:r>
      <w:r>
        <w:rPr>
          <w:rFonts w:ascii="Arial" w:hAnsi="Arial" w:cs="Arial"/>
        </w:rPr>
        <w:t xml:space="preserve">family members of </w:t>
      </w:r>
      <w:r w:rsidR="006E050A">
        <w:rPr>
          <w:rFonts w:ascii="Arial" w:hAnsi="Arial" w:cs="Arial"/>
        </w:rPr>
        <w:t xml:space="preserve">malnourished children referred </w:t>
      </w:r>
      <w:r>
        <w:rPr>
          <w:rFonts w:ascii="Arial" w:hAnsi="Arial" w:cs="Arial"/>
        </w:rPr>
        <w:t xml:space="preserve">for TB screening; </w:t>
      </w:r>
      <w:r w:rsidRPr="00FA188A">
        <w:rPr>
          <w:rFonts w:ascii="Arial" w:hAnsi="Arial" w:cs="Arial"/>
          <w:b/>
        </w:rPr>
        <w:t>(iii)</w:t>
      </w:r>
      <w:r>
        <w:rPr>
          <w:rFonts w:ascii="Arial" w:hAnsi="Arial" w:cs="Arial"/>
        </w:rPr>
        <w:t xml:space="preserve"> </w:t>
      </w:r>
      <w:r w:rsidRPr="00097A63">
        <w:rPr>
          <w:rFonts w:ascii="Arial" w:hAnsi="Arial" w:cs="Arial"/>
        </w:rPr>
        <w:t xml:space="preserve">support for consultation fees </w:t>
      </w:r>
      <w:r w:rsidR="00097A63" w:rsidRPr="00097A63">
        <w:rPr>
          <w:rFonts w:ascii="Arial" w:hAnsi="Arial" w:cs="Arial"/>
        </w:rPr>
        <w:t xml:space="preserve">in major hospitals </w:t>
      </w:r>
      <w:r w:rsidRPr="00097A63">
        <w:rPr>
          <w:rFonts w:ascii="Arial" w:hAnsi="Arial" w:cs="Arial"/>
        </w:rPr>
        <w:t xml:space="preserve">for TB screening among children; </w:t>
      </w:r>
      <w:r w:rsidRPr="00097A63">
        <w:rPr>
          <w:rFonts w:ascii="Arial" w:hAnsi="Arial" w:cs="Arial"/>
          <w:b/>
        </w:rPr>
        <w:t>(</w:t>
      </w:r>
      <w:r w:rsidR="00B40E48" w:rsidRPr="00097A63">
        <w:rPr>
          <w:rFonts w:ascii="Arial" w:hAnsi="Arial" w:cs="Arial"/>
          <w:b/>
        </w:rPr>
        <w:t>iv)</w:t>
      </w:r>
      <w:r w:rsidR="00B40E48" w:rsidRPr="00097A63">
        <w:rPr>
          <w:rFonts w:ascii="Arial" w:hAnsi="Arial" w:cs="Arial"/>
        </w:rPr>
        <w:t xml:space="preserve"> s</w:t>
      </w:r>
      <w:r w:rsidR="00B40E48">
        <w:rPr>
          <w:rFonts w:ascii="Arial" w:hAnsi="Arial" w:cs="Arial"/>
        </w:rPr>
        <w:t xml:space="preserve">upport 2 district level staff for supervisory visits for TB screening among children in major hospitals; </w:t>
      </w:r>
      <w:r w:rsidR="00CC70BB" w:rsidRPr="00CC70BB">
        <w:rPr>
          <w:rFonts w:ascii="Arial" w:hAnsi="Arial" w:cs="Arial"/>
          <w:b/>
        </w:rPr>
        <w:t>(v)</w:t>
      </w:r>
      <w:r w:rsidR="00CC70BB">
        <w:rPr>
          <w:rFonts w:ascii="Arial" w:hAnsi="Arial" w:cs="Arial"/>
        </w:rPr>
        <w:t xml:space="preserve"> </w:t>
      </w:r>
      <w:r w:rsidR="00B40E48">
        <w:rPr>
          <w:rFonts w:ascii="Arial" w:hAnsi="Arial" w:cs="Arial"/>
        </w:rPr>
        <w:t xml:space="preserve">introduce FNAC for diagnosis of childhood TB in at least one in each district and link with the transportation system; </w:t>
      </w:r>
      <w:r w:rsidR="00B40E48" w:rsidRPr="00CC70BB">
        <w:rPr>
          <w:rFonts w:ascii="Arial" w:hAnsi="Arial" w:cs="Arial"/>
          <w:b/>
        </w:rPr>
        <w:t>(v</w:t>
      </w:r>
      <w:r w:rsidR="00BB7879">
        <w:rPr>
          <w:rFonts w:ascii="Arial" w:hAnsi="Arial" w:cs="Arial"/>
          <w:b/>
        </w:rPr>
        <w:t>i</w:t>
      </w:r>
      <w:r w:rsidR="00B40E48" w:rsidRPr="00CC70BB">
        <w:rPr>
          <w:rFonts w:ascii="Arial" w:hAnsi="Arial" w:cs="Arial"/>
          <w:b/>
        </w:rPr>
        <w:t xml:space="preserve">) </w:t>
      </w:r>
      <w:r w:rsidR="00B40E48">
        <w:rPr>
          <w:rFonts w:ascii="Arial" w:hAnsi="Arial" w:cs="Arial"/>
        </w:rPr>
        <w:t>initiate IPT in children;</w:t>
      </w:r>
      <w:r w:rsidR="00EC3CBE">
        <w:rPr>
          <w:rFonts w:ascii="Arial" w:hAnsi="Arial" w:cs="Arial"/>
        </w:rPr>
        <w:t xml:space="preserve"> </w:t>
      </w:r>
    </w:p>
    <w:p w14:paraId="042290CA" w14:textId="77777777" w:rsidR="00BB7879" w:rsidRDefault="00BB7879" w:rsidP="00B43D1D">
      <w:pPr>
        <w:spacing w:after="0" w:line="240" w:lineRule="auto"/>
        <w:jc w:val="both"/>
        <w:rPr>
          <w:rFonts w:ascii="Arial" w:hAnsi="Arial" w:cs="Arial"/>
        </w:rPr>
      </w:pPr>
    </w:p>
    <w:p w14:paraId="621CE691" w14:textId="22DE08FE" w:rsidR="005F6A32" w:rsidRDefault="00CC70BB" w:rsidP="005F6A32">
      <w:pPr>
        <w:spacing w:after="0" w:line="240" w:lineRule="auto"/>
        <w:jc w:val="both"/>
        <w:rPr>
          <w:rFonts w:ascii="Arial" w:hAnsi="Arial" w:cs="Arial"/>
        </w:rPr>
      </w:pPr>
      <w:r w:rsidRPr="00CC70BB">
        <w:rPr>
          <w:rFonts w:ascii="Arial" w:hAnsi="Arial" w:cs="Arial"/>
          <w:b/>
          <w:u w:val="single"/>
        </w:rPr>
        <w:t>2</w:t>
      </w:r>
      <w:r w:rsidR="00E90084" w:rsidRPr="00CC70BB">
        <w:rPr>
          <w:rFonts w:ascii="Arial" w:hAnsi="Arial" w:cs="Arial"/>
          <w:b/>
          <w:u w:val="single"/>
        </w:rPr>
        <w:t>)</w:t>
      </w:r>
      <w:r w:rsidR="00E90084">
        <w:rPr>
          <w:rFonts w:ascii="Arial" w:hAnsi="Arial" w:cs="Arial"/>
          <w:u w:val="single"/>
        </w:rPr>
        <w:t xml:space="preserve"> </w:t>
      </w:r>
      <w:r w:rsidR="005F6A32" w:rsidRPr="00BE0733">
        <w:rPr>
          <w:rFonts w:ascii="Arial" w:hAnsi="Arial" w:cs="Arial"/>
          <w:u w:val="single"/>
        </w:rPr>
        <w:t>Co-morbidity (TB and Diabetes)</w:t>
      </w:r>
      <w:r w:rsidR="005F6A32" w:rsidRPr="00BE0733">
        <w:rPr>
          <w:rFonts w:ascii="Arial" w:hAnsi="Arial" w:cs="Arial"/>
        </w:rPr>
        <w:t>:</w:t>
      </w:r>
      <w:r w:rsidR="005F6A32">
        <w:rPr>
          <w:rFonts w:ascii="Arial" w:hAnsi="Arial" w:cs="Arial"/>
        </w:rPr>
        <w:t xml:space="preserve"> The linkage between TB and diabetes has been demonstrated and WHO strongly advocates the fight against the dual epidemic</w:t>
      </w:r>
      <w:r w:rsidR="005F6A32">
        <w:rPr>
          <w:rStyle w:val="EndnoteReference"/>
          <w:rFonts w:ascii="Arial" w:hAnsi="Arial" w:cs="Arial"/>
        </w:rPr>
        <w:endnoteReference w:id="12"/>
      </w:r>
      <w:r w:rsidR="005F6A32">
        <w:rPr>
          <w:rFonts w:ascii="Arial" w:hAnsi="Arial" w:cs="Arial"/>
        </w:rPr>
        <w:t xml:space="preserve">.  </w:t>
      </w:r>
      <w:r w:rsidR="005F6A32" w:rsidRPr="00100C5F">
        <w:rPr>
          <w:rFonts w:ascii="Arial" w:hAnsi="Arial" w:cs="Arial"/>
        </w:rPr>
        <w:t>In Nepal, the pooled urban prevalence of type 2 diabetes was 8.1% (95% CI: 7.3–8.9%; I2=99.5%; P&lt;0.001) and rural prevalence of type 2 diabetes was 1.0% (95% CI: 0.7–1.3%; I2=94.2%; P&lt;0.001). Being a woman is a significant risk factor for diabetes in Nepal</w:t>
      </w:r>
      <w:r w:rsidR="005F6A32">
        <w:rPr>
          <w:rStyle w:val="EndnoteReference"/>
          <w:rFonts w:ascii="Arial" w:hAnsi="Arial" w:cs="Arial"/>
        </w:rPr>
        <w:endnoteReference w:id="13"/>
      </w:r>
      <w:r w:rsidR="005F6A32" w:rsidRPr="00100C5F">
        <w:rPr>
          <w:rFonts w:ascii="Arial" w:hAnsi="Arial" w:cs="Arial"/>
        </w:rPr>
        <w:t xml:space="preserve">. </w:t>
      </w:r>
    </w:p>
    <w:p w14:paraId="7AB95759" w14:textId="77777777" w:rsidR="00CC70BB" w:rsidRDefault="00D266D0" w:rsidP="005F6A32">
      <w:pPr>
        <w:spacing w:after="0" w:line="240" w:lineRule="auto"/>
        <w:jc w:val="both"/>
        <w:rPr>
          <w:rFonts w:ascii="Arial" w:eastAsia="Arial Unicode MS" w:hAnsi="Arial" w:cs="Arial"/>
        </w:rPr>
      </w:pPr>
      <w:r w:rsidRPr="00D266D0">
        <w:rPr>
          <w:rFonts w:ascii="Arial" w:hAnsi="Arial" w:cs="Arial"/>
        </w:rPr>
        <w:t>In Nepal, t</w:t>
      </w:r>
      <w:r w:rsidR="005F6A32" w:rsidRPr="00D266D0">
        <w:rPr>
          <w:rFonts w:ascii="Arial" w:hAnsi="Arial" w:cs="Arial"/>
        </w:rPr>
        <w:t>here</w:t>
      </w:r>
      <w:r w:rsidR="005F6A32" w:rsidRPr="007C57BB">
        <w:rPr>
          <w:rFonts w:ascii="Arial" w:hAnsi="Arial" w:cs="Arial"/>
        </w:rPr>
        <w:t xml:space="preserve"> are no current programmes coordinating TB and diabetes care</w:t>
      </w:r>
      <w:r w:rsidR="005F6A32">
        <w:rPr>
          <w:rFonts w:ascii="Arial" w:hAnsi="Arial" w:cs="Arial"/>
        </w:rPr>
        <w:t>.</w:t>
      </w:r>
      <w:r w:rsidR="005F6A32" w:rsidRPr="003867D0">
        <w:rPr>
          <w:rFonts w:ascii="Arial" w:hAnsi="Arial" w:cs="Arial"/>
        </w:rPr>
        <w:t xml:space="preserve"> </w:t>
      </w:r>
      <w:r w:rsidR="005F6A32">
        <w:rPr>
          <w:rFonts w:ascii="Arial" w:hAnsi="Arial" w:cs="Arial"/>
        </w:rPr>
        <w:t>In 2015, it was estimated that</w:t>
      </w:r>
      <w:r w:rsidR="005F6A32" w:rsidRPr="007C57BB">
        <w:rPr>
          <w:rFonts w:ascii="Arial" w:eastAsia="Arial Unicode MS" w:hAnsi="Arial" w:cs="Arial"/>
          <w:color w:val="000000" w:themeColor="text1"/>
          <w:shd w:val="clear" w:color="auto" w:fill="FFFFFF"/>
        </w:rPr>
        <w:t xml:space="preserve"> about 526,000 diabetics</w:t>
      </w:r>
      <w:r w:rsidR="005F6A32">
        <w:rPr>
          <w:rFonts w:ascii="Arial" w:eastAsia="Arial Unicode MS" w:hAnsi="Arial" w:cs="Arial"/>
          <w:color w:val="000000" w:themeColor="text1"/>
          <w:shd w:val="clear" w:color="auto" w:fill="FFFFFF"/>
        </w:rPr>
        <w:t xml:space="preserve"> were</w:t>
      </w:r>
      <w:r w:rsidR="005F6A32" w:rsidRPr="007C57BB">
        <w:rPr>
          <w:rFonts w:ascii="Arial" w:eastAsia="Arial Unicode MS" w:hAnsi="Arial" w:cs="Arial"/>
          <w:color w:val="000000" w:themeColor="text1"/>
          <w:shd w:val="clear" w:color="auto" w:fill="FFFFFF"/>
        </w:rPr>
        <w:t xml:space="preserve"> in </w:t>
      </w:r>
      <w:r w:rsidR="005F6A32">
        <w:rPr>
          <w:rFonts w:ascii="Arial" w:eastAsia="Arial Unicode MS" w:hAnsi="Arial" w:cs="Arial"/>
          <w:color w:val="000000" w:themeColor="text1"/>
          <w:shd w:val="clear" w:color="auto" w:fill="FFFFFF"/>
        </w:rPr>
        <w:t>Nepal.</w:t>
      </w:r>
      <w:r w:rsidR="005F6A32" w:rsidRPr="007C57BB">
        <w:rPr>
          <w:rFonts w:ascii="Arial" w:hAnsi="Arial" w:cs="Arial"/>
        </w:rPr>
        <w:t xml:space="preserve"> Only 1 in 5 health facilities offer services for diabetes (DM)</w:t>
      </w:r>
      <w:r w:rsidR="005F6A32">
        <w:rPr>
          <w:rFonts w:ascii="Arial" w:hAnsi="Arial" w:cs="Arial"/>
        </w:rPr>
        <w:t>,</w:t>
      </w:r>
      <w:r w:rsidR="005F6A32" w:rsidRPr="007C57BB">
        <w:rPr>
          <w:rFonts w:ascii="Arial" w:hAnsi="Arial" w:cs="Arial"/>
        </w:rPr>
        <w:t xml:space="preserve"> either diagnosis and/or management of DM.</w:t>
      </w:r>
      <w:r w:rsidR="005F6A32">
        <w:rPr>
          <w:rFonts w:ascii="Arial" w:eastAsia="Arial Unicode MS" w:hAnsi="Arial" w:cs="Arial"/>
          <w:color w:val="000000" w:themeColor="text1"/>
          <w:shd w:val="clear" w:color="auto" w:fill="FFFFFF"/>
        </w:rPr>
        <w:t xml:space="preserve"> Hence,</w:t>
      </w:r>
      <w:r w:rsidR="005F6A32" w:rsidRPr="007C57BB">
        <w:rPr>
          <w:rFonts w:ascii="Arial" w:eastAsia="Arial Unicode MS" w:hAnsi="Arial" w:cs="Arial"/>
          <w:color w:val="000000" w:themeColor="text1"/>
          <w:shd w:val="clear" w:color="auto" w:fill="FFFFFF"/>
        </w:rPr>
        <w:t xml:space="preserve"> </w:t>
      </w:r>
      <w:r w:rsidR="005F6A32" w:rsidRPr="007C57BB">
        <w:rPr>
          <w:rFonts w:ascii="Arial" w:eastAsia="Arial Unicode MS" w:hAnsi="Arial" w:cs="Arial"/>
        </w:rPr>
        <w:t xml:space="preserve">TB/DM </w:t>
      </w:r>
      <w:r w:rsidR="005F6A32">
        <w:rPr>
          <w:rFonts w:ascii="Arial" w:eastAsia="Arial Unicode MS" w:hAnsi="Arial" w:cs="Arial"/>
        </w:rPr>
        <w:t>co-morbidity</w:t>
      </w:r>
      <w:r w:rsidR="005F6A32" w:rsidRPr="007C57BB">
        <w:rPr>
          <w:rFonts w:ascii="Arial" w:eastAsia="Arial Unicode MS" w:hAnsi="Arial" w:cs="Arial"/>
        </w:rPr>
        <w:t xml:space="preserve"> programme will therefore </w:t>
      </w:r>
      <w:r w:rsidR="005F6A32">
        <w:rPr>
          <w:rFonts w:ascii="Arial" w:eastAsia="Arial Unicode MS" w:hAnsi="Arial" w:cs="Arial"/>
        </w:rPr>
        <w:t>be included in the</w:t>
      </w:r>
      <w:r w:rsidR="005F6A32" w:rsidRPr="007C57BB">
        <w:rPr>
          <w:rFonts w:ascii="Arial" w:eastAsia="Arial Unicode MS" w:hAnsi="Arial" w:cs="Arial"/>
        </w:rPr>
        <w:t xml:space="preserve"> PPM project</w:t>
      </w:r>
      <w:r w:rsidR="005F6A32">
        <w:rPr>
          <w:rFonts w:ascii="Arial" w:eastAsia="Arial Unicode MS" w:hAnsi="Arial" w:cs="Arial"/>
        </w:rPr>
        <w:t xml:space="preserve"> in collaboration with major hospitals and medical colleges initially in Kathmandu valley </w:t>
      </w:r>
      <w:r w:rsidR="005F6A32" w:rsidRPr="00C67C93">
        <w:rPr>
          <w:rFonts w:ascii="Arial" w:eastAsia="Arial Unicode MS" w:hAnsi="Arial" w:cs="Arial"/>
        </w:rPr>
        <w:t>(</w:t>
      </w:r>
      <w:r w:rsidR="005F6A32" w:rsidRPr="00C67C93">
        <w:rPr>
          <w:rFonts w:ascii="Arial" w:eastAsia="Arial Unicode MS" w:hAnsi="Arial" w:cs="Arial"/>
          <w:i/>
        </w:rPr>
        <w:t>Annex-7, p51</w:t>
      </w:r>
      <w:r w:rsidR="005F6A32" w:rsidRPr="00C67C93">
        <w:rPr>
          <w:rFonts w:ascii="Arial" w:eastAsia="Arial Unicode MS" w:hAnsi="Arial" w:cs="Arial"/>
        </w:rPr>
        <w:t>).</w:t>
      </w:r>
      <w:r w:rsidR="005F6A32">
        <w:rPr>
          <w:rFonts w:ascii="Arial" w:eastAsia="Arial Unicode MS" w:hAnsi="Arial" w:cs="Arial"/>
        </w:rPr>
        <w:t xml:space="preserve"> </w:t>
      </w:r>
    </w:p>
    <w:p w14:paraId="4E29BBF4" w14:textId="77777777" w:rsidR="00CC70BB" w:rsidRDefault="00CC70BB" w:rsidP="00CC70BB">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55DFE163" w14:textId="56497923" w:rsidR="005F6A32" w:rsidRDefault="00D266D0" w:rsidP="00B43D1D">
      <w:pPr>
        <w:spacing w:after="0" w:line="240" w:lineRule="auto"/>
        <w:jc w:val="both"/>
        <w:rPr>
          <w:rFonts w:ascii="Arial" w:hAnsi="Arial" w:cs="Arial"/>
        </w:rPr>
      </w:pPr>
      <w:r w:rsidRPr="00CC70BB">
        <w:rPr>
          <w:rFonts w:ascii="Arial" w:eastAsia="Arial Unicode MS" w:hAnsi="Arial" w:cs="Arial"/>
          <w:b/>
        </w:rPr>
        <w:t>(</w:t>
      </w:r>
      <w:proofErr w:type="spellStart"/>
      <w:r w:rsidRPr="00CC70BB">
        <w:rPr>
          <w:rFonts w:ascii="Arial" w:eastAsia="Arial Unicode MS" w:hAnsi="Arial" w:cs="Arial"/>
          <w:b/>
        </w:rPr>
        <w:t>i</w:t>
      </w:r>
      <w:proofErr w:type="spellEnd"/>
      <w:r w:rsidRPr="00CC70BB">
        <w:rPr>
          <w:rFonts w:ascii="Arial" w:eastAsia="Arial Unicode MS" w:hAnsi="Arial" w:cs="Arial"/>
          <w:b/>
        </w:rPr>
        <w:t>)</w:t>
      </w:r>
      <w:r>
        <w:rPr>
          <w:rFonts w:ascii="Arial" w:eastAsia="Arial Unicode MS" w:hAnsi="Arial" w:cs="Arial"/>
        </w:rPr>
        <w:t xml:space="preserve"> Orientation training for health care workers on DM; </w:t>
      </w:r>
      <w:r w:rsidRPr="00CC70BB">
        <w:rPr>
          <w:rFonts w:ascii="Arial" w:eastAsia="Arial Unicode MS" w:hAnsi="Arial" w:cs="Arial"/>
          <w:b/>
        </w:rPr>
        <w:t>(ii)</w:t>
      </w:r>
      <w:r>
        <w:rPr>
          <w:rFonts w:ascii="Arial" w:eastAsia="Arial Unicode MS" w:hAnsi="Arial" w:cs="Arial"/>
        </w:rPr>
        <w:t xml:space="preserve"> </w:t>
      </w:r>
      <w:r w:rsidR="00CC70BB">
        <w:rPr>
          <w:rFonts w:ascii="Arial" w:eastAsia="Arial Unicode MS" w:hAnsi="Arial" w:cs="Arial"/>
        </w:rPr>
        <w:t>orientation</w:t>
      </w:r>
      <w:r>
        <w:rPr>
          <w:rFonts w:ascii="Arial" w:eastAsia="Arial Unicode MS" w:hAnsi="Arial" w:cs="Arial"/>
        </w:rPr>
        <w:t xml:space="preserve"> meeting with endocrinologists</w:t>
      </w:r>
      <w:r w:rsidR="00CC70BB">
        <w:rPr>
          <w:rFonts w:ascii="Arial" w:eastAsia="Arial Unicode MS" w:hAnsi="Arial" w:cs="Arial"/>
        </w:rPr>
        <w:t xml:space="preserve"> for TB screening of diabetic patients</w:t>
      </w:r>
      <w:r>
        <w:rPr>
          <w:rFonts w:ascii="Arial" w:eastAsia="Arial Unicode MS" w:hAnsi="Arial" w:cs="Arial"/>
        </w:rPr>
        <w:t xml:space="preserve">; </w:t>
      </w:r>
      <w:r w:rsidRPr="00CC70BB">
        <w:rPr>
          <w:rFonts w:ascii="Arial" w:eastAsia="Arial Unicode MS" w:hAnsi="Arial" w:cs="Arial"/>
          <w:b/>
        </w:rPr>
        <w:t>(iii)</w:t>
      </w:r>
      <w:r>
        <w:rPr>
          <w:rFonts w:ascii="Arial" w:eastAsia="Arial Unicode MS" w:hAnsi="Arial" w:cs="Arial"/>
        </w:rPr>
        <w:t xml:space="preserve"> </w:t>
      </w:r>
      <w:r w:rsidR="00CC70BB">
        <w:rPr>
          <w:rFonts w:ascii="Arial" w:hAnsi="Arial" w:cs="Arial"/>
        </w:rPr>
        <w:t xml:space="preserve">consultation fees for doctors; </w:t>
      </w:r>
      <w:r w:rsidR="00CC70BB" w:rsidRPr="00CC70BB">
        <w:rPr>
          <w:rFonts w:ascii="Arial" w:hAnsi="Arial" w:cs="Arial"/>
          <w:b/>
        </w:rPr>
        <w:t>(iv)</w:t>
      </w:r>
      <w:r w:rsidR="00CC70BB">
        <w:rPr>
          <w:rFonts w:ascii="Arial" w:hAnsi="Arial" w:cs="Arial"/>
        </w:rPr>
        <w:t xml:space="preserve"> </w:t>
      </w:r>
      <w:r w:rsidR="00CC70BB" w:rsidRPr="008434F0">
        <w:rPr>
          <w:rFonts w:ascii="Arial" w:hAnsi="Arial" w:cs="Arial"/>
        </w:rPr>
        <w:t>provision of anti-TB treatment for patients with co-morbidity (TB and DM) at preferred health facility after notification to NTC.</w:t>
      </w:r>
      <w:r w:rsidR="00CC70BB">
        <w:rPr>
          <w:rFonts w:ascii="Arial" w:hAnsi="Arial" w:cs="Arial"/>
        </w:rPr>
        <w:t xml:space="preserve"> </w:t>
      </w:r>
    </w:p>
    <w:p w14:paraId="7E678866" w14:textId="77777777" w:rsidR="00CC70BB" w:rsidRDefault="00CC70BB" w:rsidP="00B43D1D">
      <w:pPr>
        <w:spacing w:after="0" w:line="240" w:lineRule="auto"/>
        <w:jc w:val="both"/>
        <w:rPr>
          <w:rFonts w:ascii="Arial" w:hAnsi="Arial" w:cs="Arial"/>
        </w:rPr>
      </w:pPr>
    </w:p>
    <w:p w14:paraId="20F90BA1" w14:textId="64F644DA" w:rsidR="00DC3546" w:rsidRDefault="00DC3546" w:rsidP="00B43D1D">
      <w:pPr>
        <w:spacing w:after="0" w:line="240" w:lineRule="auto"/>
        <w:jc w:val="both"/>
        <w:rPr>
          <w:rFonts w:ascii="Arial" w:hAnsi="Arial" w:cs="Arial"/>
        </w:rPr>
      </w:pPr>
      <w:r w:rsidRPr="00C6518B">
        <w:rPr>
          <w:rFonts w:ascii="Arial" w:hAnsi="Arial" w:cs="Arial"/>
          <w:b/>
        </w:rPr>
        <w:t>Outcome:</w:t>
      </w:r>
      <w:r>
        <w:rPr>
          <w:rFonts w:ascii="Arial" w:hAnsi="Arial" w:cs="Arial"/>
        </w:rPr>
        <w:t xml:space="preserve"> Investments of </w:t>
      </w:r>
      <w:r w:rsidR="008434F0">
        <w:rPr>
          <w:rFonts w:ascii="Arial" w:hAnsi="Arial" w:cs="Arial"/>
        </w:rPr>
        <w:t>US</w:t>
      </w:r>
      <w:r w:rsidR="00816347">
        <w:rPr>
          <w:rFonts w:ascii="Arial" w:hAnsi="Arial" w:cs="Arial"/>
        </w:rPr>
        <w:t>D</w:t>
      </w:r>
      <w:r w:rsidR="008434F0">
        <w:rPr>
          <w:rFonts w:ascii="Arial" w:hAnsi="Arial" w:cs="Arial"/>
        </w:rPr>
        <w:t xml:space="preserve"> </w:t>
      </w:r>
      <w:r w:rsidR="001078D8">
        <w:rPr>
          <w:rFonts w:ascii="Arial" w:hAnsi="Arial" w:cs="Arial"/>
        </w:rPr>
        <w:t>5.727</w:t>
      </w:r>
      <w:r w:rsidR="008434F0">
        <w:rPr>
          <w:rFonts w:ascii="Arial" w:hAnsi="Arial" w:cs="Arial"/>
        </w:rPr>
        <w:t xml:space="preserve"> million</w:t>
      </w:r>
      <w:r>
        <w:rPr>
          <w:rFonts w:ascii="Arial" w:hAnsi="Arial" w:cs="Arial"/>
        </w:rPr>
        <w:t xml:space="preserve"> in this module will help in 29</w:t>
      </w:r>
      <w:r w:rsidR="008434F0">
        <w:rPr>
          <w:rFonts w:ascii="Arial" w:hAnsi="Arial" w:cs="Arial"/>
        </w:rPr>
        <w:t>,</w:t>
      </w:r>
      <w:r>
        <w:rPr>
          <w:rFonts w:ascii="Arial" w:hAnsi="Arial" w:cs="Arial"/>
        </w:rPr>
        <w:t>842 cases (28%) out of 107,000 cases targeted by the program</w:t>
      </w:r>
      <w:r w:rsidR="008434F0">
        <w:rPr>
          <w:rFonts w:ascii="Arial" w:hAnsi="Arial" w:cs="Arial"/>
        </w:rPr>
        <w:t>me</w:t>
      </w:r>
      <w:r>
        <w:rPr>
          <w:rFonts w:ascii="Arial" w:hAnsi="Arial" w:cs="Arial"/>
        </w:rPr>
        <w:t>.</w:t>
      </w:r>
      <w:r w:rsidR="00F15DA4">
        <w:rPr>
          <w:rFonts w:ascii="Arial" w:hAnsi="Arial" w:cs="Arial"/>
        </w:rPr>
        <w:t xml:space="preserve"> This includes active case finding across 40 districts covering 79% of the country’s population. Institutionalization of the PPM task force mechanisms at </w:t>
      </w:r>
      <w:r w:rsidR="008434F0">
        <w:rPr>
          <w:rFonts w:ascii="Arial" w:hAnsi="Arial" w:cs="Arial"/>
        </w:rPr>
        <w:t>n</w:t>
      </w:r>
      <w:r w:rsidR="00F15DA4">
        <w:rPr>
          <w:rFonts w:ascii="Arial" w:hAnsi="Arial" w:cs="Arial"/>
        </w:rPr>
        <w:t>ational and provincial level</w:t>
      </w:r>
      <w:r w:rsidR="008434F0">
        <w:rPr>
          <w:rFonts w:ascii="Arial" w:hAnsi="Arial" w:cs="Arial"/>
        </w:rPr>
        <w:t>s</w:t>
      </w:r>
      <w:r w:rsidR="00F15DA4">
        <w:rPr>
          <w:rFonts w:ascii="Arial" w:hAnsi="Arial" w:cs="Arial"/>
        </w:rPr>
        <w:t xml:space="preserve"> with systematic involvement of 22 medical colleges reaching &gt;5</w:t>
      </w:r>
      <w:r w:rsidR="008434F0">
        <w:rPr>
          <w:rFonts w:ascii="Arial" w:hAnsi="Arial" w:cs="Arial"/>
        </w:rPr>
        <w:t>,</w:t>
      </w:r>
      <w:r w:rsidR="00F15DA4">
        <w:rPr>
          <w:rFonts w:ascii="Arial" w:hAnsi="Arial" w:cs="Arial"/>
        </w:rPr>
        <w:t xml:space="preserve">000 doctors, professional organizations </w:t>
      </w:r>
      <w:r w:rsidR="008434F0">
        <w:rPr>
          <w:rFonts w:ascii="Arial" w:hAnsi="Arial" w:cs="Arial"/>
        </w:rPr>
        <w:t>(</w:t>
      </w:r>
      <w:r w:rsidR="00F15DA4">
        <w:rPr>
          <w:rFonts w:ascii="Arial" w:hAnsi="Arial" w:cs="Arial"/>
        </w:rPr>
        <w:t>NMA, NCDA, NEPAS, MELAN</w:t>
      </w:r>
      <w:r w:rsidR="008434F0">
        <w:rPr>
          <w:rFonts w:ascii="Arial" w:hAnsi="Arial" w:cs="Arial"/>
        </w:rPr>
        <w:t>)</w:t>
      </w:r>
      <w:r w:rsidR="00F15DA4">
        <w:rPr>
          <w:rFonts w:ascii="Arial" w:hAnsi="Arial" w:cs="Arial"/>
        </w:rPr>
        <w:t xml:space="preserve"> targeting to reach &gt;10</w:t>
      </w:r>
      <w:r w:rsidR="008434F0">
        <w:rPr>
          <w:rFonts w:ascii="Arial" w:hAnsi="Arial" w:cs="Arial"/>
        </w:rPr>
        <w:t>,</w:t>
      </w:r>
      <w:r w:rsidR="00F15DA4">
        <w:rPr>
          <w:rFonts w:ascii="Arial" w:hAnsi="Arial" w:cs="Arial"/>
        </w:rPr>
        <w:t>000 prioritized providers through CMEs/conferences.</w:t>
      </w:r>
      <w:r>
        <w:rPr>
          <w:rFonts w:ascii="Arial" w:hAnsi="Arial" w:cs="Arial"/>
        </w:rPr>
        <w:t xml:space="preserve"> Th</w:t>
      </w:r>
      <w:r w:rsidR="00F15DA4">
        <w:rPr>
          <w:rFonts w:ascii="Arial" w:hAnsi="Arial" w:cs="Arial"/>
        </w:rPr>
        <w:t xml:space="preserve">e </w:t>
      </w:r>
      <w:proofErr w:type="gramStart"/>
      <w:r w:rsidR="00F15DA4">
        <w:rPr>
          <w:rFonts w:ascii="Arial" w:hAnsi="Arial" w:cs="Arial"/>
        </w:rPr>
        <w:t>investments</w:t>
      </w:r>
      <w:r>
        <w:rPr>
          <w:rFonts w:ascii="Arial" w:hAnsi="Arial" w:cs="Arial"/>
        </w:rPr>
        <w:t xml:space="preserve"> also includes</w:t>
      </w:r>
      <w:proofErr w:type="gramEnd"/>
      <w:r>
        <w:rPr>
          <w:rFonts w:ascii="Arial" w:hAnsi="Arial" w:cs="Arial"/>
        </w:rPr>
        <w:t xml:space="preserve"> support for FLDs for child formulations and IPT. This would cover screening and testing of 24</w:t>
      </w:r>
      <w:r w:rsidR="00C6518B">
        <w:rPr>
          <w:rFonts w:ascii="Arial" w:hAnsi="Arial" w:cs="Arial"/>
        </w:rPr>
        <w:t>,</w:t>
      </w:r>
      <w:r>
        <w:rPr>
          <w:rFonts w:ascii="Arial" w:hAnsi="Arial" w:cs="Arial"/>
        </w:rPr>
        <w:t>236 malnourished children across 607 prioritized health facilities and 74 major hospitals</w:t>
      </w:r>
      <w:r w:rsidR="00F15DA4">
        <w:rPr>
          <w:rFonts w:ascii="Arial" w:hAnsi="Arial" w:cs="Arial"/>
        </w:rPr>
        <w:t xml:space="preserve"> and enablers </w:t>
      </w:r>
      <w:r w:rsidR="00F15DA4" w:rsidRPr="00E05FA8">
        <w:rPr>
          <w:rFonts w:ascii="Arial" w:hAnsi="Arial" w:cs="Arial"/>
        </w:rPr>
        <w:t xml:space="preserve">for </w:t>
      </w:r>
      <w:r w:rsidR="00E05FA8" w:rsidRPr="00E05FA8">
        <w:rPr>
          <w:rFonts w:ascii="Arial" w:hAnsi="Arial" w:cs="Arial"/>
        </w:rPr>
        <w:t xml:space="preserve">families of </w:t>
      </w:r>
      <w:r w:rsidR="00F15DA4" w:rsidRPr="00E05FA8">
        <w:rPr>
          <w:rFonts w:ascii="Arial" w:hAnsi="Arial" w:cs="Arial"/>
        </w:rPr>
        <w:t>4</w:t>
      </w:r>
      <w:r w:rsidR="00C6518B" w:rsidRPr="00E05FA8">
        <w:rPr>
          <w:rFonts w:ascii="Arial" w:hAnsi="Arial" w:cs="Arial"/>
        </w:rPr>
        <w:t>,</w:t>
      </w:r>
      <w:r w:rsidR="00F15DA4" w:rsidRPr="00E05FA8">
        <w:rPr>
          <w:rFonts w:ascii="Arial" w:hAnsi="Arial" w:cs="Arial"/>
        </w:rPr>
        <w:t xml:space="preserve">500 children </w:t>
      </w:r>
      <w:r w:rsidR="00F44F0C">
        <w:rPr>
          <w:rFonts w:ascii="Arial" w:hAnsi="Arial" w:cs="Arial"/>
        </w:rPr>
        <w:t>receiving</w:t>
      </w:r>
      <w:r w:rsidR="00F15DA4" w:rsidRPr="00E05FA8">
        <w:rPr>
          <w:rFonts w:ascii="Arial" w:hAnsi="Arial" w:cs="Arial"/>
        </w:rPr>
        <w:t xml:space="preserve"> IPT</w:t>
      </w:r>
      <w:r w:rsidR="007C6A50" w:rsidRPr="00E05FA8">
        <w:rPr>
          <w:rFonts w:ascii="Arial" w:hAnsi="Arial" w:cs="Arial"/>
        </w:rPr>
        <w:t>.</w:t>
      </w:r>
      <w:r w:rsidR="007C6A50">
        <w:rPr>
          <w:rFonts w:ascii="Arial" w:hAnsi="Arial" w:cs="Arial"/>
        </w:rPr>
        <w:t xml:space="preserve"> This investment also includes a high</w:t>
      </w:r>
      <w:r w:rsidR="00C6518B">
        <w:rPr>
          <w:rFonts w:ascii="Arial" w:hAnsi="Arial" w:cs="Arial"/>
        </w:rPr>
        <w:t>-</w:t>
      </w:r>
      <w:r w:rsidR="007C6A50">
        <w:rPr>
          <w:rFonts w:ascii="Arial" w:hAnsi="Arial" w:cs="Arial"/>
        </w:rPr>
        <w:t>end technical support at provincial level</w:t>
      </w:r>
      <w:r w:rsidR="00C6518B">
        <w:rPr>
          <w:rFonts w:ascii="Arial" w:hAnsi="Arial" w:cs="Arial"/>
        </w:rPr>
        <w:t>s</w:t>
      </w:r>
      <w:r w:rsidR="007C6A50">
        <w:rPr>
          <w:rFonts w:ascii="Arial" w:hAnsi="Arial" w:cs="Arial"/>
        </w:rPr>
        <w:t xml:space="preserve"> to ensure capacity building of the 7 provincial units and </w:t>
      </w:r>
      <w:r w:rsidR="0062341A">
        <w:rPr>
          <w:rFonts w:ascii="Arial" w:hAnsi="Arial" w:cs="Arial"/>
        </w:rPr>
        <w:t>&gt;</w:t>
      </w:r>
      <w:r w:rsidR="007C6A50">
        <w:rPr>
          <w:rFonts w:ascii="Arial" w:hAnsi="Arial" w:cs="Arial"/>
        </w:rPr>
        <w:t xml:space="preserve">744 </w:t>
      </w:r>
      <w:r w:rsidR="0062341A">
        <w:rPr>
          <w:rFonts w:ascii="Arial" w:hAnsi="Arial" w:cs="Arial"/>
        </w:rPr>
        <w:t>local units (</w:t>
      </w:r>
      <w:proofErr w:type="spellStart"/>
      <w:r w:rsidR="007C6A50">
        <w:rPr>
          <w:rFonts w:ascii="Arial" w:hAnsi="Arial" w:cs="Arial"/>
        </w:rPr>
        <w:t>palika</w:t>
      </w:r>
      <w:r w:rsidR="00C6518B">
        <w:rPr>
          <w:rFonts w:ascii="Arial" w:hAnsi="Arial" w:cs="Arial"/>
        </w:rPr>
        <w:t>s</w:t>
      </w:r>
      <w:proofErr w:type="spellEnd"/>
      <w:r w:rsidR="0062341A">
        <w:rPr>
          <w:rFonts w:ascii="Arial" w:hAnsi="Arial" w:cs="Arial"/>
        </w:rPr>
        <w:t>)</w:t>
      </w:r>
      <w:r w:rsidR="007C6A50">
        <w:rPr>
          <w:rFonts w:ascii="Arial" w:hAnsi="Arial" w:cs="Arial"/>
        </w:rPr>
        <w:t xml:space="preserve"> to achieve the proposed outcome</w:t>
      </w:r>
      <w:r w:rsidR="00F15DA4">
        <w:rPr>
          <w:rFonts w:ascii="Arial" w:hAnsi="Arial" w:cs="Arial"/>
        </w:rPr>
        <w:t xml:space="preserve">. </w:t>
      </w:r>
    </w:p>
    <w:p w14:paraId="4BC67980" w14:textId="77777777" w:rsidR="00F15DA4" w:rsidRDefault="00F15DA4" w:rsidP="00B43D1D">
      <w:pPr>
        <w:spacing w:after="0" w:line="240" w:lineRule="auto"/>
        <w:jc w:val="both"/>
        <w:rPr>
          <w:rFonts w:ascii="Arial" w:hAnsi="Arial" w:cs="Arial"/>
        </w:rPr>
      </w:pPr>
    </w:p>
    <w:p w14:paraId="3F14ED32" w14:textId="00028E87" w:rsidR="00CE4D2B" w:rsidRPr="001C7492" w:rsidRDefault="001C7492" w:rsidP="001C7492">
      <w:pPr>
        <w:spacing w:after="0" w:line="240" w:lineRule="auto"/>
        <w:jc w:val="both"/>
        <w:rPr>
          <w:rFonts w:ascii="Arial" w:hAnsi="Arial" w:cs="Arial"/>
          <w:b/>
        </w:rPr>
      </w:pPr>
      <w:r>
        <w:rPr>
          <w:rFonts w:ascii="Arial" w:hAnsi="Arial" w:cs="Arial"/>
          <w:b/>
        </w:rPr>
        <w:t xml:space="preserve">B. </w:t>
      </w:r>
      <w:r w:rsidR="00CE4D2B" w:rsidRPr="001C7492">
        <w:rPr>
          <w:rFonts w:ascii="Arial" w:hAnsi="Arial" w:cs="Arial"/>
          <w:b/>
        </w:rPr>
        <w:t>Module: TB HIV</w:t>
      </w:r>
      <w:r w:rsidR="006449A3" w:rsidRPr="001C7492">
        <w:rPr>
          <w:rFonts w:ascii="Arial" w:hAnsi="Arial" w:cs="Arial"/>
          <w:b/>
        </w:rPr>
        <w:t xml:space="preserve"> collaborative interventions</w:t>
      </w:r>
    </w:p>
    <w:p w14:paraId="271D79AD" w14:textId="4385CED7" w:rsidR="00142CD2" w:rsidRDefault="008B7A89" w:rsidP="00142CD2">
      <w:pPr>
        <w:spacing w:after="0" w:line="240" w:lineRule="auto"/>
        <w:jc w:val="both"/>
        <w:rPr>
          <w:rFonts w:ascii="Arial" w:hAnsi="Arial" w:cs="Arial"/>
        </w:rPr>
      </w:pPr>
      <w:r>
        <w:rPr>
          <w:rFonts w:ascii="Arial" w:hAnsi="Arial" w:cs="Arial"/>
        </w:rPr>
        <w:t xml:space="preserve">Based on the </w:t>
      </w:r>
      <w:r w:rsidR="008E7C09">
        <w:rPr>
          <w:rFonts w:ascii="Arial" w:hAnsi="Arial" w:cs="Arial"/>
        </w:rPr>
        <w:t>NSP</w:t>
      </w:r>
      <w:r>
        <w:rPr>
          <w:rFonts w:ascii="Arial" w:hAnsi="Arial" w:cs="Arial"/>
        </w:rPr>
        <w:t xml:space="preserve"> targets</w:t>
      </w:r>
      <w:r w:rsidR="008E7C09">
        <w:rPr>
          <w:rFonts w:ascii="Arial" w:hAnsi="Arial" w:cs="Arial"/>
        </w:rPr>
        <w:t xml:space="preserve"> of the estimated TB cases:</w:t>
      </w:r>
      <w:r>
        <w:rPr>
          <w:rFonts w:ascii="Arial" w:hAnsi="Arial" w:cs="Arial"/>
        </w:rPr>
        <w:t xml:space="preserve"> 36,992 (2018), 37,855 (2019) and 40,524 (2020), </w:t>
      </w:r>
      <w:r w:rsidR="008E7C09">
        <w:rPr>
          <w:rFonts w:ascii="Arial" w:hAnsi="Arial" w:cs="Arial"/>
        </w:rPr>
        <w:t xml:space="preserve">the planned targets under the grant period are 33,500, 35,500 and 38,000 for the above 3 years. </w:t>
      </w:r>
      <w:r w:rsidR="00C52E38" w:rsidRPr="00C52E38">
        <w:rPr>
          <w:rFonts w:ascii="Arial" w:hAnsi="Arial" w:cs="Arial"/>
        </w:rPr>
        <w:t>The prevalence of HIV among TB is calculated as 5%, 4% and 3% for the period of three years (2018-2020) respectively.</w:t>
      </w:r>
      <w:r w:rsidR="00C52E38">
        <w:rPr>
          <w:rFonts w:ascii="Arial" w:hAnsi="Arial" w:cs="Arial"/>
        </w:rPr>
        <w:t xml:space="preserve"> </w:t>
      </w:r>
      <w:r w:rsidR="006C76A1">
        <w:rPr>
          <w:rFonts w:ascii="Arial" w:hAnsi="Arial" w:cs="Arial"/>
        </w:rPr>
        <w:t xml:space="preserve">The NSP envisioned </w:t>
      </w:r>
      <w:proofErr w:type="gramStart"/>
      <w:r w:rsidR="006C76A1">
        <w:rPr>
          <w:rFonts w:ascii="Arial" w:hAnsi="Arial" w:cs="Arial"/>
        </w:rPr>
        <w:t>to screen</w:t>
      </w:r>
      <w:proofErr w:type="gramEnd"/>
      <w:r w:rsidR="006C76A1">
        <w:rPr>
          <w:rFonts w:ascii="Arial" w:hAnsi="Arial" w:cs="Arial"/>
        </w:rPr>
        <w:t xml:space="preserve"> 5</w:t>
      </w:r>
      <w:r w:rsidR="001D488D">
        <w:rPr>
          <w:rFonts w:ascii="Arial" w:hAnsi="Arial" w:cs="Arial"/>
        </w:rPr>
        <w:t>0</w:t>
      </w:r>
      <w:r w:rsidR="006C76A1">
        <w:rPr>
          <w:rFonts w:ascii="Arial" w:hAnsi="Arial" w:cs="Arial"/>
        </w:rPr>
        <w:t xml:space="preserve">% of the TB </w:t>
      </w:r>
      <w:r w:rsidR="00461D99">
        <w:rPr>
          <w:rFonts w:ascii="Arial" w:hAnsi="Arial" w:cs="Arial"/>
        </w:rPr>
        <w:t>patients</w:t>
      </w:r>
      <w:r w:rsidR="006C76A1">
        <w:rPr>
          <w:rFonts w:ascii="Arial" w:hAnsi="Arial" w:cs="Arial"/>
        </w:rPr>
        <w:t xml:space="preserve"> for HIV in year-1, 7</w:t>
      </w:r>
      <w:r w:rsidR="001D488D">
        <w:rPr>
          <w:rFonts w:ascii="Arial" w:hAnsi="Arial" w:cs="Arial"/>
        </w:rPr>
        <w:t>0</w:t>
      </w:r>
      <w:r w:rsidR="006C76A1">
        <w:rPr>
          <w:rFonts w:ascii="Arial" w:hAnsi="Arial" w:cs="Arial"/>
        </w:rPr>
        <w:t>% in year-2 and 9</w:t>
      </w:r>
      <w:r w:rsidR="001D488D">
        <w:rPr>
          <w:rFonts w:ascii="Arial" w:hAnsi="Arial" w:cs="Arial"/>
        </w:rPr>
        <w:t>2</w:t>
      </w:r>
      <w:r w:rsidR="006C76A1">
        <w:rPr>
          <w:rFonts w:ascii="Arial" w:hAnsi="Arial" w:cs="Arial"/>
        </w:rPr>
        <w:t>% in year-3.</w:t>
      </w:r>
      <w:r w:rsidR="00BF47A5">
        <w:rPr>
          <w:rFonts w:ascii="Arial" w:hAnsi="Arial" w:cs="Arial"/>
        </w:rPr>
        <w:t xml:space="preserve"> </w:t>
      </w:r>
      <w:r w:rsidR="00142CD2">
        <w:rPr>
          <w:rFonts w:ascii="Arial" w:hAnsi="Arial" w:cs="Arial"/>
        </w:rPr>
        <w:t xml:space="preserve">There is a strong correlation of migration with HIV/AIDS, </w:t>
      </w:r>
      <w:r w:rsidR="00142CD2" w:rsidRPr="00CE304F">
        <w:rPr>
          <w:rFonts w:ascii="Arial" w:hAnsi="Arial" w:cs="Arial"/>
        </w:rPr>
        <w:t xml:space="preserve">Nepal’s 1.5 to 2 million labour migrants account for 46% of the country’s </w:t>
      </w:r>
      <w:r w:rsidR="00142CD2">
        <w:rPr>
          <w:rFonts w:ascii="Arial" w:hAnsi="Arial" w:cs="Arial"/>
        </w:rPr>
        <w:t>PLHIV (</w:t>
      </w:r>
      <w:r w:rsidR="00142CD2" w:rsidRPr="00DB7898">
        <w:rPr>
          <w:rFonts w:ascii="Arial" w:hAnsi="Arial" w:cs="Arial"/>
          <w:i/>
        </w:rPr>
        <w:t>Annex-5, p4</w:t>
      </w:r>
      <w:r w:rsidR="00142CD2">
        <w:rPr>
          <w:rFonts w:ascii="Arial" w:hAnsi="Arial" w:cs="Arial"/>
        </w:rPr>
        <w:t xml:space="preserve">). Hence, TB/HIV collaborative activities would include screening of seasonal migrant workers for both HIV and TB. </w:t>
      </w:r>
      <w:r w:rsidR="00C96484" w:rsidRPr="00B02B43">
        <w:rPr>
          <w:rFonts w:ascii="Arial" w:hAnsi="Arial" w:cs="Arial"/>
        </w:rPr>
        <w:t xml:space="preserve">Most antiretroviral therapy </w:t>
      </w:r>
      <w:r w:rsidR="00C96484">
        <w:rPr>
          <w:rFonts w:ascii="Arial" w:hAnsi="Arial" w:cs="Arial"/>
        </w:rPr>
        <w:t>(</w:t>
      </w:r>
      <w:r w:rsidR="00C96484" w:rsidRPr="00B02B43">
        <w:rPr>
          <w:rFonts w:ascii="Arial" w:hAnsi="Arial" w:cs="Arial"/>
        </w:rPr>
        <w:t>ART</w:t>
      </w:r>
      <w:r w:rsidR="00C96484">
        <w:rPr>
          <w:rFonts w:ascii="Arial" w:hAnsi="Arial" w:cs="Arial"/>
        </w:rPr>
        <w:t>)</w:t>
      </w:r>
      <w:r w:rsidR="00C96484" w:rsidRPr="00B02B43">
        <w:rPr>
          <w:rFonts w:ascii="Arial" w:hAnsi="Arial" w:cs="Arial"/>
        </w:rPr>
        <w:t xml:space="preserve"> centres in public health facilities have adopted ‘one-stop-shop-approach’ (</w:t>
      </w:r>
      <w:r w:rsidR="00C96484" w:rsidRPr="00B02B43">
        <w:rPr>
          <w:rFonts w:ascii="Arial" w:hAnsi="Arial" w:cs="Arial"/>
          <w:i/>
        </w:rPr>
        <w:t>Annex-19, p10</w:t>
      </w:r>
      <w:r w:rsidR="00C96484">
        <w:rPr>
          <w:rFonts w:ascii="Arial" w:hAnsi="Arial" w:cs="Arial"/>
          <w:i/>
        </w:rPr>
        <w:t>).</w:t>
      </w:r>
      <w:r w:rsidR="00C96484" w:rsidRPr="00C613ED">
        <w:rPr>
          <w:rFonts w:ascii="Arial" w:hAnsi="Arial" w:cs="Arial"/>
        </w:rPr>
        <w:t xml:space="preserve"> </w:t>
      </w:r>
      <w:r w:rsidR="00142CD2" w:rsidRPr="00D57C02">
        <w:rPr>
          <w:rFonts w:ascii="Arial" w:hAnsi="Arial" w:cs="Arial"/>
        </w:rPr>
        <w:t xml:space="preserve">The HIV test kits required for the HIV test of notified TB patients are covered from the procurement </w:t>
      </w:r>
      <w:r w:rsidR="00832B7E">
        <w:rPr>
          <w:rFonts w:ascii="Arial" w:hAnsi="Arial" w:cs="Arial"/>
        </w:rPr>
        <w:t>by</w:t>
      </w:r>
      <w:r w:rsidR="00142CD2" w:rsidRPr="00D57C02">
        <w:rPr>
          <w:rFonts w:ascii="Arial" w:hAnsi="Arial" w:cs="Arial"/>
        </w:rPr>
        <w:t xml:space="preserve"> NCASC</w:t>
      </w:r>
      <w:r w:rsidR="00142CD2">
        <w:rPr>
          <w:rFonts w:ascii="Arial" w:hAnsi="Arial" w:cs="Arial"/>
        </w:rPr>
        <w:t xml:space="preserve"> through </w:t>
      </w:r>
      <w:r w:rsidR="00142CD2" w:rsidRPr="00D57C02">
        <w:rPr>
          <w:rFonts w:ascii="Arial" w:hAnsi="Arial" w:cs="Arial"/>
        </w:rPr>
        <w:t>the GF</w:t>
      </w:r>
      <w:r w:rsidR="00142CD2">
        <w:rPr>
          <w:rFonts w:ascii="Arial" w:hAnsi="Arial" w:cs="Arial"/>
        </w:rPr>
        <w:t>;</w:t>
      </w:r>
      <w:r w:rsidR="00142CD2" w:rsidRPr="00D57C02">
        <w:rPr>
          <w:rFonts w:ascii="Arial" w:hAnsi="Arial" w:cs="Arial"/>
        </w:rPr>
        <w:t xml:space="preserve"> </w:t>
      </w:r>
      <w:r w:rsidR="00142CD2" w:rsidRPr="00E90084">
        <w:rPr>
          <w:rFonts w:ascii="Arial" w:hAnsi="Arial" w:cs="Arial"/>
        </w:rPr>
        <w:t xml:space="preserve">52% of total requirement of ARV </w:t>
      </w:r>
      <w:r w:rsidR="00832B7E">
        <w:rPr>
          <w:rFonts w:ascii="Arial" w:hAnsi="Arial" w:cs="Arial"/>
        </w:rPr>
        <w:t>will be</w:t>
      </w:r>
      <w:r w:rsidR="00142CD2" w:rsidRPr="00E90084">
        <w:rPr>
          <w:rFonts w:ascii="Arial" w:hAnsi="Arial" w:cs="Arial"/>
        </w:rPr>
        <w:t xml:space="preserve"> under the GF grant and the rest through domestic </w:t>
      </w:r>
      <w:r w:rsidR="00832B7E">
        <w:rPr>
          <w:rFonts w:ascii="Arial" w:hAnsi="Arial" w:cs="Arial"/>
        </w:rPr>
        <w:t>funds</w:t>
      </w:r>
      <w:r w:rsidR="00142CD2" w:rsidRPr="00E90084">
        <w:rPr>
          <w:rFonts w:ascii="Arial" w:hAnsi="Arial" w:cs="Arial"/>
        </w:rPr>
        <w:t>. Procurement of GX cartridges is included in the funding request.</w:t>
      </w:r>
      <w:r w:rsidR="00142CD2">
        <w:rPr>
          <w:rFonts w:ascii="Arial" w:hAnsi="Arial" w:cs="Arial"/>
        </w:rPr>
        <w:t xml:space="preserve"> </w:t>
      </w:r>
    </w:p>
    <w:p w14:paraId="2368C8F5" w14:textId="77777777" w:rsidR="00BF47A5" w:rsidRPr="00BF47A5" w:rsidRDefault="00BF47A5" w:rsidP="00BF47A5">
      <w:pPr>
        <w:spacing w:after="0" w:line="240" w:lineRule="auto"/>
        <w:jc w:val="both"/>
        <w:rPr>
          <w:rFonts w:ascii="Arial" w:hAnsi="Arial" w:cs="Arial"/>
          <w:u w:val="single"/>
        </w:rPr>
      </w:pPr>
      <w:r w:rsidRPr="00BF47A5">
        <w:rPr>
          <w:rFonts w:ascii="Arial" w:hAnsi="Arial" w:cs="Arial"/>
          <w:u w:val="single"/>
        </w:rPr>
        <w:t>Activities to address the key gaps include:</w:t>
      </w:r>
    </w:p>
    <w:p w14:paraId="68A99E3C" w14:textId="6F064623" w:rsidR="00A13A73" w:rsidRPr="00E855CB" w:rsidRDefault="005B7BF6" w:rsidP="00C52BD5">
      <w:pPr>
        <w:pStyle w:val="ListParagraph"/>
        <w:numPr>
          <w:ilvl w:val="0"/>
          <w:numId w:val="14"/>
        </w:numPr>
        <w:spacing w:after="0" w:line="240" w:lineRule="auto"/>
        <w:jc w:val="both"/>
        <w:rPr>
          <w:rFonts w:ascii="Arial" w:hAnsi="Arial" w:cs="Arial"/>
        </w:rPr>
      </w:pPr>
      <w:r w:rsidRPr="00E855CB">
        <w:rPr>
          <w:rFonts w:ascii="Arial" w:hAnsi="Arial" w:cs="Arial"/>
        </w:rPr>
        <w:lastRenderedPageBreak/>
        <w:t>Meeting to d</w:t>
      </w:r>
      <w:r w:rsidR="00A13A73" w:rsidRPr="00E855CB">
        <w:rPr>
          <w:rFonts w:ascii="Arial" w:hAnsi="Arial" w:cs="Arial"/>
        </w:rPr>
        <w:t xml:space="preserve">evelop and design implementation framework </w:t>
      </w:r>
      <w:r w:rsidR="00FE017A" w:rsidRPr="00E855CB">
        <w:rPr>
          <w:rFonts w:ascii="Arial" w:hAnsi="Arial" w:cs="Arial"/>
        </w:rPr>
        <w:t xml:space="preserve">and SOP </w:t>
      </w:r>
      <w:r w:rsidR="00A13A73" w:rsidRPr="00E855CB">
        <w:rPr>
          <w:rFonts w:ascii="Arial" w:hAnsi="Arial" w:cs="Arial"/>
        </w:rPr>
        <w:t>jointly with NCASC</w:t>
      </w:r>
      <w:r w:rsidR="00E855CB" w:rsidRPr="00E855CB">
        <w:rPr>
          <w:rFonts w:ascii="Arial" w:hAnsi="Arial" w:cs="Arial"/>
        </w:rPr>
        <w:t xml:space="preserve"> to facilitate </w:t>
      </w:r>
      <w:r w:rsidR="00A13A73" w:rsidRPr="00E855CB">
        <w:rPr>
          <w:rFonts w:ascii="Arial" w:hAnsi="Arial" w:cs="Arial"/>
        </w:rPr>
        <w:t>cross-referral mechanisms for testing of TB patients for HIV and PLHIV for TB</w:t>
      </w:r>
    </w:p>
    <w:p w14:paraId="338F9108" w14:textId="2EC0EB02" w:rsidR="0018529C" w:rsidRPr="00E855CB" w:rsidRDefault="0018529C" w:rsidP="00EE05FE">
      <w:pPr>
        <w:pStyle w:val="ListParagraph"/>
        <w:numPr>
          <w:ilvl w:val="0"/>
          <w:numId w:val="14"/>
        </w:numPr>
        <w:spacing w:after="0" w:line="240" w:lineRule="auto"/>
        <w:jc w:val="both"/>
        <w:rPr>
          <w:rFonts w:ascii="Arial" w:hAnsi="Arial" w:cs="Arial"/>
        </w:rPr>
      </w:pPr>
      <w:r w:rsidRPr="00E855CB">
        <w:rPr>
          <w:rFonts w:ascii="Arial" w:hAnsi="Arial" w:cs="Arial"/>
        </w:rPr>
        <w:t xml:space="preserve">Participate in the cluster camps to screen seasonal migrant workers for TB and HIV </w:t>
      </w:r>
    </w:p>
    <w:p w14:paraId="4E2843B4" w14:textId="5C0F8C9F" w:rsidR="00A13A73" w:rsidRPr="00E855CB" w:rsidRDefault="00A13A73" w:rsidP="00EE05FE">
      <w:pPr>
        <w:pStyle w:val="ListParagraph"/>
        <w:numPr>
          <w:ilvl w:val="0"/>
          <w:numId w:val="14"/>
        </w:numPr>
        <w:spacing w:after="0" w:line="240" w:lineRule="auto"/>
        <w:jc w:val="both"/>
        <w:rPr>
          <w:rFonts w:ascii="Arial" w:hAnsi="Arial" w:cs="Arial"/>
        </w:rPr>
      </w:pPr>
      <w:r w:rsidRPr="00E855CB">
        <w:rPr>
          <w:rFonts w:ascii="Arial" w:hAnsi="Arial" w:cs="Arial"/>
        </w:rPr>
        <w:t>Conduct bi-annual evaluation of the collaboration</w:t>
      </w:r>
      <w:r w:rsidR="00E855CB" w:rsidRPr="00E855CB">
        <w:rPr>
          <w:rFonts w:ascii="Arial" w:hAnsi="Arial" w:cs="Arial"/>
        </w:rPr>
        <w:t xml:space="preserve"> at the national level to discuss technical and management issues.  </w:t>
      </w:r>
    </w:p>
    <w:p w14:paraId="78D2C9FF" w14:textId="63792545" w:rsidR="00A13A73" w:rsidRPr="00FE017A" w:rsidRDefault="005B7BF6" w:rsidP="00EE05FE">
      <w:pPr>
        <w:pStyle w:val="ListParagraph"/>
        <w:numPr>
          <w:ilvl w:val="0"/>
          <w:numId w:val="14"/>
        </w:numPr>
        <w:spacing w:after="0" w:line="240" w:lineRule="auto"/>
        <w:jc w:val="both"/>
        <w:rPr>
          <w:rFonts w:ascii="Arial" w:hAnsi="Arial" w:cs="Arial"/>
          <w:bCs/>
          <w:lang w:val="en-US"/>
        </w:rPr>
      </w:pPr>
      <w:r w:rsidRPr="00FE017A">
        <w:rPr>
          <w:rFonts w:ascii="Arial" w:hAnsi="Arial" w:cs="Arial"/>
          <w:bCs/>
          <w:lang w:val="en-US"/>
        </w:rPr>
        <w:t>Orientation meeting on TB/HIV for the</w:t>
      </w:r>
      <w:r w:rsidR="00A13A73" w:rsidRPr="00FE017A">
        <w:rPr>
          <w:rFonts w:ascii="Arial" w:hAnsi="Arial" w:cs="Arial"/>
          <w:bCs/>
          <w:lang w:val="en-US"/>
        </w:rPr>
        <w:t xml:space="preserve"> HIV network</w:t>
      </w:r>
      <w:r w:rsidRPr="00FE017A">
        <w:rPr>
          <w:rFonts w:ascii="Arial" w:hAnsi="Arial" w:cs="Arial"/>
          <w:bCs/>
          <w:lang w:val="en-US"/>
        </w:rPr>
        <w:t xml:space="preserve"> (KAP)</w:t>
      </w:r>
      <w:r w:rsidR="00A13A73" w:rsidRPr="00FE017A">
        <w:rPr>
          <w:rFonts w:ascii="Arial" w:hAnsi="Arial" w:cs="Arial"/>
          <w:bCs/>
          <w:lang w:val="en-US"/>
        </w:rPr>
        <w:t xml:space="preserve"> </w:t>
      </w:r>
    </w:p>
    <w:p w14:paraId="499C285B" w14:textId="2E2740EC" w:rsidR="00A13A73" w:rsidRPr="00FE017A" w:rsidRDefault="00E855CB" w:rsidP="00EE05FE">
      <w:pPr>
        <w:pStyle w:val="ListParagraph"/>
        <w:numPr>
          <w:ilvl w:val="0"/>
          <w:numId w:val="14"/>
        </w:numPr>
        <w:spacing w:after="0" w:line="240" w:lineRule="auto"/>
        <w:jc w:val="both"/>
        <w:rPr>
          <w:rFonts w:ascii="Arial" w:hAnsi="Arial" w:cs="Arial"/>
          <w:bCs/>
          <w:lang w:val="en-US"/>
        </w:rPr>
      </w:pPr>
      <w:r>
        <w:rPr>
          <w:rFonts w:ascii="Arial" w:hAnsi="Arial" w:cs="Arial"/>
          <w:bCs/>
          <w:lang w:val="en-US"/>
        </w:rPr>
        <w:t>Train lab staff (</w:t>
      </w:r>
      <w:r w:rsidRPr="00FE017A">
        <w:rPr>
          <w:rFonts w:ascii="Arial" w:hAnsi="Arial" w:cs="Arial"/>
          <w:bCs/>
          <w:lang w:val="en-US"/>
        </w:rPr>
        <w:t xml:space="preserve">NTC </w:t>
      </w:r>
      <w:r>
        <w:rPr>
          <w:rFonts w:ascii="Arial" w:hAnsi="Arial" w:cs="Arial"/>
          <w:bCs/>
          <w:lang w:val="en-US"/>
        </w:rPr>
        <w:t xml:space="preserve">and </w:t>
      </w:r>
      <w:r w:rsidRPr="00FE017A">
        <w:rPr>
          <w:rFonts w:ascii="Arial" w:hAnsi="Arial" w:cs="Arial"/>
          <w:bCs/>
          <w:lang w:val="en-US"/>
        </w:rPr>
        <w:t>NCASC</w:t>
      </w:r>
      <w:r>
        <w:rPr>
          <w:rFonts w:ascii="Arial" w:hAnsi="Arial" w:cs="Arial"/>
          <w:bCs/>
          <w:lang w:val="en-US"/>
        </w:rPr>
        <w:t>)</w:t>
      </w:r>
      <w:r w:rsidRPr="00FE017A">
        <w:rPr>
          <w:rFonts w:ascii="Arial" w:hAnsi="Arial" w:cs="Arial"/>
          <w:bCs/>
          <w:lang w:val="en-US"/>
        </w:rPr>
        <w:t xml:space="preserve"> </w:t>
      </w:r>
      <w:r w:rsidR="00A13A73" w:rsidRPr="00FE017A">
        <w:rPr>
          <w:rFonts w:ascii="Arial" w:hAnsi="Arial" w:cs="Arial"/>
          <w:bCs/>
          <w:lang w:val="en-US"/>
        </w:rPr>
        <w:t xml:space="preserve">on GX </w:t>
      </w:r>
      <w:r>
        <w:rPr>
          <w:rFonts w:ascii="Arial" w:hAnsi="Arial" w:cs="Arial"/>
          <w:bCs/>
          <w:lang w:val="en-US"/>
        </w:rPr>
        <w:t>including maintenance</w:t>
      </w:r>
    </w:p>
    <w:p w14:paraId="47F879D4" w14:textId="27D3DC43" w:rsidR="00F557D7" w:rsidRPr="00690D7B" w:rsidRDefault="00F557D7" w:rsidP="00A13A73">
      <w:pPr>
        <w:spacing w:after="0" w:line="240" w:lineRule="auto"/>
        <w:jc w:val="both"/>
        <w:rPr>
          <w:rFonts w:ascii="Arial" w:hAnsi="Arial" w:cs="Arial"/>
          <w:bCs/>
        </w:rPr>
      </w:pPr>
      <w:r w:rsidRPr="00690D7B">
        <w:rPr>
          <w:rFonts w:ascii="Arial" w:hAnsi="Arial" w:cs="Arial"/>
          <w:b/>
        </w:rPr>
        <w:t xml:space="preserve">Outcome: </w:t>
      </w:r>
      <w:r w:rsidRPr="00690D7B">
        <w:rPr>
          <w:rFonts w:ascii="Arial" w:hAnsi="Arial" w:cs="Arial"/>
          <w:bCs/>
        </w:rPr>
        <w:t xml:space="preserve">The investment of </w:t>
      </w:r>
      <w:r w:rsidR="00C6518B">
        <w:rPr>
          <w:rFonts w:ascii="Arial" w:hAnsi="Arial" w:cs="Arial"/>
          <w:bCs/>
        </w:rPr>
        <w:t xml:space="preserve">US$ </w:t>
      </w:r>
      <w:r w:rsidR="001D488D">
        <w:rPr>
          <w:rFonts w:ascii="Arial" w:hAnsi="Arial" w:cs="Arial"/>
          <w:bCs/>
        </w:rPr>
        <w:t xml:space="preserve">430 </w:t>
      </w:r>
      <w:r w:rsidR="00C6518B">
        <w:rPr>
          <w:rFonts w:ascii="Arial" w:hAnsi="Arial" w:cs="Arial"/>
          <w:bCs/>
        </w:rPr>
        <w:t>K</w:t>
      </w:r>
      <w:r w:rsidRPr="00690D7B">
        <w:rPr>
          <w:rFonts w:ascii="Arial" w:hAnsi="Arial" w:cs="Arial"/>
          <w:bCs/>
        </w:rPr>
        <w:t xml:space="preserve"> in this module will help in reaching additional </w:t>
      </w:r>
      <w:r w:rsidR="00CD6659">
        <w:rPr>
          <w:rFonts w:ascii="Arial" w:hAnsi="Arial" w:cs="Arial"/>
          <w:bCs/>
        </w:rPr>
        <w:t>87,120</w:t>
      </w:r>
      <w:r w:rsidRPr="00690D7B">
        <w:rPr>
          <w:rFonts w:ascii="Arial" w:hAnsi="Arial" w:cs="Arial"/>
          <w:bCs/>
        </w:rPr>
        <w:t xml:space="preserve"> TB patients to know their HIV status from current 18% to reach out to </w:t>
      </w:r>
      <w:r w:rsidR="00CD6659">
        <w:rPr>
          <w:rFonts w:ascii="Arial" w:hAnsi="Arial" w:cs="Arial"/>
          <w:bCs/>
        </w:rPr>
        <w:t>95</w:t>
      </w:r>
      <w:r w:rsidRPr="00690D7B">
        <w:rPr>
          <w:rFonts w:ascii="Arial" w:hAnsi="Arial" w:cs="Arial"/>
          <w:bCs/>
        </w:rPr>
        <w:t>% of TB patients for having access to HIV counselling and testing services</w:t>
      </w:r>
      <w:r w:rsidR="00CD6659">
        <w:rPr>
          <w:rFonts w:ascii="Arial" w:hAnsi="Arial" w:cs="Arial"/>
          <w:bCs/>
        </w:rPr>
        <w:t xml:space="preserve"> by end of the project</w:t>
      </w:r>
      <w:r w:rsidRPr="00690D7B">
        <w:rPr>
          <w:rFonts w:ascii="Arial" w:hAnsi="Arial" w:cs="Arial"/>
          <w:bCs/>
        </w:rPr>
        <w:t xml:space="preserve">. </w:t>
      </w:r>
      <w:r w:rsidR="00E91323" w:rsidRPr="00690D7B">
        <w:rPr>
          <w:rFonts w:ascii="Arial" w:hAnsi="Arial" w:cs="Arial"/>
          <w:bCs/>
        </w:rPr>
        <w:t xml:space="preserve">This will enable </w:t>
      </w:r>
      <w:r w:rsidR="00CD6659">
        <w:rPr>
          <w:rFonts w:ascii="Arial" w:hAnsi="Arial" w:cs="Arial"/>
          <w:bCs/>
        </w:rPr>
        <w:t>to reach 100% of the</w:t>
      </w:r>
      <w:r w:rsidR="00D25FA0">
        <w:rPr>
          <w:rFonts w:ascii="Arial" w:hAnsi="Arial" w:cs="Arial"/>
          <w:bCs/>
        </w:rPr>
        <w:t xml:space="preserve"> </w:t>
      </w:r>
      <w:r w:rsidR="00E91323" w:rsidRPr="00690D7B">
        <w:rPr>
          <w:rFonts w:ascii="Arial" w:hAnsi="Arial" w:cs="Arial"/>
          <w:bCs/>
        </w:rPr>
        <w:t>co-infected patients</w:t>
      </w:r>
      <w:r w:rsidR="00D25FA0">
        <w:rPr>
          <w:rFonts w:ascii="Arial" w:hAnsi="Arial" w:cs="Arial"/>
          <w:bCs/>
        </w:rPr>
        <w:t xml:space="preserve"> </w:t>
      </w:r>
      <w:r w:rsidR="00E91323" w:rsidRPr="00690D7B">
        <w:rPr>
          <w:rFonts w:ascii="Arial" w:hAnsi="Arial" w:cs="Arial"/>
          <w:bCs/>
        </w:rPr>
        <w:t>to access to ARV services</w:t>
      </w:r>
      <w:r w:rsidR="00CD6659">
        <w:rPr>
          <w:rFonts w:ascii="Arial" w:hAnsi="Arial" w:cs="Arial"/>
          <w:bCs/>
        </w:rPr>
        <w:t xml:space="preserve"> from the base line of 89% and enable 48% of the total co-infected patients to access to ARV services through GF investment, wh</w:t>
      </w:r>
      <w:r w:rsidR="00D25FA0">
        <w:rPr>
          <w:rFonts w:ascii="Arial" w:hAnsi="Arial" w:cs="Arial"/>
          <w:bCs/>
        </w:rPr>
        <w:t xml:space="preserve">ile the remaining </w:t>
      </w:r>
      <w:r w:rsidR="00D14F59">
        <w:rPr>
          <w:rFonts w:ascii="Arial" w:hAnsi="Arial" w:cs="Arial"/>
          <w:bCs/>
        </w:rPr>
        <w:t>(</w:t>
      </w:r>
      <w:r w:rsidR="00D25FA0">
        <w:rPr>
          <w:rFonts w:ascii="Arial" w:hAnsi="Arial" w:cs="Arial"/>
          <w:bCs/>
        </w:rPr>
        <w:t>52%</w:t>
      </w:r>
      <w:r w:rsidR="00D14F59">
        <w:rPr>
          <w:rFonts w:ascii="Arial" w:hAnsi="Arial" w:cs="Arial"/>
          <w:bCs/>
        </w:rPr>
        <w:t>)</w:t>
      </w:r>
      <w:r w:rsidR="00D25FA0">
        <w:rPr>
          <w:rFonts w:ascii="Arial" w:hAnsi="Arial" w:cs="Arial"/>
          <w:bCs/>
        </w:rPr>
        <w:t xml:space="preserve"> will be supported by </w:t>
      </w:r>
      <w:proofErr w:type="spellStart"/>
      <w:r w:rsidR="00D25FA0">
        <w:rPr>
          <w:rFonts w:ascii="Arial" w:hAnsi="Arial" w:cs="Arial"/>
          <w:bCs/>
        </w:rPr>
        <w:t>GoN</w:t>
      </w:r>
      <w:proofErr w:type="spellEnd"/>
      <w:r w:rsidR="00E91323" w:rsidRPr="00690D7B">
        <w:rPr>
          <w:rFonts w:ascii="Arial" w:hAnsi="Arial" w:cs="Arial"/>
          <w:bCs/>
        </w:rPr>
        <w:t xml:space="preserve"> </w:t>
      </w:r>
      <w:r w:rsidR="00D25FA0">
        <w:rPr>
          <w:rFonts w:ascii="Arial" w:hAnsi="Arial" w:cs="Arial"/>
          <w:bCs/>
        </w:rPr>
        <w:t xml:space="preserve">funds. </w:t>
      </w:r>
      <w:r w:rsidR="00530B0A" w:rsidRPr="00690D7B">
        <w:rPr>
          <w:rFonts w:ascii="Arial" w:hAnsi="Arial" w:cs="Arial"/>
          <w:bCs/>
        </w:rPr>
        <w:t xml:space="preserve">The investments also include provision of </w:t>
      </w:r>
      <w:r w:rsidR="00113970" w:rsidRPr="00CA46AF">
        <w:rPr>
          <w:rFonts w:ascii="Arial" w:hAnsi="Arial" w:cs="Arial"/>
          <w:bCs/>
        </w:rPr>
        <w:t>2</w:t>
      </w:r>
      <w:r w:rsidR="000A2661">
        <w:rPr>
          <w:rFonts w:ascii="Arial" w:hAnsi="Arial" w:cs="Arial"/>
          <w:bCs/>
        </w:rPr>
        <w:t>6</w:t>
      </w:r>
      <w:r w:rsidR="00C6518B" w:rsidRPr="00CA46AF">
        <w:rPr>
          <w:rFonts w:ascii="Arial" w:hAnsi="Arial" w:cs="Arial"/>
          <w:bCs/>
        </w:rPr>
        <w:t>,</w:t>
      </w:r>
      <w:r w:rsidR="00113970" w:rsidRPr="00CA46AF">
        <w:rPr>
          <w:rFonts w:ascii="Arial" w:hAnsi="Arial" w:cs="Arial"/>
          <w:bCs/>
        </w:rPr>
        <w:t>0</w:t>
      </w:r>
      <w:r w:rsidR="00530B0A" w:rsidRPr="00CA46AF">
        <w:rPr>
          <w:rFonts w:ascii="Arial" w:hAnsi="Arial" w:cs="Arial"/>
          <w:bCs/>
        </w:rPr>
        <w:t>00</w:t>
      </w:r>
      <w:r w:rsidR="00530B0A" w:rsidRPr="00690D7B">
        <w:rPr>
          <w:rFonts w:ascii="Arial" w:hAnsi="Arial" w:cs="Arial"/>
          <w:bCs/>
        </w:rPr>
        <w:t xml:space="preserve"> </w:t>
      </w:r>
      <w:proofErr w:type="spellStart"/>
      <w:r w:rsidR="00690D7B">
        <w:rPr>
          <w:rFonts w:ascii="Arial" w:hAnsi="Arial" w:cs="Arial"/>
          <w:bCs/>
        </w:rPr>
        <w:t>G</w:t>
      </w:r>
      <w:r w:rsidR="00690D7B" w:rsidRPr="00690D7B">
        <w:rPr>
          <w:rFonts w:ascii="Arial" w:hAnsi="Arial" w:cs="Arial"/>
          <w:bCs/>
        </w:rPr>
        <w:t>eneXpert</w:t>
      </w:r>
      <w:proofErr w:type="spellEnd"/>
      <w:r w:rsidR="00690D7B" w:rsidRPr="00690D7B">
        <w:rPr>
          <w:rFonts w:ascii="Arial" w:hAnsi="Arial" w:cs="Arial"/>
          <w:bCs/>
        </w:rPr>
        <w:t xml:space="preserve"> </w:t>
      </w:r>
      <w:r w:rsidR="00530B0A" w:rsidRPr="00690D7B">
        <w:rPr>
          <w:rFonts w:ascii="Arial" w:hAnsi="Arial" w:cs="Arial"/>
          <w:bCs/>
        </w:rPr>
        <w:t xml:space="preserve">cartridges for rapid molecular diagnostics for TB testing among PLHIV. </w:t>
      </w:r>
      <w:r w:rsidR="00E91323" w:rsidRPr="00690D7B">
        <w:rPr>
          <w:rFonts w:ascii="Arial" w:hAnsi="Arial" w:cs="Arial"/>
          <w:bCs/>
        </w:rPr>
        <w:t xml:space="preserve">Collaborative activities essentially </w:t>
      </w:r>
      <w:r w:rsidR="0024601B" w:rsidRPr="00690D7B">
        <w:rPr>
          <w:rFonts w:ascii="Arial" w:hAnsi="Arial" w:cs="Arial"/>
          <w:bCs/>
        </w:rPr>
        <w:t>include</w:t>
      </w:r>
      <w:r w:rsidR="00E91323" w:rsidRPr="00690D7B">
        <w:rPr>
          <w:rFonts w:ascii="Arial" w:hAnsi="Arial" w:cs="Arial"/>
          <w:bCs/>
        </w:rPr>
        <w:t xml:space="preserve"> 525 meetings at local, provincial and national level for improved coordination to achieve 10</w:t>
      </w:r>
      <w:r w:rsidR="00C6518B">
        <w:rPr>
          <w:rFonts w:ascii="Arial" w:hAnsi="Arial" w:cs="Arial"/>
          <w:bCs/>
        </w:rPr>
        <w:t>-f</w:t>
      </w:r>
      <w:r w:rsidR="00E91323" w:rsidRPr="00690D7B">
        <w:rPr>
          <w:rFonts w:ascii="Arial" w:hAnsi="Arial" w:cs="Arial"/>
          <w:bCs/>
        </w:rPr>
        <w:t xml:space="preserve">old increase in </w:t>
      </w:r>
      <w:r w:rsidR="00C6518B">
        <w:rPr>
          <w:rFonts w:ascii="Arial" w:hAnsi="Arial" w:cs="Arial"/>
          <w:bCs/>
        </w:rPr>
        <w:t>diagnosis</w:t>
      </w:r>
      <w:r w:rsidR="00E91323" w:rsidRPr="00690D7B">
        <w:rPr>
          <w:rFonts w:ascii="Arial" w:hAnsi="Arial" w:cs="Arial"/>
          <w:bCs/>
        </w:rPr>
        <w:t xml:space="preserve"> and treatment of co-infected patients.</w:t>
      </w:r>
    </w:p>
    <w:p w14:paraId="22668612" w14:textId="77777777" w:rsidR="00F557D7" w:rsidRDefault="00F557D7" w:rsidP="00A13A73">
      <w:pPr>
        <w:spacing w:after="0" w:line="240" w:lineRule="auto"/>
        <w:jc w:val="both"/>
        <w:rPr>
          <w:rFonts w:ascii="Arial" w:hAnsi="Arial" w:cs="Arial"/>
          <w:b/>
        </w:rPr>
      </w:pPr>
    </w:p>
    <w:p w14:paraId="57B5FE80" w14:textId="34D43A56" w:rsidR="00CE4D2B" w:rsidRPr="001C7492" w:rsidRDefault="001C7492" w:rsidP="001C7492">
      <w:pPr>
        <w:spacing w:after="0" w:line="240" w:lineRule="auto"/>
        <w:jc w:val="both"/>
        <w:rPr>
          <w:rFonts w:ascii="Arial" w:hAnsi="Arial" w:cs="Arial"/>
          <w:b/>
        </w:rPr>
      </w:pPr>
      <w:r>
        <w:rPr>
          <w:rFonts w:ascii="Arial" w:hAnsi="Arial" w:cs="Arial"/>
          <w:b/>
        </w:rPr>
        <w:t xml:space="preserve">C. </w:t>
      </w:r>
      <w:r w:rsidR="00CE4D2B" w:rsidRPr="001C7492">
        <w:rPr>
          <w:rFonts w:ascii="Arial" w:hAnsi="Arial" w:cs="Arial"/>
          <w:b/>
        </w:rPr>
        <w:t xml:space="preserve">Module: MDR-TB </w:t>
      </w:r>
    </w:p>
    <w:p w14:paraId="34CB3403" w14:textId="308A1E6E" w:rsidR="00A43A57" w:rsidRDefault="00C23869" w:rsidP="00263FD1">
      <w:pPr>
        <w:pStyle w:val="ListParagraph"/>
        <w:spacing w:after="0" w:line="240" w:lineRule="auto"/>
        <w:ind w:left="0"/>
        <w:jc w:val="both"/>
        <w:rPr>
          <w:rFonts w:ascii="Arial" w:hAnsi="Arial" w:cs="Arial"/>
        </w:rPr>
      </w:pPr>
      <w:proofErr w:type="gramStart"/>
      <w:r>
        <w:rPr>
          <w:rFonts w:ascii="Arial" w:hAnsi="Arial" w:cs="Arial"/>
        </w:rPr>
        <w:t>Investments in MDRTB is</w:t>
      </w:r>
      <w:proofErr w:type="gramEnd"/>
      <w:r>
        <w:rPr>
          <w:rFonts w:ascii="Arial" w:hAnsi="Arial" w:cs="Arial"/>
        </w:rPr>
        <w:t xml:space="preserve"> crucial to cut the chain of transmission of drug-resistant bacilli. </w:t>
      </w:r>
      <w:proofErr w:type="gramStart"/>
      <w:r w:rsidR="00C04E57">
        <w:rPr>
          <w:rFonts w:ascii="Arial" w:hAnsi="Arial" w:cs="Arial"/>
        </w:rPr>
        <w:t xml:space="preserve">The rationale for selecting </w:t>
      </w:r>
      <w:r>
        <w:rPr>
          <w:rFonts w:ascii="Arial" w:hAnsi="Arial" w:cs="Arial"/>
        </w:rPr>
        <w:t>the activities for early detection, proper management and introduction of the newer drugs and regimen for patient and community benefits.</w:t>
      </w:r>
      <w:proofErr w:type="gramEnd"/>
      <w:r>
        <w:rPr>
          <w:rFonts w:ascii="Arial" w:hAnsi="Arial" w:cs="Arial"/>
        </w:rPr>
        <w:t xml:space="preserve"> </w:t>
      </w:r>
      <w:r w:rsidR="00677778" w:rsidRPr="00746A86">
        <w:rPr>
          <w:rFonts w:ascii="Arial" w:hAnsi="Arial" w:cs="Arial"/>
        </w:rPr>
        <w:t>Among the MDR patients, 8% further developed XDR (</w:t>
      </w:r>
      <w:r w:rsidR="00677778" w:rsidRPr="00746A86">
        <w:rPr>
          <w:rFonts w:ascii="Arial" w:hAnsi="Arial" w:cs="Arial"/>
          <w:i/>
        </w:rPr>
        <w:t>Annex 6, p7)</w:t>
      </w:r>
      <w:r w:rsidR="008A0F74">
        <w:rPr>
          <w:rFonts w:ascii="Arial" w:hAnsi="Arial" w:cs="Arial"/>
          <w:i/>
        </w:rPr>
        <w:t>.</w:t>
      </w:r>
    </w:p>
    <w:p w14:paraId="44135B6D" w14:textId="0CA7DBAA" w:rsidR="00B26215" w:rsidRDefault="006449A3" w:rsidP="00E53CA5">
      <w:pPr>
        <w:pStyle w:val="ListParagraph"/>
        <w:spacing w:line="240" w:lineRule="auto"/>
        <w:ind w:left="0"/>
        <w:jc w:val="both"/>
        <w:rPr>
          <w:rFonts w:ascii="Arial" w:hAnsi="Arial" w:cs="Arial"/>
          <w:b/>
        </w:rPr>
      </w:pPr>
      <w:r>
        <w:rPr>
          <w:rFonts w:ascii="Arial" w:hAnsi="Arial" w:cs="Arial"/>
          <w:b/>
        </w:rPr>
        <w:t>Case detection and diagnosis</w:t>
      </w:r>
      <w:r w:rsidR="00B43D1D">
        <w:rPr>
          <w:rFonts w:ascii="Arial" w:hAnsi="Arial" w:cs="Arial"/>
          <w:b/>
        </w:rPr>
        <w:t xml:space="preserve">: </w:t>
      </w:r>
    </w:p>
    <w:p w14:paraId="643E07E4" w14:textId="77777777" w:rsidR="00B26215" w:rsidRDefault="00B26215" w:rsidP="00B26215">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7D0866EF" w14:textId="05B5CF49" w:rsidR="00E53CA5" w:rsidRDefault="00B43D1D" w:rsidP="00E53CA5">
      <w:pPr>
        <w:pStyle w:val="ListParagraph"/>
        <w:spacing w:line="240" w:lineRule="auto"/>
        <w:ind w:left="0"/>
        <w:jc w:val="both"/>
        <w:rPr>
          <w:rFonts w:ascii="Arial" w:hAnsi="Arial" w:cs="Arial"/>
        </w:rPr>
      </w:pPr>
      <w:r w:rsidRPr="00B26215">
        <w:rPr>
          <w:rFonts w:ascii="Arial" w:hAnsi="Arial" w:cs="Arial"/>
          <w:b/>
        </w:rPr>
        <w:t>(</w:t>
      </w:r>
      <w:proofErr w:type="spellStart"/>
      <w:r w:rsidRPr="00B26215">
        <w:rPr>
          <w:rFonts w:ascii="Arial" w:hAnsi="Arial" w:cs="Arial"/>
          <w:b/>
        </w:rPr>
        <w:t>i</w:t>
      </w:r>
      <w:proofErr w:type="spellEnd"/>
      <w:r w:rsidRPr="00B26215">
        <w:rPr>
          <w:rFonts w:ascii="Arial" w:hAnsi="Arial" w:cs="Arial"/>
          <w:b/>
        </w:rPr>
        <w:t>)</w:t>
      </w:r>
      <w:r>
        <w:rPr>
          <w:rFonts w:ascii="Arial" w:hAnsi="Arial" w:cs="Arial"/>
        </w:rPr>
        <w:t xml:space="preserve"> </w:t>
      </w:r>
      <w:proofErr w:type="gramStart"/>
      <w:r>
        <w:rPr>
          <w:rFonts w:ascii="Arial" w:hAnsi="Arial" w:cs="Arial"/>
        </w:rPr>
        <w:t>screening</w:t>
      </w:r>
      <w:proofErr w:type="gramEnd"/>
      <w:r>
        <w:rPr>
          <w:rFonts w:ascii="Arial" w:hAnsi="Arial" w:cs="Arial"/>
        </w:rPr>
        <w:t xml:space="preserve"> and testing of all DR presumptive patients</w:t>
      </w:r>
      <w:r w:rsidR="005900BE">
        <w:rPr>
          <w:rFonts w:ascii="Arial" w:hAnsi="Arial" w:cs="Arial"/>
        </w:rPr>
        <w:t xml:space="preserve"> with support for 49</w:t>
      </w:r>
      <w:r w:rsidR="00D14F59">
        <w:rPr>
          <w:rFonts w:ascii="Arial" w:hAnsi="Arial" w:cs="Arial"/>
        </w:rPr>
        <w:t>,</w:t>
      </w:r>
      <w:r w:rsidR="005900BE">
        <w:rPr>
          <w:rFonts w:ascii="Arial" w:hAnsi="Arial" w:cs="Arial"/>
        </w:rPr>
        <w:t xml:space="preserve">500 patients for collection </w:t>
      </w:r>
      <w:r w:rsidR="00D14F59">
        <w:rPr>
          <w:rFonts w:ascii="Arial" w:hAnsi="Arial" w:cs="Arial"/>
        </w:rPr>
        <w:t xml:space="preserve">of sputum </w:t>
      </w:r>
      <w:r w:rsidR="005900BE">
        <w:rPr>
          <w:rFonts w:ascii="Arial" w:hAnsi="Arial" w:cs="Arial"/>
        </w:rPr>
        <w:t>&amp; transport</w:t>
      </w:r>
      <w:r>
        <w:rPr>
          <w:rFonts w:ascii="Arial" w:hAnsi="Arial" w:cs="Arial"/>
        </w:rPr>
        <w:t xml:space="preserve">; </w:t>
      </w:r>
      <w:r w:rsidRPr="00B26215">
        <w:rPr>
          <w:rFonts w:ascii="Arial" w:hAnsi="Arial" w:cs="Arial"/>
          <w:b/>
        </w:rPr>
        <w:t>(ii)</w:t>
      </w:r>
      <w:r>
        <w:rPr>
          <w:rFonts w:ascii="Arial" w:hAnsi="Arial" w:cs="Arial"/>
        </w:rPr>
        <w:t xml:space="preserve"> </w:t>
      </w:r>
      <w:r w:rsidR="00677778">
        <w:rPr>
          <w:rFonts w:ascii="Arial" w:hAnsi="Arial" w:cs="Arial"/>
        </w:rPr>
        <w:t>mandatory</w:t>
      </w:r>
      <w:r w:rsidR="00A95C6D" w:rsidRPr="00542956">
        <w:rPr>
          <w:rFonts w:ascii="Arial" w:hAnsi="Arial" w:cs="Arial"/>
        </w:rPr>
        <w:t xml:space="preserve"> screen</w:t>
      </w:r>
      <w:r w:rsidR="0007750A">
        <w:rPr>
          <w:rFonts w:ascii="Arial" w:hAnsi="Arial" w:cs="Arial"/>
        </w:rPr>
        <w:t>ing of</w:t>
      </w:r>
      <w:r w:rsidR="00A95C6D" w:rsidRPr="00542956">
        <w:rPr>
          <w:rFonts w:ascii="Arial" w:hAnsi="Arial" w:cs="Arial"/>
        </w:rPr>
        <w:t xml:space="preserve"> all household contacts and other close contacts of DR TB (MDR &amp; XDR TB) index case, as the prevalence of TB is 3.4%</w:t>
      </w:r>
      <w:r w:rsidR="00A95C6D">
        <w:rPr>
          <w:rStyle w:val="EndnoteReference"/>
          <w:rFonts w:ascii="Arial" w:hAnsi="Arial" w:cs="Arial"/>
        </w:rPr>
        <w:endnoteReference w:id="14"/>
      </w:r>
      <w:r w:rsidR="00A95C6D" w:rsidRPr="00542956">
        <w:rPr>
          <w:rFonts w:ascii="Arial" w:hAnsi="Arial" w:cs="Arial"/>
        </w:rPr>
        <w:t xml:space="preserve">. </w:t>
      </w:r>
      <w:r w:rsidR="005B7BF6" w:rsidRPr="00B26215">
        <w:rPr>
          <w:rFonts w:ascii="Arial" w:hAnsi="Arial" w:cs="Arial"/>
          <w:b/>
        </w:rPr>
        <w:t>(iii)</w:t>
      </w:r>
      <w:r w:rsidR="005B7BF6" w:rsidRPr="00263FD1">
        <w:rPr>
          <w:rFonts w:ascii="Arial" w:hAnsi="Arial" w:cs="Arial"/>
        </w:rPr>
        <w:t xml:space="preserve"> </w:t>
      </w:r>
      <w:r w:rsidR="0081293B">
        <w:rPr>
          <w:rFonts w:ascii="Arial" w:hAnsi="Arial" w:cs="Arial"/>
        </w:rPr>
        <w:t xml:space="preserve">Maintaining uninterrupted quality diagnostic services of </w:t>
      </w:r>
      <w:r w:rsidR="00113970">
        <w:rPr>
          <w:rFonts w:ascii="Arial" w:hAnsi="Arial" w:cs="Arial"/>
        </w:rPr>
        <w:t>c</w:t>
      </w:r>
      <w:r w:rsidR="00E4769D">
        <w:rPr>
          <w:rFonts w:ascii="Arial" w:hAnsi="Arial" w:cs="Arial"/>
        </w:rPr>
        <w:t xml:space="preserve">ulture </w:t>
      </w:r>
      <w:r w:rsidR="0081293B">
        <w:rPr>
          <w:rFonts w:ascii="Arial" w:hAnsi="Arial" w:cs="Arial"/>
        </w:rPr>
        <w:t>&amp;</w:t>
      </w:r>
      <w:r w:rsidR="00E4769D">
        <w:rPr>
          <w:rFonts w:ascii="Arial" w:hAnsi="Arial" w:cs="Arial"/>
        </w:rPr>
        <w:t xml:space="preserve"> </w:t>
      </w:r>
      <w:r w:rsidR="0081293B">
        <w:rPr>
          <w:rFonts w:ascii="Arial" w:hAnsi="Arial" w:cs="Arial"/>
        </w:rPr>
        <w:t>DST laboratories</w:t>
      </w:r>
      <w:r w:rsidR="00113970">
        <w:rPr>
          <w:rFonts w:ascii="Arial" w:hAnsi="Arial" w:cs="Arial"/>
        </w:rPr>
        <w:t xml:space="preserve">; </w:t>
      </w:r>
      <w:r w:rsidR="00113970" w:rsidRPr="00113970">
        <w:rPr>
          <w:rFonts w:ascii="Arial" w:hAnsi="Arial" w:cs="Arial"/>
          <w:b/>
        </w:rPr>
        <w:t>(</w:t>
      </w:r>
      <w:proofErr w:type="gramStart"/>
      <w:r w:rsidR="00113970" w:rsidRPr="00113970">
        <w:rPr>
          <w:rFonts w:ascii="Arial" w:hAnsi="Arial" w:cs="Arial"/>
          <w:b/>
        </w:rPr>
        <w:t>iv</w:t>
      </w:r>
      <w:proofErr w:type="gramEnd"/>
      <w:r w:rsidR="00113970" w:rsidRPr="00113970">
        <w:rPr>
          <w:rFonts w:ascii="Arial" w:hAnsi="Arial" w:cs="Arial"/>
          <w:b/>
        </w:rPr>
        <w:t>)</w:t>
      </w:r>
      <w:r w:rsidR="00113970">
        <w:rPr>
          <w:rFonts w:ascii="Arial" w:hAnsi="Arial" w:cs="Arial"/>
        </w:rPr>
        <w:t xml:space="preserve"> procurement of </w:t>
      </w:r>
      <w:r w:rsidR="000A2661">
        <w:rPr>
          <w:rFonts w:ascii="Arial" w:hAnsi="Arial" w:cs="Arial"/>
        </w:rPr>
        <w:t>14,000</w:t>
      </w:r>
      <w:r w:rsidR="00CA46AF">
        <w:rPr>
          <w:rFonts w:ascii="Arial" w:hAnsi="Arial" w:cs="Arial"/>
        </w:rPr>
        <w:t xml:space="preserve"> </w:t>
      </w:r>
      <w:r w:rsidR="00113970">
        <w:rPr>
          <w:rFonts w:ascii="Arial" w:hAnsi="Arial" w:cs="Arial"/>
        </w:rPr>
        <w:t>GX cartridges.</w:t>
      </w:r>
    </w:p>
    <w:p w14:paraId="6E184EAC" w14:textId="65C3CF2D" w:rsidR="006449A3" w:rsidRDefault="006449A3" w:rsidP="00E53CA5">
      <w:pPr>
        <w:pStyle w:val="ListParagraph"/>
        <w:spacing w:line="240" w:lineRule="auto"/>
        <w:ind w:left="0"/>
        <w:jc w:val="both"/>
        <w:rPr>
          <w:rFonts w:ascii="Arial" w:hAnsi="Arial" w:cs="Arial"/>
          <w:b/>
        </w:rPr>
      </w:pPr>
      <w:r w:rsidRPr="00263FD1">
        <w:rPr>
          <w:rFonts w:ascii="Arial" w:hAnsi="Arial" w:cs="Arial"/>
          <w:b/>
        </w:rPr>
        <w:t>Treatment</w:t>
      </w:r>
      <w:r w:rsidR="0007750A" w:rsidRPr="0007750A">
        <w:rPr>
          <w:rFonts w:ascii="Arial" w:hAnsi="Arial" w:cs="Arial"/>
        </w:rPr>
        <w:t xml:space="preserve"> </w:t>
      </w:r>
    </w:p>
    <w:p w14:paraId="74476446" w14:textId="77777777" w:rsidR="00564FE2" w:rsidRDefault="00564FE2" w:rsidP="00564FE2">
      <w:pPr>
        <w:pStyle w:val="ListParagraph"/>
        <w:spacing w:after="0" w:line="240" w:lineRule="auto"/>
        <w:ind w:left="0"/>
        <w:jc w:val="both"/>
        <w:rPr>
          <w:rFonts w:ascii="Arial" w:hAnsi="Arial" w:cs="Arial"/>
          <w:u w:val="single"/>
        </w:rPr>
      </w:pPr>
      <w:r>
        <w:rPr>
          <w:rFonts w:ascii="Arial" w:hAnsi="Arial" w:cs="Arial"/>
          <w:u w:val="single"/>
        </w:rPr>
        <w:t>Activities t</w:t>
      </w:r>
      <w:r w:rsidRPr="00185CD3">
        <w:rPr>
          <w:rFonts w:ascii="Arial" w:hAnsi="Arial" w:cs="Arial"/>
          <w:u w:val="single"/>
        </w:rPr>
        <w:t>o address the key gaps</w:t>
      </w:r>
      <w:r>
        <w:rPr>
          <w:rFonts w:ascii="Arial" w:hAnsi="Arial" w:cs="Arial"/>
          <w:u w:val="single"/>
        </w:rPr>
        <w:t xml:space="preserve"> include:</w:t>
      </w:r>
    </w:p>
    <w:p w14:paraId="57DC5D84" w14:textId="12DEB80B" w:rsidR="00CE0514" w:rsidRDefault="00CE0514" w:rsidP="00627EEF">
      <w:pPr>
        <w:pStyle w:val="ListParagraph"/>
        <w:spacing w:after="0" w:line="240" w:lineRule="auto"/>
        <w:ind w:left="0"/>
        <w:jc w:val="both"/>
        <w:rPr>
          <w:rFonts w:ascii="Arial" w:hAnsi="Arial" w:cs="Arial"/>
        </w:rPr>
      </w:pPr>
      <w:r w:rsidRPr="00564FE2">
        <w:rPr>
          <w:rFonts w:ascii="Arial" w:hAnsi="Arial" w:cs="Arial"/>
          <w:b/>
        </w:rPr>
        <w:t>(</w:t>
      </w:r>
      <w:proofErr w:type="spellStart"/>
      <w:r w:rsidRPr="00564FE2">
        <w:rPr>
          <w:rFonts w:ascii="Arial" w:hAnsi="Arial" w:cs="Arial"/>
          <w:b/>
        </w:rPr>
        <w:t>i</w:t>
      </w:r>
      <w:proofErr w:type="spellEnd"/>
      <w:r w:rsidRPr="00564FE2">
        <w:rPr>
          <w:rFonts w:ascii="Arial" w:hAnsi="Arial" w:cs="Arial"/>
          <w:b/>
        </w:rPr>
        <w:t>)</w:t>
      </w:r>
      <w:r w:rsidRPr="00CE0514">
        <w:rPr>
          <w:rFonts w:ascii="Arial" w:hAnsi="Arial" w:cs="Arial"/>
        </w:rPr>
        <w:t xml:space="preserve"> </w:t>
      </w:r>
      <w:r w:rsidR="00FF79FB">
        <w:rPr>
          <w:rFonts w:ascii="Arial" w:hAnsi="Arial" w:cs="Arial"/>
        </w:rPr>
        <w:t>Procurement of SLDs including for STR and support DR TB treatment centres;</w:t>
      </w:r>
      <w:r w:rsidR="00FF79FB" w:rsidRPr="00564FE2">
        <w:rPr>
          <w:rFonts w:ascii="Arial" w:hAnsi="Arial" w:cs="Arial"/>
          <w:b/>
        </w:rPr>
        <w:t>(ii)</w:t>
      </w:r>
      <w:r w:rsidR="00564FE2" w:rsidRPr="00564FE2">
        <w:rPr>
          <w:rFonts w:ascii="Arial" w:hAnsi="Arial" w:cs="Arial"/>
          <w:b/>
        </w:rPr>
        <w:t xml:space="preserve"> </w:t>
      </w:r>
      <w:r w:rsidR="006B7372">
        <w:rPr>
          <w:rFonts w:ascii="Arial" w:hAnsi="Arial" w:cs="Arial"/>
        </w:rPr>
        <w:t>P</w:t>
      </w:r>
      <w:r w:rsidRPr="00CE0514">
        <w:rPr>
          <w:rFonts w:ascii="Arial" w:hAnsi="Arial" w:cs="Arial"/>
        </w:rPr>
        <w:t>alliative care in R</w:t>
      </w:r>
      <w:r>
        <w:rPr>
          <w:rFonts w:ascii="Arial" w:hAnsi="Arial" w:cs="Arial"/>
        </w:rPr>
        <w:t xml:space="preserve">eferral </w:t>
      </w:r>
      <w:r w:rsidRPr="00CE0514">
        <w:rPr>
          <w:rFonts w:ascii="Arial" w:hAnsi="Arial" w:cs="Arial"/>
        </w:rPr>
        <w:t>H</w:t>
      </w:r>
      <w:r>
        <w:rPr>
          <w:rFonts w:ascii="Arial" w:hAnsi="Arial" w:cs="Arial"/>
        </w:rPr>
        <w:t xml:space="preserve">ospital; </w:t>
      </w:r>
      <w:r w:rsidRPr="00564FE2">
        <w:rPr>
          <w:rFonts w:ascii="Arial" w:hAnsi="Arial" w:cs="Arial"/>
          <w:b/>
        </w:rPr>
        <w:t>(i</w:t>
      </w:r>
      <w:r w:rsidR="00FF79FB" w:rsidRPr="00564FE2">
        <w:rPr>
          <w:rFonts w:ascii="Arial" w:hAnsi="Arial" w:cs="Arial"/>
          <w:b/>
        </w:rPr>
        <w:t>i</w:t>
      </w:r>
      <w:r w:rsidRPr="00564FE2">
        <w:rPr>
          <w:rFonts w:ascii="Arial" w:hAnsi="Arial" w:cs="Arial"/>
          <w:b/>
        </w:rPr>
        <w:t>i)</w:t>
      </w:r>
      <w:r>
        <w:rPr>
          <w:rFonts w:ascii="Arial" w:hAnsi="Arial" w:cs="Arial"/>
        </w:rPr>
        <w:t xml:space="preserve"> support and accommodation facilities </w:t>
      </w:r>
      <w:r w:rsidR="00F54717">
        <w:rPr>
          <w:rFonts w:ascii="Arial" w:hAnsi="Arial" w:cs="Arial"/>
        </w:rPr>
        <w:t>for</w:t>
      </w:r>
      <w:r>
        <w:rPr>
          <w:rFonts w:ascii="Arial" w:hAnsi="Arial" w:cs="Arial"/>
        </w:rPr>
        <w:t xml:space="preserve"> MDR-TB patien</w:t>
      </w:r>
      <w:r w:rsidR="00627EEF">
        <w:rPr>
          <w:rFonts w:ascii="Arial" w:hAnsi="Arial" w:cs="Arial"/>
        </w:rPr>
        <w:t xml:space="preserve">ts treated away from home; </w:t>
      </w:r>
      <w:r w:rsidR="005900BE">
        <w:rPr>
          <w:rFonts w:ascii="Arial" w:hAnsi="Arial" w:cs="Arial"/>
        </w:rPr>
        <w:t>(iv) hazard allowance for the staff working at DR</w:t>
      </w:r>
      <w:r w:rsidR="00816347">
        <w:rPr>
          <w:rFonts w:ascii="Arial" w:hAnsi="Arial" w:cs="Arial"/>
        </w:rPr>
        <w:t>-</w:t>
      </w:r>
      <w:r w:rsidR="005900BE">
        <w:rPr>
          <w:rFonts w:ascii="Arial" w:hAnsi="Arial" w:cs="Arial"/>
        </w:rPr>
        <w:t>TB centre/sub-centre and laboratories</w:t>
      </w:r>
    </w:p>
    <w:p w14:paraId="58C66E2D" w14:textId="742557EC" w:rsidR="00C973FD" w:rsidRDefault="00C973FD" w:rsidP="000016CC">
      <w:pPr>
        <w:spacing w:after="0" w:line="240" w:lineRule="auto"/>
        <w:jc w:val="both"/>
        <w:rPr>
          <w:rFonts w:ascii="Arial" w:hAnsi="Arial" w:cs="Arial"/>
        </w:rPr>
      </w:pPr>
      <w:r w:rsidRPr="00724F45">
        <w:rPr>
          <w:rFonts w:ascii="Arial" w:hAnsi="Arial" w:cs="Arial"/>
          <w:u w:val="single"/>
        </w:rPr>
        <w:t>Others:</w:t>
      </w:r>
      <w:r w:rsidRPr="000016CC">
        <w:rPr>
          <w:rFonts w:ascii="Arial" w:hAnsi="Arial" w:cs="Arial"/>
        </w:rPr>
        <w:t xml:space="preserve"> </w:t>
      </w:r>
      <w:r w:rsidR="00222BE2">
        <w:rPr>
          <w:rFonts w:ascii="Arial" w:hAnsi="Arial" w:cs="Arial"/>
        </w:rPr>
        <w:t>includes annual visit from the Regional Green Light Committee (</w:t>
      </w:r>
      <w:proofErr w:type="spellStart"/>
      <w:r w:rsidRPr="000016CC">
        <w:rPr>
          <w:rFonts w:ascii="Arial" w:hAnsi="Arial" w:cs="Arial"/>
        </w:rPr>
        <w:t>rGLC</w:t>
      </w:r>
      <w:proofErr w:type="spellEnd"/>
      <w:r w:rsidR="00222BE2">
        <w:rPr>
          <w:rFonts w:ascii="Arial" w:hAnsi="Arial" w:cs="Arial"/>
        </w:rPr>
        <w:t>)</w:t>
      </w:r>
      <w:r w:rsidRPr="000016CC">
        <w:rPr>
          <w:rFonts w:ascii="Arial" w:hAnsi="Arial" w:cs="Arial"/>
        </w:rPr>
        <w:t xml:space="preserve"> and technica</w:t>
      </w:r>
      <w:r w:rsidR="00DC54F4">
        <w:rPr>
          <w:rFonts w:ascii="Arial" w:hAnsi="Arial" w:cs="Arial"/>
        </w:rPr>
        <w:t>l advice for MDR-TB management.</w:t>
      </w:r>
    </w:p>
    <w:p w14:paraId="224A111C" w14:textId="13B47A12" w:rsidR="00530B0A" w:rsidRPr="00690D7B" w:rsidRDefault="00530B0A" w:rsidP="000016CC">
      <w:pPr>
        <w:spacing w:after="0" w:line="240" w:lineRule="auto"/>
        <w:jc w:val="both"/>
        <w:rPr>
          <w:rFonts w:ascii="Arial" w:hAnsi="Arial" w:cs="Arial"/>
          <w:bCs/>
          <w:u w:val="single"/>
        </w:rPr>
      </w:pPr>
      <w:r>
        <w:rPr>
          <w:rFonts w:ascii="Arial" w:hAnsi="Arial" w:cs="Arial"/>
          <w:b/>
        </w:rPr>
        <w:t xml:space="preserve">Outcome: </w:t>
      </w:r>
      <w:r w:rsidRPr="00690D7B">
        <w:rPr>
          <w:rFonts w:ascii="Arial" w:hAnsi="Arial" w:cs="Arial"/>
          <w:bCs/>
        </w:rPr>
        <w:t xml:space="preserve">The investments of </w:t>
      </w:r>
      <w:r w:rsidR="00F51495">
        <w:rPr>
          <w:rFonts w:ascii="Arial" w:hAnsi="Arial" w:cs="Arial"/>
          <w:bCs/>
        </w:rPr>
        <w:t>US</w:t>
      </w:r>
      <w:r w:rsidR="009F59D6">
        <w:rPr>
          <w:rFonts w:ascii="Arial" w:hAnsi="Arial" w:cs="Arial"/>
          <w:bCs/>
        </w:rPr>
        <w:t>D</w:t>
      </w:r>
      <w:r w:rsidR="00F51495">
        <w:rPr>
          <w:rFonts w:ascii="Arial" w:hAnsi="Arial" w:cs="Arial"/>
          <w:bCs/>
        </w:rPr>
        <w:t xml:space="preserve"> </w:t>
      </w:r>
      <w:r w:rsidR="000A2661">
        <w:rPr>
          <w:rFonts w:ascii="Arial" w:hAnsi="Arial" w:cs="Arial"/>
          <w:bCs/>
        </w:rPr>
        <w:t>2.979</w:t>
      </w:r>
      <w:r w:rsidR="00F51495">
        <w:rPr>
          <w:rFonts w:ascii="Arial" w:hAnsi="Arial" w:cs="Arial"/>
          <w:bCs/>
        </w:rPr>
        <w:t xml:space="preserve"> million</w:t>
      </w:r>
      <w:r w:rsidRPr="00690D7B">
        <w:rPr>
          <w:rFonts w:ascii="Arial" w:hAnsi="Arial" w:cs="Arial"/>
          <w:bCs/>
        </w:rPr>
        <w:t xml:space="preserve"> in this module will help </w:t>
      </w:r>
      <w:r w:rsidR="00F51495">
        <w:rPr>
          <w:rFonts w:ascii="Arial" w:hAnsi="Arial" w:cs="Arial"/>
          <w:bCs/>
        </w:rPr>
        <w:t xml:space="preserve">the </w:t>
      </w:r>
      <w:r w:rsidRPr="00690D7B">
        <w:rPr>
          <w:rFonts w:ascii="Arial" w:hAnsi="Arial" w:cs="Arial"/>
          <w:bCs/>
        </w:rPr>
        <w:t>country in enabling management of 2</w:t>
      </w:r>
      <w:r w:rsidR="00F51495">
        <w:rPr>
          <w:rFonts w:ascii="Arial" w:hAnsi="Arial" w:cs="Arial"/>
          <w:bCs/>
        </w:rPr>
        <w:t>,</w:t>
      </w:r>
      <w:r w:rsidRPr="00690D7B">
        <w:rPr>
          <w:rFonts w:ascii="Arial" w:hAnsi="Arial" w:cs="Arial"/>
          <w:bCs/>
        </w:rPr>
        <w:t>406 DR</w:t>
      </w:r>
      <w:r w:rsidR="00F51495">
        <w:rPr>
          <w:rFonts w:ascii="Arial" w:hAnsi="Arial" w:cs="Arial"/>
          <w:bCs/>
        </w:rPr>
        <w:t>-</w:t>
      </w:r>
      <w:r w:rsidRPr="00690D7B">
        <w:rPr>
          <w:rFonts w:ascii="Arial" w:hAnsi="Arial" w:cs="Arial"/>
          <w:bCs/>
        </w:rPr>
        <w:t>TB patients over three years from baseline of annual 403 DR</w:t>
      </w:r>
      <w:r w:rsidR="00F51495">
        <w:rPr>
          <w:rFonts w:ascii="Arial" w:hAnsi="Arial" w:cs="Arial"/>
          <w:bCs/>
        </w:rPr>
        <w:t>-</w:t>
      </w:r>
      <w:r w:rsidRPr="00690D7B">
        <w:rPr>
          <w:rFonts w:ascii="Arial" w:hAnsi="Arial" w:cs="Arial"/>
          <w:bCs/>
        </w:rPr>
        <w:t>TB patients.</w:t>
      </w:r>
      <w:r w:rsidR="00B0431E">
        <w:rPr>
          <w:rFonts w:ascii="Arial" w:hAnsi="Arial" w:cs="Arial"/>
          <w:bCs/>
        </w:rPr>
        <w:t xml:space="preserve"> It will enable to reach additional 1</w:t>
      </w:r>
      <w:r w:rsidR="00F51495">
        <w:rPr>
          <w:rFonts w:ascii="Arial" w:hAnsi="Arial" w:cs="Arial"/>
          <w:bCs/>
        </w:rPr>
        <w:t>,</w:t>
      </w:r>
      <w:r w:rsidR="00B0431E">
        <w:rPr>
          <w:rFonts w:ascii="Arial" w:hAnsi="Arial" w:cs="Arial"/>
          <w:bCs/>
        </w:rPr>
        <w:t>197 DR</w:t>
      </w:r>
      <w:r w:rsidR="00F51495">
        <w:rPr>
          <w:rFonts w:ascii="Arial" w:hAnsi="Arial" w:cs="Arial"/>
          <w:bCs/>
        </w:rPr>
        <w:t>-</w:t>
      </w:r>
      <w:r w:rsidR="00B0431E">
        <w:rPr>
          <w:rFonts w:ascii="Arial" w:hAnsi="Arial" w:cs="Arial"/>
          <w:bCs/>
        </w:rPr>
        <w:t>TB patients from current baseline rates during the project period.</w:t>
      </w:r>
      <w:r w:rsidRPr="00690D7B">
        <w:rPr>
          <w:rFonts w:ascii="Arial" w:hAnsi="Arial" w:cs="Arial"/>
          <w:bCs/>
        </w:rPr>
        <w:t xml:space="preserve"> The investments will continue support to the DR</w:t>
      </w:r>
      <w:r w:rsidR="00F51495">
        <w:rPr>
          <w:rFonts w:ascii="Arial" w:hAnsi="Arial" w:cs="Arial"/>
          <w:bCs/>
        </w:rPr>
        <w:t>-</w:t>
      </w:r>
      <w:r w:rsidRPr="00690D7B">
        <w:rPr>
          <w:rFonts w:ascii="Arial" w:hAnsi="Arial" w:cs="Arial"/>
          <w:bCs/>
        </w:rPr>
        <w:t>TB referral centres, palliative care and DR</w:t>
      </w:r>
      <w:r w:rsidR="00F51495">
        <w:rPr>
          <w:rFonts w:ascii="Arial" w:hAnsi="Arial" w:cs="Arial"/>
          <w:bCs/>
        </w:rPr>
        <w:t>-</w:t>
      </w:r>
      <w:r w:rsidRPr="00690D7B">
        <w:rPr>
          <w:rFonts w:ascii="Arial" w:hAnsi="Arial" w:cs="Arial"/>
          <w:bCs/>
        </w:rPr>
        <w:t xml:space="preserve">TB patient support for investigations and management of ADRs with a proposed budgetary provision of </w:t>
      </w:r>
      <w:r w:rsidR="00F51495">
        <w:rPr>
          <w:rFonts w:ascii="Arial" w:hAnsi="Arial" w:cs="Arial"/>
          <w:bCs/>
        </w:rPr>
        <w:t>US</w:t>
      </w:r>
      <w:r w:rsidR="00203CBF">
        <w:rPr>
          <w:rFonts w:ascii="Arial" w:hAnsi="Arial" w:cs="Arial"/>
          <w:bCs/>
        </w:rPr>
        <w:t>D</w:t>
      </w:r>
      <w:r w:rsidR="00F51495">
        <w:rPr>
          <w:rFonts w:ascii="Arial" w:hAnsi="Arial" w:cs="Arial"/>
          <w:bCs/>
        </w:rPr>
        <w:t xml:space="preserve"> 1.3</w:t>
      </w:r>
      <w:r w:rsidR="000A2661">
        <w:rPr>
          <w:rFonts w:ascii="Arial" w:hAnsi="Arial" w:cs="Arial"/>
          <w:bCs/>
        </w:rPr>
        <w:t>3</w:t>
      </w:r>
      <w:r w:rsidR="00F51495">
        <w:rPr>
          <w:rFonts w:ascii="Arial" w:hAnsi="Arial" w:cs="Arial"/>
          <w:bCs/>
        </w:rPr>
        <w:t xml:space="preserve"> million</w:t>
      </w:r>
      <w:r w:rsidRPr="00690D7B">
        <w:rPr>
          <w:rFonts w:ascii="Arial" w:hAnsi="Arial" w:cs="Arial"/>
          <w:bCs/>
        </w:rPr>
        <w:t xml:space="preserve"> through </w:t>
      </w:r>
      <w:r w:rsidR="00F51495">
        <w:rPr>
          <w:rFonts w:ascii="Arial" w:hAnsi="Arial" w:cs="Arial"/>
          <w:bCs/>
        </w:rPr>
        <w:t>sub-recipients (</w:t>
      </w:r>
      <w:r w:rsidRPr="00690D7B">
        <w:rPr>
          <w:rFonts w:ascii="Arial" w:hAnsi="Arial" w:cs="Arial"/>
          <w:bCs/>
        </w:rPr>
        <w:t>SRs</w:t>
      </w:r>
      <w:r w:rsidR="00F51495">
        <w:rPr>
          <w:rFonts w:ascii="Arial" w:hAnsi="Arial" w:cs="Arial"/>
          <w:bCs/>
        </w:rPr>
        <w:t>)</w:t>
      </w:r>
      <w:r w:rsidRPr="00690D7B">
        <w:rPr>
          <w:rFonts w:ascii="Arial" w:hAnsi="Arial" w:cs="Arial"/>
          <w:bCs/>
        </w:rPr>
        <w:t>.</w:t>
      </w:r>
      <w:r>
        <w:rPr>
          <w:rFonts w:ascii="Arial" w:hAnsi="Arial" w:cs="Arial"/>
          <w:bCs/>
        </w:rPr>
        <w:t xml:space="preserve"> This also includes support for SLDs</w:t>
      </w:r>
      <w:r w:rsidR="0089539B">
        <w:rPr>
          <w:rFonts w:ascii="Arial" w:hAnsi="Arial" w:cs="Arial"/>
          <w:bCs/>
        </w:rPr>
        <w:t>,</w:t>
      </w:r>
      <w:r>
        <w:rPr>
          <w:rFonts w:ascii="Arial" w:hAnsi="Arial" w:cs="Arial"/>
          <w:bCs/>
        </w:rPr>
        <w:t xml:space="preserve"> </w:t>
      </w:r>
      <w:r w:rsidR="00F51495">
        <w:rPr>
          <w:rFonts w:ascii="Arial" w:hAnsi="Arial" w:cs="Arial"/>
          <w:bCs/>
        </w:rPr>
        <w:t>US</w:t>
      </w:r>
      <w:r w:rsidR="00203CBF">
        <w:rPr>
          <w:rFonts w:ascii="Arial" w:hAnsi="Arial" w:cs="Arial"/>
          <w:bCs/>
        </w:rPr>
        <w:t>D</w:t>
      </w:r>
      <w:r w:rsidR="00F51495">
        <w:rPr>
          <w:rFonts w:ascii="Arial" w:hAnsi="Arial" w:cs="Arial"/>
          <w:bCs/>
        </w:rPr>
        <w:t xml:space="preserve"> </w:t>
      </w:r>
      <w:r>
        <w:rPr>
          <w:rFonts w:ascii="Arial" w:hAnsi="Arial" w:cs="Arial"/>
          <w:bCs/>
        </w:rPr>
        <w:t>1.1</w:t>
      </w:r>
      <w:r w:rsidR="009F59D6">
        <w:rPr>
          <w:rFonts w:ascii="Arial" w:hAnsi="Arial" w:cs="Arial"/>
          <w:bCs/>
        </w:rPr>
        <w:t>3</w:t>
      </w:r>
      <w:r>
        <w:rPr>
          <w:rFonts w:ascii="Arial" w:hAnsi="Arial" w:cs="Arial"/>
          <w:bCs/>
        </w:rPr>
        <w:t xml:space="preserve"> </w:t>
      </w:r>
      <w:r w:rsidR="00F51495">
        <w:rPr>
          <w:rFonts w:ascii="Arial" w:hAnsi="Arial" w:cs="Arial"/>
          <w:bCs/>
        </w:rPr>
        <w:t>million</w:t>
      </w:r>
      <w:r>
        <w:rPr>
          <w:rFonts w:ascii="Arial" w:hAnsi="Arial" w:cs="Arial"/>
          <w:bCs/>
        </w:rPr>
        <w:t xml:space="preserve"> for approximately 3</w:t>
      </w:r>
      <w:r w:rsidR="009F59D6">
        <w:rPr>
          <w:rFonts w:ascii="Arial" w:hAnsi="Arial" w:cs="Arial"/>
          <w:bCs/>
        </w:rPr>
        <w:t>8</w:t>
      </w:r>
      <w:r>
        <w:rPr>
          <w:rFonts w:ascii="Arial" w:hAnsi="Arial" w:cs="Arial"/>
          <w:bCs/>
        </w:rPr>
        <w:t>% of the country’s requirement.</w:t>
      </w:r>
    </w:p>
    <w:p w14:paraId="4015E048" w14:textId="77777777" w:rsidR="00530B0A" w:rsidRPr="000016CC" w:rsidRDefault="00530B0A" w:rsidP="000016CC">
      <w:pPr>
        <w:spacing w:after="0" w:line="240" w:lineRule="auto"/>
        <w:jc w:val="both"/>
        <w:rPr>
          <w:rFonts w:ascii="Arial" w:hAnsi="Arial" w:cs="Arial"/>
          <w:b/>
        </w:rPr>
      </w:pPr>
    </w:p>
    <w:p w14:paraId="5B2A5C67" w14:textId="6E558697" w:rsidR="004F4580" w:rsidRPr="00690D7B" w:rsidRDefault="001C7492" w:rsidP="001C7492">
      <w:pPr>
        <w:spacing w:after="0" w:line="240" w:lineRule="auto"/>
        <w:jc w:val="both"/>
        <w:rPr>
          <w:rFonts w:ascii="Arial" w:hAnsi="Arial" w:cs="Arial"/>
          <w:b/>
        </w:rPr>
      </w:pPr>
      <w:r w:rsidRPr="00690D7B">
        <w:rPr>
          <w:rFonts w:ascii="Arial" w:hAnsi="Arial" w:cs="Arial"/>
          <w:b/>
        </w:rPr>
        <w:t xml:space="preserve">D. </w:t>
      </w:r>
      <w:r w:rsidR="004F4580" w:rsidRPr="00690D7B">
        <w:rPr>
          <w:rFonts w:ascii="Arial" w:hAnsi="Arial" w:cs="Arial"/>
          <w:b/>
        </w:rPr>
        <w:t xml:space="preserve">Program management  </w:t>
      </w:r>
      <w:r w:rsidR="00FF79FB" w:rsidRPr="00690D7B">
        <w:rPr>
          <w:rFonts w:ascii="Arial" w:hAnsi="Arial" w:cs="Arial"/>
          <w:b/>
        </w:rPr>
        <w:t xml:space="preserve">  </w:t>
      </w:r>
    </w:p>
    <w:p w14:paraId="34F44D33" w14:textId="28DD264F" w:rsidR="00D40D14" w:rsidRDefault="001305A6" w:rsidP="00D40D14">
      <w:pPr>
        <w:spacing w:after="0" w:line="240" w:lineRule="auto"/>
        <w:jc w:val="both"/>
        <w:rPr>
          <w:rFonts w:ascii="Arial" w:hAnsi="Arial" w:cs="Arial"/>
          <w:bCs/>
        </w:rPr>
      </w:pPr>
      <w:r w:rsidRPr="00690D7B">
        <w:rPr>
          <w:rFonts w:ascii="Arial" w:hAnsi="Arial" w:cs="Arial"/>
          <w:bCs/>
        </w:rPr>
        <w:t xml:space="preserve">Investments of </w:t>
      </w:r>
      <w:r w:rsidR="00203CBF">
        <w:rPr>
          <w:rFonts w:ascii="Arial" w:hAnsi="Arial" w:cs="Arial"/>
          <w:bCs/>
        </w:rPr>
        <w:t>USD 4.4</w:t>
      </w:r>
      <w:r w:rsidRPr="00690D7B">
        <w:rPr>
          <w:rFonts w:ascii="Arial" w:hAnsi="Arial" w:cs="Arial"/>
          <w:bCs/>
        </w:rPr>
        <w:t xml:space="preserve"> </w:t>
      </w:r>
      <w:r w:rsidR="00DD54DB">
        <w:rPr>
          <w:rFonts w:ascii="Arial" w:hAnsi="Arial" w:cs="Arial"/>
          <w:bCs/>
        </w:rPr>
        <w:t>million</w:t>
      </w:r>
      <w:r w:rsidRPr="00690D7B">
        <w:rPr>
          <w:rFonts w:ascii="Arial" w:hAnsi="Arial" w:cs="Arial"/>
          <w:bCs/>
        </w:rPr>
        <w:t xml:space="preserve"> in this module will enable for ensuring </w:t>
      </w:r>
      <w:r w:rsidR="007C6A50" w:rsidRPr="00690D7B">
        <w:rPr>
          <w:rFonts w:ascii="Arial" w:hAnsi="Arial" w:cs="Arial"/>
          <w:bCs/>
        </w:rPr>
        <w:t xml:space="preserve">efficient </w:t>
      </w:r>
      <w:r w:rsidRPr="00690D7B">
        <w:rPr>
          <w:rFonts w:ascii="Arial" w:hAnsi="Arial" w:cs="Arial"/>
          <w:bCs/>
        </w:rPr>
        <w:t>implementation of the high impact</w:t>
      </w:r>
      <w:r w:rsidR="007C6A50" w:rsidRPr="00690D7B">
        <w:rPr>
          <w:rFonts w:ascii="Arial" w:hAnsi="Arial" w:cs="Arial"/>
          <w:bCs/>
        </w:rPr>
        <w:t xml:space="preserve"> activities proposed under funding request. This will support the program management unit based in NTC for ensuring capacity building of the systems at National and proposed provincial (7) and </w:t>
      </w:r>
      <w:r w:rsidR="00690D7B">
        <w:rPr>
          <w:rFonts w:ascii="Arial" w:hAnsi="Arial" w:cs="Arial"/>
          <w:bCs/>
        </w:rPr>
        <w:t>administrative unit</w:t>
      </w:r>
      <w:r w:rsidR="0089539B">
        <w:rPr>
          <w:rFonts w:ascii="Arial" w:hAnsi="Arial" w:cs="Arial"/>
          <w:bCs/>
        </w:rPr>
        <w:t>s</w:t>
      </w:r>
      <w:r w:rsidR="00690D7B">
        <w:rPr>
          <w:rFonts w:ascii="Arial" w:hAnsi="Arial" w:cs="Arial"/>
          <w:bCs/>
        </w:rPr>
        <w:t xml:space="preserve"> or </w:t>
      </w:r>
      <w:proofErr w:type="spellStart"/>
      <w:r w:rsidR="007C6A50" w:rsidRPr="00690D7B">
        <w:rPr>
          <w:rFonts w:ascii="Arial" w:hAnsi="Arial" w:cs="Arial"/>
          <w:bCs/>
        </w:rPr>
        <w:t>palika</w:t>
      </w:r>
      <w:proofErr w:type="spellEnd"/>
      <w:r w:rsidR="007C6A50" w:rsidRPr="00690D7B">
        <w:rPr>
          <w:rFonts w:ascii="Arial" w:hAnsi="Arial" w:cs="Arial"/>
          <w:bCs/>
        </w:rPr>
        <w:t xml:space="preserve"> (</w:t>
      </w:r>
      <w:r w:rsidR="0089539B">
        <w:rPr>
          <w:rFonts w:ascii="Arial" w:hAnsi="Arial" w:cs="Arial"/>
          <w:bCs/>
        </w:rPr>
        <w:t>&gt;</w:t>
      </w:r>
      <w:r w:rsidR="007C6A50" w:rsidRPr="00690D7B">
        <w:rPr>
          <w:rFonts w:ascii="Arial" w:hAnsi="Arial" w:cs="Arial"/>
          <w:bCs/>
        </w:rPr>
        <w:t>744) levels. This essential</w:t>
      </w:r>
      <w:r w:rsidR="0089539B">
        <w:rPr>
          <w:rFonts w:ascii="Arial" w:hAnsi="Arial" w:cs="Arial"/>
          <w:bCs/>
        </w:rPr>
        <w:t>ly</w:t>
      </w:r>
      <w:r w:rsidR="007C6A50" w:rsidRPr="00690D7B">
        <w:rPr>
          <w:rFonts w:ascii="Arial" w:hAnsi="Arial" w:cs="Arial"/>
          <w:bCs/>
        </w:rPr>
        <w:t xml:space="preserve"> includes support for establishment of the provincial level monitoring units, support for the implementing agencies / Sub-recipients (6) across the country. </w:t>
      </w:r>
      <w:r w:rsidR="007C6A50" w:rsidRPr="00690D7B">
        <w:rPr>
          <w:rFonts w:ascii="Arial" w:hAnsi="Arial" w:cs="Arial"/>
          <w:bCs/>
        </w:rPr>
        <w:lastRenderedPageBreak/>
        <w:t>Operation</w:t>
      </w:r>
      <w:r w:rsidR="0089539B">
        <w:rPr>
          <w:rFonts w:ascii="Arial" w:hAnsi="Arial" w:cs="Arial"/>
          <w:bCs/>
        </w:rPr>
        <w:t>al</w:t>
      </w:r>
      <w:r w:rsidR="007C6A50" w:rsidRPr="00690D7B">
        <w:rPr>
          <w:rFonts w:ascii="Arial" w:hAnsi="Arial" w:cs="Arial"/>
          <w:bCs/>
        </w:rPr>
        <w:t xml:space="preserve"> cost for the high end-technical support at provincial level for capacity building and smooth transition of the reporting system from 75 districts to </w:t>
      </w:r>
      <w:r w:rsidR="009C7E34">
        <w:rPr>
          <w:rFonts w:ascii="Arial" w:hAnsi="Arial" w:cs="Arial"/>
          <w:bCs/>
        </w:rPr>
        <w:t>&gt;</w:t>
      </w:r>
      <w:r w:rsidR="007C6A50" w:rsidRPr="00690D7B">
        <w:rPr>
          <w:rFonts w:ascii="Arial" w:hAnsi="Arial" w:cs="Arial"/>
          <w:bCs/>
        </w:rPr>
        <w:t xml:space="preserve">744 </w:t>
      </w:r>
      <w:proofErr w:type="spellStart"/>
      <w:r w:rsidR="007C6A50" w:rsidRPr="00690D7B">
        <w:rPr>
          <w:rFonts w:ascii="Arial" w:hAnsi="Arial" w:cs="Arial"/>
          <w:bCs/>
        </w:rPr>
        <w:t>palikas</w:t>
      </w:r>
      <w:proofErr w:type="spellEnd"/>
      <w:r w:rsidR="007C6A50" w:rsidRPr="00690D7B">
        <w:rPr>
          <w:rFonts w:ascii="Arial" w:hAnsi="Arial" w:cs="Arial"/>
          <w:bCs/>
        </w:rPr>
        <w:t xml:space="preserve"> is also supported through the investment. It includes stringent supervision, monitoring and evaluation of the activities from PR level to SR level for ensuring proper implementation to achieve the proposed targets. </w:t>
      </w:r>
      <w:r w:rsidR="00D40D14" w:rsidRPr="005D1C8C">
        <w:rPr>
          <w:rFonts w:ascii="Arial" w:hAnsi="Arial" w:cs="Arial"/>
          <w:bCs/>
        </w:rPr>
        <w:t>Procure</w:t>
      </w:r>
      <w:r w:rsidR="00D40D14">
        <w:rPr>
          <w:rFonts w:ascii="Arial" w:hAnsi="Arial" w:cs="Arial"/>
          <w:bCs/>
        </w:rPr>
        <w:t>ment of</w:t>
      </w:r>
      <w:r w:rsidR="00D40D14" w:rsidRPr="005D1C8C">
        <w:rPr>
          <w:rFonts w:ascii="Arial" w:hAnsi="Arial" w:cs="Arial"/>
          <w:bCs/>
        </w:rPr>
        <w:t xml:space="preserve"> one closed vehicle for integrated supply of drugs and other supplies</w:t>
      </w:r>
      <w:r w:rsidR="00D40D14">
        <w:rPr>
          <w:rFonts w:ascii="Arial" w:hAnsi="Arial" w:cs="Arial"/>
          <w:bCs/>
        </w:rPr>
        <w:t xml:space="preserve"> will facilitate delivery</w:t>
      </w:r>
      <w:r w:rsidR="00D40D14" w:rsidRPr="005D1C8C">
        <w:rPr>
          <w:rFonts w:ascii="Arial" w:hAnsi="Arial" w:cs="Arial"/>
          <w:bCs/>
        </w:rPr>
        <w:t xml:space="preserve"> in a timely and efficient manner to health facilities, etc. (</w:t>
      </w:r>
      <w:r w:rsidR="00D40D14" w:rsidRPr="005D1C8C">
        <w:rPr>
          <w:rFonts w:ascii="Arial" w:hAnsi="Arial" w:cs="Arial"/>
          <w:bCs/>
          <w:i/>
        </w:rPr>
        <w:t>Annex-18, p22</w:t>
      </w:r>
      <w:r w:rsidR="00D40D14" w:rsidRPr="005D1C8C">
        <w:rPr>
          <w:rFonts w:ascii="Arial" w:hAnsi="Arial" w:cs="Arial"/>
          <w:bCs/>
        </w:rPr>
        <w:t>).</w:t>
      </w:r>
    </w:p>
    <w:p w14:paraId="1B427186" w14:textId="77777777" w:rsidR="00D40D14" w:rsidRDefault="00D40D14" w:rsidP="00D40D14">
      <w:pPr>
        <w:spacing w:after="0" w:line="240" w:lineRule="auto"/>
        <w:jc w:val="both"/>
        <w:rPr>
          <w:rFonts w:ascii="Arial" w:hAnsi="Arial" w:cs="Arial"/>
          <w:bCs/>
        </w:rPr>
      </w:pPr>
    </w:p>
    <w:p w14:paraId="30C70A4E" w14:textId="3A0AD2A1" w:rsidR="001305A6" w:rsidRPr="00690D7B" w:rsidRDefault="001305A6" w:rsidP="000016CC">
      <w:pPr>
        <w:spacing w:after="0" w:line="240" w:lineRule="auto"/>
        <w:jc w:val="both"/>
        <w:rPr>
          <w:rFonts w:ascii="Arial" w:hAnsi="Arial" w:cs="Arial"/>
          <w:bCs/>
        </w:rPr>
      </w:pP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75"/>
        <w:gridCol w:w="1957"/>
      </w:tblGrid>
      <w:tr w:rsidR="00042DCA" w:rsidRPr="00D57C02" w14:paraId="5D0B8B00" w14:textId="77777777" w:rsidTr="00FE411C">
        <w:trPr>
          <w:trHeight w:val="274"/>
        </w:trPr>
        <w:tc>
          <w:tcPr>
            <w:tcW w:w="8932" w:type="dxa"/>
            <w:gridSpan w:val="2"/>
            <w:shd w:val="clear" w:color="auto" w:fill="C6D9F1"/>
          </w:tcPr>
          <w:p w14:paraId="5D0B8AFF" w14:textId="77777777" w:rsidR="00042DCA" w:rsidRPr="00D57C02" w:rsidRDefault="00042DCA" w:rsidP="00042DCA">
            <w:pPr>
              <w:spacing w:before="120" w:after="12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t>2.2 RSSH funding request</w:t>
            </w:r>
          </w:p>
        </w:tc>
      </w:tr>
      <w:tr w:rsidR="00042DCA" w:rsidRPr="00D57C02" w14:paraId="5D0B8B02" w14:textId="77777777" w:rsidTr="00FE411C">
        <w:trPr>
          <w:trHeight w:val="274"/>
        </w:trPr>
        <w:tc>
          <w:tcPr>
            <w:tcW w:w="8932" w:type="dxa"/>
            <w:gridSpan w:val="2"/>
            <w:shd w:val="clear" w:color="auto" w:fill="F2F2F2" w:themeFill="background1" w:themeFillShade="F2"/>
          </w:tcPr>
          <w:p w14:paraId="5D0B8B01" w14:textId="7B233043" w:rsidR="00042DCA" w:rsidRPr="00D57C02" w:rsidRDefault="00005E61" w:rsidP="00A00AE8">
            <w:pPr>
              <w:spacing w:before="120" w:after="120" w:line="240" w:lineRule="auto"/>
              <w:jc w:val="both"/>
              <w:rPr>
                <w:rFonts w:ascii="Arial" w:eastAsia="Calibri" w:hAnsi="Arial" w:cs="Arial"/>
                <w:bCs/>
                <w:sz w:val="20"/>
                <w:szCs w:val="20"/>
                <w:lang w:val="en-US"/>
              </w:rPr>
            </w:pPr>
            <w:r w:rsidRPr="00D57C02">
              <w:rPr>
                <w:rFonts w:ascii="Arial" w:eastAsia="Calibri" w:hAnsi="Arial" w:cs="Arial"/>
                <w:bCs/>
                <w:sz w:val="20"/>
                <w:szCs w:val="20"/>
                <w:lang w:val="en-US"/>
              </w:rPr>
              <w:t>The Global Fund strongly encourages funding requests for RSSH investments</w:t>
            </w:r>
            <w:r w:rsidR="00931EBA" w:rsidRPr="00D57C02">
              <w:rPr>
                <w:rFonts w:ascii="Arial" w:eastAsia="Calibri" w:hAnsi="Arial" w:cs="Arial"/>
                <w:bCs/>
                <w:sz w:val="20"/>
                <w:szCs w:val="20"/>
                <w:lang w:val="en-US"/>
              </w:rPr>
              <w:t xml:space="preserve"> to be submitted</w:t>
            </w:r>
            <w:r w:rsidRPr="00D57C02">
              <w:rPr>
                <w:rFonts w:ascii="Arial" w:eastAsia="Calibri" w:hAnsi="Arial" w:cs="Arial"/>
                <w:bCs/>
                <w:sz w:val="20"/>
                <w:szCs w:val="20"/>
                <w:lang w:val="en-US"/>
              </w:rPr>
              <w:t xml:space="preserve"> </w:t>
            </w:r>
            <w:r w:rsidR="00977EA5" w:rsidRPr="00D57C02">
              <w:rPr>
                <w:rFonts w:ascii="Arial" w:eastAsia="Calibri" w:hAnsi="Arial" w:cs="Arial"/>
                <w:bCs/>
                <w:sz w:val="20"/>
                <w:szCs w:val="20"/>
                <w:lang w:val="en-US"/>
              </w:rPr>
              <w:t>with</w:t>
            </w:r>
            <w:r w:rsidRPr="00D57C02">
              <w:rPr>
                <w:rFonts w:ascii="Arial" w:eastAsia="Calibri" w:hAnsi="Arial" w:cs="Arial"/>
                <w:bCs/>
                <w:sz w:val="20"/>
                <w:szCs w:val="20"/>
                <w:lang w:val="en-US"/>
              </w:rPr>
              <w:t>in</w:t>
            </w:r>
            <w:r w:rsidR="00977EA5" w:rsidRPr="00D57C02">
              <w:rPr>
                <w:rFonts w:ascii="Arial" w:eastAsia="Calibri" w:hAnsi="Arial" w:cs="Arial"/>
                <w:bCs/>
                <w:sz w:val="20"/>
                <w:szCs w:val="20"/>
                <w:lang w:val="en-US"/>
              </w:rPr>
              <w:t xml:space="preserve"> a</w:t>
            </w:r>
            <w:r w:rsidRPr="00D57C02">
              <w:rPr>
                <w:rFonts w:ascii="Arial" w:eastAsia="Calibri" w:hAnsi="Arial" w:cs="Arial"/>
                <w:b/>
                <w:bCs/>
                <w:i/>
                <w:sz w:val="20"/>
                <w:szCs w:val="20"/>
                <w:lang w:val="en-US"/>
              </w:rPr>
              <w:t xml:space="preserve"> </w:t>
            </w:r>
            <w:r w:rsidR="00977EA5" w:rsidRPr="00D57C02">
              <w:rPr>
                <w:rFonts w:ascii="Arial" w:eastAsia="Calibri" w:hAnsi="Arial" w:cs="Arial"/>
                <w:b/>
                <w:bCs/>
                <w:i/>
                <w:sz w:val="20"/>
                <w:szCs w:val="20"/>
                <w:lang w:val="en-US"/>
              </w:rPr>
              <w:t>single</w:t>
            </w:r>
            <w:r w:rsidRPr="00D57C02">
              <w:rPr>
                <w:rFonts w:ascii="Arial" w:eastAsia="Calibri" w:hAnsi="Arial" w:cs="Arial"/>
                <w:b/>
                <w:i/>
                <w:sz w:val="20"/>
                <w:szCs w:val="20"/>
                <w:lang w:val="en-US"/>
              </w:rPr>
              <w:t xml:space="preserve"> </w:t>
            </w:r>
            <w:r w:rsidRPr="00D57C02">
              <w:rPr>
                <w:rFonts w:ascii="Arial" w:eastAsia="Calibri" w:hAnsi="Arial" w:cs="Arial"/>
                <w:bCs/>
                <w:sz w:val="20"/>
                <w:szCs w:val="20"/>
                <w:lang w:val="en-US"/>
              </w:rPr>
              <w:t>application</w:t>
            </w:r>
            <w:r w:rsidR="00931EBA" w:rsidRPr="00D57C02">
              <w:rPr>
                <w:rFonts w:ascii="Arial" w:eastAsia="Calibri" w:hAnsi="Arial" w:cs="Arial"/>
                <w:bCs/>
                <w:sz w:val="20"/>
                <w:szCs w:val="20"/>
                <w:lang w:val="en-US"/>
              </w:rPr>
              <w:t xml:space="preserve">, and preferably </w:t>
            </w:r>
            <w:r w:rsidR="00EF5244" w:rsidRPr="00D57C02">
              <w:rPr>
                <w:rFonts w:ascii="Arial" w:eastAsia="Calibri" w:hAnsi="Arial" w:cs="Arial"/>
                <w:bCs/>
                <w:sz w:val="20"/>
                <w:szCs w:val="20"/>
                <w:lang w:val="en-US"/>
              </w:rPr>
              <w:t xml:space="preserve">to be </w:t>
            </w:r>
            <w:r w:rsidR="00931EBA" w:rsidRPr="00D57C02">
              <w:rPr>
                <w:rFonts w:ascii="Arial" w:eastAsia="Calibri" w:hAnsi="Arial" w:cs="Arial"/>
                <w:bCs/>
                <w:sz w:val="20"/>
                <w:szCs w:val="20"/>
                <w:lang w:val="en-US"/>
              </w:rPr>
              <w:t xml:space="preserve">requested in the first submission. </w:t>
            </w:r>
          </w:p>
        </w:tc>
      </w:tr>
      <w:tr w:rsidR="00042DCA" w:rsidRPr="00D57C02" w14:paraId="5D0B8B05" w14:textId="77777777" w:rsidTr="00FE411C">
        <w:trPr>
          <w:trHeight w:val="274"/>
        </w:trPr>
        <w:tc>
          <w:tcPr>
            <w:tcW w:w="6975" w:type="dxa"/>
            <w:shd w:val="clear" w:color="auto" w:fill="F2F2F2" w:themeFill="background1" w:themeFillShade="F2"/>
          </w:tcPr>
          <w:p w14:paraId="5D0B8B03" w14:textId="2BE002AB" w:rsidR="00042DCA" w:rsidRPr="00D57C02" w:rsidRDefault="00042DCA" w:rsidP="00A5131D">
            <w:pPr>
              <w:spacing w:before="120" w:after="12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t xml:space="preserve">Does this funding request include </w:t>
            </w:r>
            <w:r w:rsidR="00A5131D" w:rsidRPr="00D57C02">
              <w:rPr>
                <w:rFonts w:ascii="Arial" w:eastAsia="Calibri" w:hAnsi="Arial" w:cs="Arial"/>
                <w:b/>
                <w:bCs/>
                <w:sz w:val="20"/>
                <w:szCs w:val="20"/>
                <w:lang w:val="en-US"/>
              </w:rPr>
              <w:t xml:space="preserve">an </w:t>
            </w:r>
            <w:r w:rsidRPr="00D57C02">
              <w:rPr>
                <w:rFonts w:ascii="Arial" w:eastAsia="Calibri" w:hAnsi="Arial" w:cs="Arial"/>
                <w:b/>
                <w:bCs/>
                <w:sz w:val="20"/>
                <w:szCs w:val="20"/>
                <w:lang w:val="en-US"/>
              </w:rPr>
              <w:t>RSSH component?</w:t>
            </w:r>
          </w:p>
        </w:tc>
        <w:tc>
          <w:tcPr>
            <w:tcW w:w="1957" w:type="dxa"/>
            <w:shd w:val="clear" w:color="auto" w:fill="FFFFFF"/>
          </w:tcPr>
          <w:p w14:paraId="5D0B8B04" w14:textId="1F5E6FCC" w:rsidR="00042DCA" w:rsidRPr="00D57C02" w:rsidRDefault="00EB1D26" w:rsidP="00042DCA">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972409926"/>
                <w14:checkbox>
                  <w14:checked w14:val="1"/>
                  <w14:checkedState w14:val="2612" w14:font="MS Gothic"/>
                  <w14:uncheckedState w14:val="2610" w14:font="MS Gothic"/>
                </w14:checkbox>
              </w:sdtPr>
              <w:sdtEndPr/>
              <w:sdtContent>
                <w:r w:rsidR="00DC1862" w:rsidRPr="00D57C02">
                  <w:rPr>
                    <w:rFonts w:ascii="MS Gothic" w:eastAsia="MS Gothic" w:hAnsi="MS Gothic" w:cs="Arial" w:hint="eastAsia"/>
                    <w:bCs/>
                    <w:iCs/>
                    <w:sz w:val="20"/>
                    <w:szCs w:val="20"/>
                    <w:lang w:val="en-US"/>
                  </w:rPr>
                  <w:t>☒</w:t>
                </w:r>
              </w:sdtContent>
            </w:sdt>
            <w:r w:rsidR="0011786E" w:rsidRPr="00D57C02">
              <w:rPr>
                <w:rFonts w:ascii="Arial" w:eastAsia="Calibri" w:hAnsi="Arial" w:cs="Arial"/>
                <w:bCs/>
                <w:iCs/>
                <w:sz w:val="20"/>
                <w:szCs w:val="20"/>
                <w:lang w:val="en-US"/>
              </w:rPr>
              <w:t xml:space="preserve"> </w:t>
            </w:r>
            <w:r w:rsidR="00042DCA" w:rsidRPr="00D57C02">
              <w:rPr>
                <w:rFonts w:ascii="Arial" w:eastAsia="Calibri" w:hAnsi="Arial" w:cs="Arial"/>
                <w:bCs/>
                <w:iCs/>
                <w:sz w:val="20"/>
                <w:szCs w:val="20"/>
                <w:lang w:val="en-US"/>
              </w:rPr>
              <w:t xml:space="preserve">Yes         </w:t>
            </w:r>
            <w:sdt>
              <w:sdtPr>
                <w:rPr>
                  <w:rFonts w:ascii="Arial" w:eastAsia="Calibri" w:hAnsi="Arial" w:cs="Arial"/>
                  <w:bCs/>
                  <w:iCs/>
                  <w:sz w:val="20"/>
                  <w:szCs w:val="20"/>
                  <w:lang w:val="en-US"/>
                </w:rPr>
                <w:id w:val="-254750880"/>
                <w14:checkbox>
                  <w14:checked w14:val="0"/>
                  <w14:checkedState w14:val="2612" w14:font="MS Gothic"/>
                  <w14:uncheckedState w14:val="2610" w14:font="MS Gothic"/>
                </w14:checkbox>
              </w:sdtPr>
              <w:sdtEndPr/>
              <w:sdtContent>
                <w:r w:rsidR="00042DCA" w:rsidRPr="00D57C02">
                  <w:rPr>
                    <w:rFonts w:ascii="Segoe UI Symbol" w:eastAsia="Calibri" w:hAnsi="Segoe UI Symbol" w:cs="Segoe UI Symbol"/>
                    <w:bCs/>
                    <w:iCs/>
                    <w:sz w:val="20"/>
                    <w:szCs w:val="20"/>
                    <w:lang w:val="en-US"/>
                  </w:rPr>
                  <w:t>☐</w:t>
                </w:r>
              </w:sdtContent>
            </w:sdt>
            <w:r w:rsidR="00042DCA" w:rsidRPr="00D57C02">
              <w:rPr>
                <w:rFonts w:ascii="Arial" w:eastAsia="Calibri" w:hAnsi="Arial" w:cs="Arial"/>
                <w:bCs/>
                <w:iCs/>
                <w:sz w:val="20"/>
                <w:szCs w:val="20"/>
                <w:lang w:val="en-US"/>
              </w:rPr>
              <w:t xml:space="preserve"> No</w:t>
            </w:r>
          </w:p>
        </w:tc>
      </w:tr>
      <w:tr w:rsidR="00D57C02" w:rsidRPr="00D57C02" w14:paraId="5D0B8B08" w14:textId="77777777" w:rsidTr="00097DE7">
        <w:trPr>
          <w:trHeight w:val="2510"/>
        </w:trPr>
        <w:tc>
          <w:tcPr>
            <w:tcW w:w="8932" w:type="dxa"/>
            <w:gridSpan w:val="2"/>
            <w:shd w:val="clear" w:color="auto" w:fill="F2F2F2" w:themeFill="background1" w:themeFillShade="F2"/>
            <w:vAlign w:val="center"/>
          </w:tcPr>
          <w:p w14:paraId="43AEC2D6" w14:textId="246B4F0F" w:rsidR="0011786E" w:rsidRPr="00D57C02" w:rsidRDefault="00042DCA" w:rsidP="00F57EBD">
            <w:pPr>
              <w:spacing w:line="276" w:lineRule="auto"/>
              <w:rPr>
                <w:rFonts w:ascii="Arial" w:eastAsia="Calibri" w:hAnsi="Arial" w:cs="Arial"/>
                <w:sz w:val="20"/>
                <w:szCs w:val="20"/>
                <w:lang w:val="en-US"/>
              </w:rPr>
            </w:pPr>
            <w:r w:rsidRPr="00D57C02">
              <w:rPr>
                <w:rFonts w:ascii="Arial" w:eastAsia="Calibri" w:hAnsi="Arial" w:cs="Arial"/>
                <w:b/>
                <w:sz w:val="20"/>
                <w:szCs w:val="20"/>
                <w:lang w:val="en-US"/>
              </w:rPr>
              <w:t>If yes</w:t>
            </w:r>
            <w:r w:rsidRPr="00D57C02">
              <w:rPr>
                <w:rFonts w:ascii="Arial" w:eastAsia="Calibri" w:hAnsi="Arial" w:cs="Arial"/>
                <w:sz w:val="20"/>
                <w:szCs w:val="20"/>
                <w:lang w:val="en-US"/>
              </w:rPr>
              <w:t xml:space="preserve">, </w:t>
            </w:r>
            <w:r w:rsidR="00DD5B65" w:rsidRPr="00D57C02">
              <w:rPr>
                <w:rFonts w:ascii="Arial" w:eastAsia="Calibri" w:hAnsi="Arial" w:cs="Arial"/>
                <w:sz w:val="20"/>
                <w:szCs w:val="20"/>
                <w:lang w:val="en-US"/>
              </w:rPr>
              <w:t xml:space="preserve">describe the request </w:t>
            </w:r>
            <w:r w:rsidR="008718A5" w:rsidRPr="00D57C02">
              <w:rPr>
                <w:rFonts w:ascii="Arial" w:eastAsia="Calibri" w:hAnsi="Arial" w:cs="Arial"/>
                <w:sz w:val="20"/>
                <w:szCs w:val="20"/>
                <w:lang w:val="en-US"/>
              </w:rPr>
              <w:t xml:space="preserve">below </w:t>
            </w:r>
            <w:r w:rsidR="00DD5B65" w:rsidRPr="00D57C02">
              <w:rPr>
                <w:rFonts w:ascii="Arial" w:eastAsia="Calibri" w:hAnsi="Arial" w:cs="Arial"/>
                <w:sz w:val="20"/>
                <w:szCs w:val="20"/>
                <w:lang w:val="en-US"/>
              </w:rPr>
              <w:t>and how it is strategically targeted</w:t>
            </w:r>
            <w:r w:rsidR="00931EBA" w:rsidRPr="00D57C02">
              <w:rPr>
                <w:rFonts w:ascii="Arial" w:eastAsia="Calibri" w:hAnsi="Arial" w:cs="Arial"/>
                <w:sz w:val="20"/>
                <w:szCs w:val="20"/>
                <w:lang w:val="en-US"/>
              </w:rPr>
              <w:t>.</w:t>
            </w:r>
            <w:r w:rsidR="00DD5B65" w:rsidRPr="00D57C02">
              <w:rPr>
                <w:rFonts w:ascii="Arial" w:eastAsia="Calibri" w:hAnsi="Arial" w:cs="Arial"/>
                <w:sz w:val="20"/>
                <w:szCs w:val="20"/>
                <w:lang w:val="en-US"/>
              </w:rPr>
              <w:t xml:space="preserve"> </w:t>
            </w:r>
          </w:p>
          <w:p w14:paraId="536E1DEA" w14:textId="6519A249" w:rsidR="00F57EBD" w:rsidRPr="00D57C02" w:rsidRDefault="00F57EBD" w:rsidP="00A00AE8">
            <w:pPr>
              <w:spacing w:line="276"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Referring to the national health strategy, gaps and lessons learned outlined in the previous section, describe the funding request for RSSH and how the investment is strategically targeted to strengthen systems for health and achieve greater impact on the diseases. In your explanation, refer to the Funding Landscape Table on ‘government health </w:t>
            </w:r>
            <w:proofErr w:type="gramStart"/>
            <w:r w:rsidRPr="00D57C02">
              <w:rPr>
                <w:rFonts w:ascii="Arial" w:eastAsia="Calibri" w:hAnsi="Arial" w:cs="Arial"/>
                <w:sz w:val="20"/>
                <w:szCs w:val="20"/>
                <w:lang w:val="en-US"/>
              </w:rPr>
              <w:t>spending’</w:t>
            </w:r>
            <w:proofErr w:type="gramEnd"/>
            <w:r w:rsidRPr="00D57C02">
              <w:rPr>
                <w:rFonts w:ascii="Arial" w:eastAsia="Calibri" w:hAnsi="Arial" w:cs="Arial"/>
                <w:sz w:val="20"/>
                <w:szCs w:val="20"/>
                <w:lang w:val="en-US"/>
              </w:rPr>
              <w:t>, Performance Framework and Budget as appropriate. Note that it is optional to complete a Programmatic Gap Table for RSSH.</w:t>
            </w:r>
          </w:p>
          <w:p w14:paraId="5D0B8B07" w14:textId="49DD49AD" w:rsidR="00042DCA" w:rsidRPr="00D57C02" w:rsidRDefault="001631BD" w:rsidP="00F57EBD">
            <w:pPr>
              <w:spacing w:before="240" w:after="0" w:line="276" w:lineRule="auto"/>
              <w:rPr>
                <w:rFonts w:ascii="Arial" w:eastAsia="Calibri" w:hAnsi="Arial" w:cs="Arial"/>
                <w:b/>
                <w:sz w:val="20"/>
                <w:szCs w:val="20"/>
                <w:lang w:val="en-US"/>
              </w:rPr>
            </w:pPr>
            <w:r w:rsidRPr="00D57C02">
              <w:rPr>
                <w:rFonts w:ascii="Arial" w:eastAsia="Calibri" w:hAnsi="Arial" w:cs="Arial"/>
                <w:b/>
                <w:sz w:val="20"/>
                <w:szCs w:val="20"/>
                <w:lang w:val="en-US"/>
              </w:rPr>
              <w:t>(maximum</w:t>
            </w:r>
            <w:r w:rsidR="00C43F4F" w:rsidRPr="00D57C02">
              <w:rPr>
                <w:rFonts w:ascii="Arial" w:eastAsia="Calibri" w:hAnsi="Arial" w:cs="Arial"/>
                <w:b/>
                <w:sz w:val="20"/>
                <w:szCs w:val="20"/>
                <w:lang w:val="en-US"/>
              </w:rPr>
              <w:t xml:space="preserve"> 3</w:t>
            </w:r>
            <w:r w:rsidR="00042DCA" w:rsidRPr="00D57C02">
              <w:rPr>
                <w:rFonts w:ascii="Arial" w:eastAsia="Calibri" w:hAnsi="Arial" w:cs="Arial"/>
                <w:b/>
                <w:sz w:val="20"/>
                <w:szCs w:val="20"/>
                <w:lang w:val="en-US"/>
              </w:rPr>
              <w:t xml:space="preserve"> pages)</w:t>
            </w:r>
          </w:p>
        </w:tc>
      </w:tr>
    </w:tbl>
    <w:p w14:paraId="19A444D7" w14:textId="78D74F7F" w:rsidR="00107A9E" w:rsidRPr="00D57C02" w:rsidRDefault="00107A9E" w:rsidP="00107A9E">
      <w:pPr>
        <w:spacing w:after="0" w:line="240" w:lineRule="auto"/>
        <w:jc w:val="both"/>
        <w:rPr>
          <w:rFonts w:ascii="Arial" w:hAnsi="Arial" w:cs="Arial"/>
          <w:bCs/>
          <w:lang w:val="en-US"/>
        </w:rPr>
      </w:pPr>
      <w:r w:rsidRPr="00D57C02">
        <w:rPr>
          <w:rFonts w:ascii="Arial" w:hAnsi="Arial" w:cs="Arial"/>
          <w:bCs/>
          <w:lang w:val="en-US"/>
        </w:rPr>
        <w:t xml:space="preserve">In the 2014-2016 allocation </w:t>
      </w:r>
      <w:proofErr w:type="gramStart"/>
      <w:r w:rsidRPr="00D57C02">
        <w:rPr>
          <w:rFonts w:ascii="Arial" w:hAnsi="Arial" w:cs="Arial"/>
          <w:bCs/>
          <w:lang w:val="en-US"/>
        </w:rPr>
        <w:t>period</w:t>
      </w:r>
      <w:proofErr w:type="gramEnd"/>
      <w:r w:rsidRPr="00D57C02">
        <w:rPr>
          <w:rFonts w:ascii="Arial" w:hAnsi="Arial" w:cs="Arial"/>
          <w:bCs/>
          <w:lang w:val="en-US"/>
        </w:rPr>
        <w:t xml:space="preserve">, the GF budgeted investment related to cross-cutting resilient and sustainable systems for health (RSSH) interventions was US$2,656,992, representing 6.2% of the grant. However, for this funding request, the average RSSH investment in GF grant for Nepal is expected to be about </w:t>
      </w:r>
      <w:r w:rsidR="000A6C13">
        <w:rPr>
          <w:rFonts w:ascii="Arial" w:hAnsi="Arial" w:cs="Arial"/>
          <w:bCs/>
          <w:lang w:val="en-US"/>
        </w:rPr>
        <w:t>1</w:t>
      </w:r>
      <w:r w:rsidR="000841C6">
        <w:rPr>
          <w:rFonts w:ascii="Arial" w:hAnsi="Arial" w:cs="Arial"/>
          <w:bCs/>
          <w:lang w:val="en-US"/>
        </w:rPr>
        <w:t>6</w:t>
      </w:r>
      <w:r w:rsidRPr="00D57C02">
        <w:rPr>
          <w:rFonts w:ascii="Arial" w:hAnsi="Arial" w:cs="Arial"/>
          <w:bCs/>
          <w:lang w:val="en-US"/>
        </w:rPr>
        <w:t xml:space="preserve">% to achieve greater impact. </w:t>
      </w:r>
    </w:p>
    <w:p w14:paraId="29E7039A" w14:textId="77777777" w:rsidR="00107A9E" w:rsidRPr="00D57C02" w:rsidRDefault="00107A9E" w:rsidP="00B36E78">
      <w:pPr>
        <w:spacing w:after="0" w:line="240" w:lineRule="auto"/>
        <w:jc w:val="both"/>
        <w:rPr>
          <w:rFonts w:ascii="Arial" w:hAnsi="Arial" w:cs="Arial"/>
          <w:bCs/>
          <w:lang w:val="en-US"/>
        </w:rPr>
      </w:pPr>
    </w:p>
    <w:p w14:paraId="10DCA153" w14:textId="76F9F109" w:rsidR="008B4FCD" w:rsidRDefault="00855789" w:rsidP="008B4FCD">
      <w:pPr>
        <w:spacing w:line="240" w:lineRule="auto"/>
        <w:jc w:val="both"/>
        <w:rPr>
          <w:rFonts w:ascii="Arial" w:hAnsi="Arial" w:cs="Arial"/>
          <w:lang w:eastAsia="en-GB"/>
        </w:rPr>
      </w:pPr>
      <w:r w:rsidRPr="00D57C02">
        <w:rPr>
          <w:rFonts w:ascii="Arial" w:hAnsi="Arial" w:cs="Arial"/>
          <w:bCs/>
          <w:lang w:val="en-US"/>
        </w:rPr>
        <w:t>T</w:t>
      </w:r>
      <w:r w:rsidR="00EE7CE9" w:rsidRPr="00D57C02">
        <w:rPr>
          <w:rFonts w:ascii="Arial" w:hAnsi="Arial" w:cs="Arial"/>
          <w:bCs/>
          <w:lang w:val="en-US"/>
        </w:rPr>
        <w:t xml:space="preserve">he </w:t>
      </w:r>
      <w:r w:rsidRPr="00D57C02">
        <w:rPr>
          <w:rFonts w:ascii="Arial" w:hAnsi="Arial" w:cs="Arial"/>
          <w:bCs/>
          <w:lang w:val="en-US"/>
        </w:rPr>
        <w:t xml:space="preserve">overall </w:t>
      </w:r>
      <w:r w:rsidR="000A7CDA" w:rsidRPr="00D57C02">
        <w:rPr>
          <w:rFonts w:ascii="Arial" w:hAnsi="Arial" w:cs="Arial"/>
          <w:bCs/>
          <w:lang w:val="en-US"/>
        </w:rPr>
        <w:t xml:space="preserve">goal </w:t>
      </w:r>
      <w:r w:rsidR="0053019B" w:rsidRPr="00D57C02">
        <w:rPr>
          <w:rFonts w:ascii="Arial" w:hAnsi="Arial" w:cs="Arial"/>
          <w:bCs/>
          <w:lang w:val="en-US"/>
        </w:rPr>
        <w:t xml:space="preserve">of the </w:t>
      </w:r>
      <w:r w:rsidR="005816E9" w:rsidRPr="00D57C02">
        <w:rPr>
          <w:rFonts w:ascii="Arial" w:hAnsi="Arial" w:cs="Arial"/>
          <w:bCs/>
          <w:lang w:val="en-US"/>
        </w:rPr>
        <w:t>Nepal Health Sector Strategy (</w:t>
      </w:r>
      <w:r w:rsidRPr="00D57C02">
        <w:rPr>
          <w:rFonts w:ascii="Arial" w:hAnsi="Arial" w:cs="Arial"/>
          <w:bCs/>
          <w:lang w:val="en-US"/>
        </w:rPr>
        <w:t xml:space="preserve">2015-2020) </w:t>
      </w:r>
      <w:r w:rsidR="004F0791" w:rsidRPr="00D57C02">
        <w:rPr>
          <w:rFonts w:ascii="Arial" w:hAnsi="Arial" w:cs="Arial"/>
          <w:bCs/>
          <w:lang w:val="en-US"/>
        </w:rPr>
        <w:t>is</w:t>
      </w:r>
      <w:r w:rsidR="0053019B" w:rsidRPr="00D57C02">
        <w:rPr>
          <w:rFonts w:ascii="Arial" w:hAnsi="Arial" w:cs="Arial"/>
          <w:bCs/>
          <w:lang w:val="en-US"/>
        </w:rPr>
        <w:t xml:space="preserve"> </w:t>
      </w:r>
      <w:r w:rsidR="007B552F" w:rsidRPr="00D57C02">
        <w:rPr>
          <w:rFonts w:ascii="Arial" w:hAnsi="Arial" w:cs="Arial"/>
          <w:bCs/>
          <w:lang w:val="en-US"/>
        </w:rPr>
        <w:t>“</w:t>
      </w:r>
      <w:r w:rsidR="004F0791" w:rsidRPr="00D57C02">
        <w:rPr>
          <w:rFonts w:ascii="Arial" w:hAnsi="Arial" w:cs="Arial"/>
          <w:bCs/>
          <w:lang w:val="en-US"/>
        </w:rPr>
        <w:t>improved health status of all people through accountable and equitable health service delivery system</w:t>
      </w:r>
      <w:r w:rsidR="007B552F" w:rsidRPr="00D57C02">
        <w:rPr>
          <w:rFonts w:ascii="Arial" w:hAnsi="Arial" w:cs="Arial"/>
          <w:bCs/>
          <w:lang w:val="en-US"/>
        </w:rPr>
        <w:t>”</w:t>
      </w:r>
      <w:r w:rsidR="004F0791" w:rsidRPr="00D57C02">
        <w:rPr>
          <w:rFonts w:ascii="Arial" w:hAnsi="Arial" w:cs="Arial"/>
          <w:bCs/>
          <w:lang w:val="en-US"/>
        </w:rPr>
        <w:t xml:space="preserve">. The NHSS prioritizes </w:t>
      </w:r>
      <w:r w:rsidR="007B552F" w:rsidRPr="00D57C02">
        <w:rPr>
          <w:rFonts w:ascii="Arial" w:hAnsi="Arial" w:cs="Arial"/>
          <w:bCs/>
          <w:lang w:val="en-US"/>
        </w:rPr>
        <w:t>“</w:t>
      </w:r>
      <w:r w:rsidR="004F0791" w:rsidRPr="00D57C02">
        <w:rPr>
          <w:rFonts w:ascii="Arial" w:hAnsi="Arial" w:cs="Arial"/>
          <w:bCs/>
          <w:lang w:val="en-US"/>
        </w:rPr>
        <w:t xml:space="preserve">health to be at the </w:t>
      </w:r>
      <w:proofErr w:type="spellStart"/>
      <w:r w:rsidR="004F0791" w:rsidRPr="00D57C02">
        <w:rPr>
          <w:rFonts w:ascii="Arial" w:hAnsi="Arial" w:cs="Arial"/>
          <w:bCs/>
          <w:lang w:val="en-US"/>
        </w:rPr>
        <w:t>centre</w:t>
      </w:r>
      <w:proofErr w:type="spellEnd"/>
      <w:r w:rsidR="004F0791" w:rsidRPr="00D57C02">
        <w:rPr>
          <w:rFonts w:ascii="Arial" w:hAnsi="Arial" w:cs="Arial"/>
          <w:bCs/>
          <w:lang w:val="en-US"/>
        </w:rPr>
        <w:t xml:space="preserve"> of overall socio-economic development to fulfill the government’s vision to transform Nepal into a middle-income country by 2022</w:t>
      </w:r>
      <w:r w:rsidR="007B552F" w:rsidRPr="00D57C02">
        <w:rPr>
          <w:rFonts w:ascii="Arial" w:hAnsi="Arial" w:cs="Arial"/>
          <w:bCs/>
          <w:lang w:val="en-US"/>
        </w:rPr>
        <w:t>”</w:t>
      </w:r>
      <w:r w:rsidR="004F0791" w:rsidRPr="00D57C02">
        <w:rPr>
          <w:rFonts w:ascii="Arial" w:hAnsi="Arial" w:cs="Arial"/>
          <w:bCs/>
          <w:lang w:val="en-US"/>
        </w:rPr>
        <w:t xml:space="preserve">. </w:t>
      </w:r>
      <w:r w:rsidR="00A9048D" w:rsidRPr="00D57C02">
        <w:rPr>
          <w:rFonts w:ascii="Arial" w:hAnsi="Arial" w:cs="Arial"/>
          <w:bCs/>
          <w:lang w:val="en-US"/>
        </w:rPr>
        <w:t>To strengthen decentralization</w:t>
      </w:r>
      <w:r w:rsidR="007B552F" w:rsidRPr="00D57C02">
        <w:rPr>
          <w:rFonts w:ascii="Arial" w:hAnsi="Arial" w:cs="Arial"/>
          <w:bCs/>
          <w:lang w:val="en-US"/>
        </w:rPr>
        <w:t>,</w:t>
      </w:r>
      <w:r w:rsidR="00A9048D" w:rsidRPr="00D57C02">
        <w:rPr>
          <w:rFonts w:ascii="Arial" w:hAnsi="Arial" w:cs="Arial"/>
          <w:bCs/>
          <w:lang w:val="en-US"/>
        </w:rPr>
        <w:t xml:space="preserve"> planning and budgeting, NHSS </w:t>
      </w:r>
      <w:r w:rsidR="007B552F" w:rsidRPr="00D57C02">
        <w:rPr>
          <w:rFonts w:ascii="Arial" w:hAnsi="Arial" w:cs="Arial"/>
          <w:bCs/>
          <w:lang w:val="en-US"/>
        </w:rPr>
        <w:t>prioritizes</w:t>
      </w:r>
      <w:r w:rsidR="00A9048D" w:rsidRPr="00D57C02">
        <w:rPr>
          <w:rFonts w:ascii="Arial" w:hAnsi="Arial" w:cs="Arial"/>
          <w:bCs/>
          <w:lang w:val="en-US"/>
        </w:rPr>
        <w:t xml:space="preserve"> the implementation of the Collaborative Framework for Strengthening Local Health Governance in Nepal. </w:t>
      </w:r>
      <w:r w:rsidR="007B552F" w:rsidRPr="00D57C02">
        <w:rPr>
          <w:rFonts w:ascii="Arial" w:hAnsi="Arial" w:cs="Arial"/>
          <w:bCs/>
          <w:lang w:val="en-US"/>
        </w:rPr>
        <w:t xml:space="preserve">It includes expansion of </w:t>
      </w:r>
      <w:r w:rsidR="00A9048D" w:rsidRPr="00D57C02">
        <w:rPr>
          <w:rFonts w:ascii="Arial" w:hAnsi="Arial" w:cs="Arial"/>
          <w:bCs/>
          <w:lang w:val="en-US"/>
        </w:rPr>
        <w:t>state and non-state partnership by building mutually beneficial partnerships between the public and private sectors.</w:t>
      </w:r>
      <w:r w:rsidR="000E3F6A" w:rsidRPr="00D57C02">
        <w:rPr>
          <w:rFonts w:ascii="Arial" w:hAnsi="Arial" w:cs="Arial"/>
          <w:bCs/>
          <w:lang w:val="en-US"/>
        </w:rPr>
        <w:t xml:space="preserve"> </w:t>
      </w:r>
      <w:r w:rsidR="008B4FCD" w:rsidRPr="007B57C7">
        <w:rPr>
          <w:rFonts w:ascii="Arial" w:hAnsi="Arial" w:cs="Arial"/>
          <w:lang w:eastAsia="en-GB"/>
        </w:rPr>
        <w:t>The Nepal Health Sector Strategy Implementation Plan (NHSSIP) 2016-2021, describes several interventions aimed to strengthen the NTP including improving access to health services for unreached populations, strengthening social health protection mechanisms, fulfilling shortages in human resources, building capacity to diagnose childhood TB and developing policy and legislation for TB services in the private sector (</w:t>
      </w:r>
      <w:r w:rsidR="008B4FCD" w:rsidRPr="007B57C7">
        <w:rPr>
          <w:rFonts w:ascii="Arial" w:hAnsi="Arial" w:cs="Arial"/>
          <w:i/>
          <w:lang w:eastAsia="en-GB"/>
        </w:rPr>
        <w:t>Annex-9,</w:t>
      </w:r>
      <w:r w:rsidR="008B4FCD" w:rsidRPr="007B57C7">
        <w:rPr>
          <w:rFonts w:ascii="Arial" w:hAnsi="Arial" w:cs="Arial"/>
          <w:lang w:eastAsia="en-GB"/>
        </w:rPr>
        <w:t xml:space="preserve"> </w:t>
      </w:r>
      <w:r w:rsidR="008B4FCD" w:rsidRPr="007B57C7">
        <w:rPr>
          <w:rFonts w:ascii="Arial" w:hAnsi="Arial" w:cs="Arial"/>
          <w:i/>
          <w:lang w:eastAsia="en-GB"/>
        </w:rPr>
        <w:t>p105-112</w:t>
      </w:r>
      <w:r w:rsidR="008B4FCD" w:rsidRPr="007B57C7">
        <w:rPr>
          <w:rFonts w:ascii="Arial" w:hAnsi="Arial" w:cs="Arial"/>
          <w:lang w:eastAsia="en-GB"/>
        </w:rPr>
        <w:t>).</w:t>
      </w:r>
      <w:r w:rsidR="008B4FCD" w:rsidRPr="00D57C02">
        <w:rPr>
          <w:rFonts w:ascii="Arial" w:hAnsi="Arial" w:cs="Arial"/>
          <w:lang w:eastAsia="en-GB"/>
        </w:rPr>
        <w:t xml:space="preserve">  </w:t>
      </w:r>
    </w:p>
    <w:p w14:paraId="5F6B60C3" w14:textId="77777777" w:rsidR="005C263F" w:rsidRDefault="005C263F" w:rsidP="005C263F">
      <w:pPr>
        <w:tabs>
          <w:tab w:val="num" w:pos="720"/>
        </w:tabs>
        <w:spacing w:after="0" w:line="240" w:lineRule="auto"/>
        <w:jc w:val="both"/>
        <w:rPr>
          <w:rFonts w:ascii="Arial" w:hAnsi="Arial" w:cs="Arial"/>
          <w:bCs/>
          <w:lang w:val="en-US"/>
        </w:rPr>
      </w:pPr>
      <w:r w:rsidRPr="005C263F">
        <w:rPr>
          <w:rFonts w:ascii="Arial" w:hAnsi="Arial" w:cs="Arial"/>
          <w:b/>
        </w:rPr>
        <w:t>Integrated synergistic service delivery</w:t>
      </w:r>
      <w:r>
        <w:rPr>
          <w:rFonts w:ascii="Arial" w:hAnsi="Arial" w:cs="Arial"/>
        </w:rPr>
        <w:t xml:space="preserve">: </w:t>
      </w:r>
      <w:r w:rsidRPr="00506646">
        <w:rPr>
          <w:rFonts w:ascii="Arial" w:hAnsi="Arial" w:cs="Arial"/>
        </w:rPr>
        <w:t xml:space="preserve">The proportion of women receiving ANC from a skilled provider varies from 73% in </w:t>
      </w:r>
      <w:r>
        <w:rPr>
          <w:rFonts w:ascii="Arial" w:hAnsi="Arial" w:cs="Arial"/>
        </w:rPr>
        <w:t>Province</w:t>
      </w:r>
      <w:r w:rsidRPr="00506646">
        <w:rPr>
          <w:rFonts w:ascii="Arial" w:hAnsi="Arial" w:cs="Arial"/>
        </w:rPr>
        <w:t xml:space="preserve"> 6 to 91% in </w:t>
      </w:r>
      <w:r>
        <w:rPr>
          <w:rFonts w:ascii="Arial" w:hAnsi="Arial" w:cs="Arial"/>
        </w:rPr>
        <w:t>Province</w:t>
      </w:r>
      <w:r w:rsidRPr="00506646">
        <w:rPr>
          <w:rFonts w:ascii="Arial" w:hAnsi="Arial" w:cs="Arial"/>
        </w:rPr>
        <w:t xml:space="preserve"> 7</w:t>
      </w:r>
      <w:r w:rsidRPr="000016CC">
        <w:rPr>
          <w:rFonts w:ascii="Arial" w:hAnsi="Arial" w:cs="Arial"/>
        </w:rPr>
        <w:t>. Women in Province 2 and Province 6 are least likely to receive four or more ANC visits (only just over half) as compared with more than 74% of women in the other Provinces (</w:t>
      </w:r>
      <w:r w:rsidRPr="00E75D6C">
        <w:rPr>
          <w:rFonts w:ascii="Arial" w:hAnsi="Arial" w:cs="Arial"/>
          <w:i/>
        </w:rPr>
        <w:t>Annex-26</w:t>
      </w:r>
      <w:r w:rsidRPr="00E75D6C">
        <w:rPr>
          <w:rFonts w:ascii="Arial" w:hAnsi="Arial" w:cs="Arial"/>
        </w:rPr>
        <w:t xml:space="preserve">, </w:t>
      </w:r>
      <w:r w:rsidRPr="00E75D6C">
        <w:rPr>
          <w:rFonts w:ascii="Arial" w:hAnsi="Arial" w:cs="Arial"/>
          <w:i/>
        </w:rPr>
        <w:t>p23</w:t>
      </w:r>
      <w:r w:rsidRPr="00E75D6C">
        <w:rPr>
          <w:rFonts w:ascii="Arial" w:hAnsi="Arial" w:cs="Arial"/>
        </w:rPr>
        <w:t xml:space="preserve">). Female community health volunteers (FCHV) would be engaged in the above 2 </w:t>
      </w:r>
      <w:r>
        <w:rPr>
          <w:rFonts w:ascii="Arial" w:hAnsi="Arial" w:cs="Arial"/>
        </w:rPr>
        <w:t>provinces to motivate and encourage pregnant women to attend ANC clinics and at the same time sensitize them to be screened early for TB</w:t>
      </w:r>
      <w:r w:rsidRPr="00D57C02">
        <w:rPr>
          <w:rFonts w:ascii="Arial" w:hAnsi="Arial" w:cs="Arial"/>
          <w:bCs/>
          <w:lang w:val="en-US"/>
        </w:rPr>
        <w:t>, to avoid later complications to both mother and child.</w:t>
      </w:r>
      <w:r>
        <w:rPr>
          <w:rFonts w:ascii="Arial" w:hAnsi="Arial" w:cs="Arial"/>
          <w:bCs/>
          <w:lang w:val="en-US"/>
        </w:rPr>
        <w:t xml:space="preserve"> </w:t>
      </w:r>
      <w:r w:rsidRPr="00E75D6C">
        <w:rPr>
          <w:rFonts w:ascii="Arial" w:hAnsi="Arial" w:cs="Arial"/>
          <w:bCs/>
          <w:lang w:val="en-US"/>
        </w:rPr>
        <w:t>As cervical cancer is the leading cancer among women in Nepal with 50% mortality rate,</w:t>
      </w:r>
      <w:r w:rsidRPr="00D57C02">
        <w:rPr>
          <w:rFonts w:ascii="Arial" w:hAnsi="Arial" w:cs="Arial"/>
          <w:bCs/>
          <w:lang w:val="en-US"/>
        </w:rPr>
        <w:t xml:space="preserve"> combining cervical cancer screening (VIA) with TB screening, followed by appropriate referrals to higher treatment </w:t>
      </w:r>
      <w:proofErr w:type="spellStart"/>
      <w:r w:rsidRPr="00D57C02">
        <w:rPr>
          <w:rFonts w:ascii="Arial" w:hAnsi="Arial" w:cs="Arial"/>
          <w:bCs/>
          <w:lang w:val="en-US"/>
        </w:rPr>
        <w:t>centres</w:t>
      </w:r>
      <w:proofErr w:type="spellEnd"/>
      <w:r w:rsidRPr="00D57C02">
        <w:rPr>
          <w:rFonts w:ascii="Arial" w:hAnsi="Arial" w:cs="Arial"/>
          <w:bCs/>
          <w:lang w:val="en-US"/>
        </w:rPr>
        <w:t xml:space="preserve"> would strengthen the cervical cancer screening and </w:t>
      </w:r>
      <w:r w:rsidRPr="00D57C02">
        <w:rPr>
          <w:rFonts w:ascii="Arial" w:hAnsi="Arial" w:cs="Arial"/>
          <w:bCs/>
          <w:lang w:val="en-US"/>
        </w:rPr>
        <w:lastRenderedPageBreak/>
        <w:t xml:space="preserve">prevention </w:t>
      </w:r>
      <w:proofErr w:type="spellStart"/>
      <w:r w:rsidRPr="00D57C02">
        <w:rPr>
          <w:rFonts w:ascii="Arial" w:hAnsi="Arial" w:cs="Arial"/>
          <w:bCs/>
          <w:lang w:val="en-US"/>
        </w:rPr>
        <w:t>programme</w:t>
      </w:r>
      <w:proofErr w:type="spellEnd"/>
      <w:r w:rsidRPr="00D57C02">
        <w:rPr>
          <w:rFonts w:ascii="Arial" w:hAnsi="Arial" w:cs="Arial"/>
          <w:bCs/>
          <w:lang w:val="en-US"/>
        </w:rPr>
        <w:t>. The age-specific (34-54 years)</w:t>
      </w:r>
      <w:r>
        <w:rPr>
          <w:rFonts w:ascii="Arial" w:hAnsi="Arial" w:cs="Arial"/>
          <w:bCs/>
          <w:lang w:val="en-US"/>
        </w:rPr>
        <w:t>,</w:t>
      </w:r>
      <w:r w:rsidRPr="00D57C02">
        <w:rPr>
          <w:rFonts w:ascii="Arial" w:hAnsi="Arial" w:cs="Arial"/>
          <w:bCs/>
          <w:lang w:val="en-US"/>
        </w:rPr>
        <w:t xml:space="preserve"> </w:t>
      </w:r>
      <w:r>
        <w:rPr>
          <w:rFonts w:ascii="Arial" w:hAnsi="Arial" w:cs="Arial"/>
          <w:bCs/>
          <w:lang w:val="en-US"/>
        </w:rPr>
        <w:t xml:space="preserve">high-risk </w:t>
      </w:r>
      <w:r w:rsidRPr="00D57C02">
        <w:rPr>
          <w:rFonts w:ascii="Arial" w:hAnsi="Arial" w:cs="Arial"/>
          <w:bCs/>
          <w:lang w:val="en-US"/>
        </w:rPr>
        <w:t xml:space="preserve">female population eligible for cervical </w:t>
      </w:r>
      <w:r w:rsidRPr="00E75D6C">
        <w:rPr>
          <w:rFonts w:ascii="Arial" w:hAnsi="Arial" w:cs="Arial"/>
          <w:bCs/>
          <w:lang w:val="en-US"/>
        </w:rPr>
        <w:t>cancer screening estimated in 2016 was 4,525,416</w:t>
      </w:r>
      <w:r w:rsidRPr="00E75D6C">
        <w:rPr>
          <w:rStyle w:val="EndnoteReference"/>
          <w:rFonts w:ascii="Arial" w:hAnsi="Arial" w:cs="Arial"/>
          <w:bCs/>
          <w:lang w:val="en-US"/>
        </w:rPr>
        <w:endnoteReference w:id="15"/>
      </w:r>
      <w:r w:rsidRPr="00E75D6C">
        <w:rPr>
          <w:rFonts w:ascii="Arial" w:hAnsi="Arial" w:cs="Arial"/>
          <w:bCs/>
          <w:lang w:val="en-US"/>
        </w:rPr>
        <w:t xml:space="preserve"> (</w:t>
      </w:r>
      <w:r w:rsidRPr="00E75D6C">
        <w:rPr>
          <w:rFonts w:ascii="Arial" w:hAnsi="Arial" w:cs="Arial"/>
          <w:bCs/>
          <w:i/>
          <w:lang w:val="en-US"/>
        </w:rPr>
        <w:t>Annex-27, p14</w:t>
      </w:r>
      <w:r w:rsidRPr="00E75D6C">
        <w:rPr>
          <w:rFonts w:ascii="Arial" w:hAnsi="Arial" w:cs="Arial"/>
          <w:bCs/>
          <w:lang w:val="en-US"/>
        </w:rPr>
        <w:t>).</w:t>
      </w:r>
    </w:p>
    <w:p w14:paraId="6F6D5E03" w14:textId="77777777" w:rsidR="003D3198" w:rsidRDefault="003D3198" w:rsidP="00B36E78">
      <w:pPr>
        <w:tabs>
          <w:tab w:val="num" w:pos="720"/>
        </w:tabs>
        <w:spacing w:after="0" w:line="240" w:lineRule="auto"/>
        <w:jc w:val="both"/>
        <w:rPr>
          <w:rFonts w:ascii="Arial" w:hAnsi="Arial" w:cs="Arial"/>
          <w:bCs/>
          <w:lang w:val="en-US"/>
        </w:rPr>
      </w:pPr>
    </w:p>
    <w:p w14:paraId="7F19E436" w14:textId="6EB137E7" w:rsidR="00D92CFA" w:rsidRDefault="00D92CFA" w:rsidP="00B36E78">
      <w:pPr>
        <w:tabs>
          <w:tab w:val="num" w:pos="720"/>
        </w:tabs>
        <w:spacing w:after="0" w:line="240" w:lineRule="auto"/>
        <w:jc w:val="both"/>
        <w:rPr>
          <w:rFonts w:ascii="Arial" w:hAnsi="Arial" w:cs="Arial"/>
          <w:bCs/>
          <w:lang w:val="en-US"/>
        </w:rPr>
      </w:pPr>
      <w:r w:rsidRPr="00D57C02">
        <w:rPr>
          <w:rFonts w:ascii="Arial" w:hAnsi="Arial" w:cs="Arial"/>
          <w:bCs/>
          <w:lang w:val="en-US"/>
        </w:rPr>
        <w:t xml:space="preserve">Based on the national strategy, gaps and lessons learned, </w:t>
      </w:r>
      <w:r w:rsidR="00500D08" w:rsidRPr="00D57C02">
        <w:rPr>
          <w:rFonts w:ascii="Arial" w:hAnsi="Arial" w:cs="Arial"/>
          <w:bCs/>
          <w:lang w:val="en-US"/>
        </w:rPr>
        <w:t xml:space="preserve">and to maximize the impact of the GF grant, </w:t>
      </w:r>
      <w:r w:rsidRPr="00D57C02">
        <w:rPr>
          <w:rFonts w:ascii="Arial" w:hAnsi="Arial" w:cs="Arial"/>
          <w:bCs/>
          <w:lang w:val="en-US"/>
        </w:rPr>
        <w:t xml:space="preserve">this funding request will focus on </w:t>
      </w:r>
      <w:r w:rsidR="00500D08" w:rsidRPr="00D57C02">
        <w:rPr>
          <w:rFonts w:ascii="Arial" w:hAnsi="Arial" w:cs="Arial"/>
          <w:bCs/>
          <w:lang w:val="en-US"/>
        </w:rPr>
        <w:t>the following</w:t>
      </w:r>
      <w:r w:rsidRPr="00D57C02">
        <w:rPr>
          <w:rFonts w:ascii="Arial" w:hAnsi="Arial" w:cs="Arial"/>
          <w:bCs/>
          <w:lang w:val="en-US"/>
        </w:rPr>
        <w:t xml:space="preserve"> strategic areas</w:t>
      </w:r>
      <w:r w:rsidR="003673D6">
        <w:rPr>
          <w:rFonts w:ascii="Arial" w:hAnsi="Arial" w:cs="Arial"/>
          <w:bCs/>
          <w:lang w:val="en-US"/>
        </w:rPr>
        <w:t xml:space="preserve"> which would facilitate </w:t>
      </w:r>
      <w:r w:rsidR="00DD6F91">
        <w:rPr>
          <w:rFonts w:ascii="Arial" w:hAnsi="Arial" w:cs="Arial"/>
          <w:bCs/>
          <w:lang w:val="en-US"/>
        </w:rPr>
        <w:t xml:space="preserve">better access to treatment </w:t>
      </w:r>
      <w:r w:rsidR="006C2A65">
        <w:rPr>
          <w:rFonts w:ascii="Arial" w:hAnsi="Arial" w:cs="Arial"/>
          <w:bCs/>
          <w:lang w:val="en-US"/>
        </w:rPr>
        <w:t xml:space="preserve">and follow up of patients in </w:t>
      </w:r>
      <w:r w:rsidR="00943474">
        <w:rPr>
          <w:rFonts w:ascii="Arial" w:hAnsi="Arial" w:cs="Arial"/>
          <w:bCs/>
          <w:lang w:val="en-US"/>
        </w:rPr>
        <w:t xml:space="preserve">the </w:t>
      </w:r>
      <w:r w:rsidR="006C2A65">
        <w:rPr>
          <w:rFonts w:ascii="Arial" w:hAnsi="Arial" w:cs="Arial"/>
          <w:bCs/>
          <w:lang w:val="en-US"/>
        </w:rPr>
        <w:t xml:space="preserve">community. </w:t>
      </w:r>
    </w:p>
    <w:p w14:paraId="24E30FCC" w14:textId="07326EFF" w:rsidR="003D3198" w:rsidRDefault="003D3198" w:rsidP="00B36E78">
      <w:pPr>
        <w:tabs>
          <w:tab w:val="num" w:pos="720"/>
        </w:tabs>
        <w:spacing w:after="0" w:line="240" w:lineRule="auto"/>
        <w:jc w:val="both"/>
        <w:rPr>
          <w:rFonts w:ascii="Arial" w:hAnsi="Arial" w:cs="Arial"/>
          <w:bCs/>
          <w:lang w:val="en-US"/>
        </w:rPr>
      </w:pPr>
    </w:p>
    <w:p w14:paraId="34D8D300" w14:textId="77777777" w:rsidR="003D3198" w:rsidRDefault="003D3198" w:rsidP="00B36E78">
      <w:pPr>
        <w:tabs>
          <w:tab w:val="num" w:pos="720"/>
        </w:tabs>
        <w:spacing w:after="0" w:line="240" w:lineRule="auto"/>
        <w:jc w:val="both"/>
        <w:rPr>
          <w:rFonts w:ascii="Arial" w:hAnsi="Arial" w:cs="Arial"/>
          <w:bCs/>
          <w:lang w:val="en-US"/>
        </w:rPr>
      </w:pPr>
    </w:p>
    <w:p w14:paraId="10603578" w14:textId="77777777" w:rsidR="00506C99" w:rsidRDefault="00506C99" w:rsidP="00B36E78">
      <w:pPr>
        <w:tabs>
          <w:tab w:val="num" w:pos="720"/>
        </w:tabs>
        <w:spacing w:after="0" w:line="240" w:lineRule="auto"/>
        <w:jc w:val="both"/>
        <w:rPr>
          <w:rFonts w:ascii="Arial" w:hAnsi="Arial" w:cs="Arial"/>
          <w:bCs/>
          <w:lang w:val="en-US"/>
        </w:rPr>
      </w:pPr>
    </w:p>
    <w:p w14:paraId="32C05EA4" w14:textId="0FA4D4A5" w:rsidR="00882683" w:rsidRPr="00256207" w:rsidRDefault="008B22C7" w:rsidP="00882683">
      <w:pPr>
        <w:spacing w:after="0" w:line="240" w:lineRule="auto"/>
        <w:jc w:val="both"/>
        <w:rPr>
          <w:rFonts w:ascii="Arial" w:hAnsi="Arial" w:cs="Arial"/>
          <w:b/>
        </w:rPr>
      </w:pPr>
      <w:r>
        <w:rPr>
          <w:rFonts w:ascii="Arial" w:hAnsi="Arial" w:cs="Arial"/>
          <w:b/>
        </w:rPr>
        <w:t>RSSH</w:t>
      </w:r>
      <w:r w:rsidR="0082218F">
        <w:rPr>
          <w:rFonts w:ascii="Arial" w:hAnsi="Arial" w:cs="Arial"/>
          <w:b/>
        </w:rPr>
        <w:t>:</w:t>
      </w:r>
      <w:r w:rsidR="00E61B93">
        <w:rPr>
          <w:rFonts w:ascii="Arial" w:hAnsi="Arial" w:cs="Arial"/>
          <w:b/>
        </w:rPr>
        <w:t xml:space="preserve"> </w:t>
      </w:r>
      <w:r w:rsidR="00882683" w:rsidRPr="00256207">
        <w:rPr>
          <w:rFonts w:ascii="Arial" w:hAnsi="Arial" w:cs="Arial"/>
          <w:b/>
        </w:rPr>
        <w:t>Community responses and systems</w:t>
      </w:r>
      <w:r w:rsidR="00DD6F91">
        <w:rPr>
          <w:rFonts w:ascii="Arial" w:hAnsi="Arial" w:cs="Arial"/>
          <w:b/>
        </w:rPr>
        <w:t xml:space="preserve"> </w:t>
      </w:r>
    </w:p>
    <w:p w14:paraId="0A9E77F5" w14:textId="7407BFC1" w:rsidR="003E41F8" w:rsidRPr="003D3198" w:rsidRDefault="008B22C7" w:rsidP="008B22C7">
      <w:pPr>
        <w:spacing w:after="0" w:line="240" w:lineRule="auto"/>
        <w:jc w:val="both"/>
        <w:rPr>
          <w:rFonts w:ascii="Arial" w:eastAsia="Times New Roman" w:hAnsi="Arial" w:cs="Arial"/>
        </w:rPr>
      </w:pPr>
      <w:r w:rsidRPr="003D3198">
        <w:rPr>
          <w:rFonts w:ascii="Arial" w:eastAsia="Times New Roman" w:hAnsi="Arial" w:cs="Arial"/>
        </w:rPr>
        <w:t xml:space="preserve">a) Under the intervention- </w:t>
      </w:r>
      <w:r w:rsidRPr="003D3198">
        <w:rPr>
          <w:rFonts w:ascii="Arial" w:eastAsia="Times New Roman" w:hAnsi="Arial" w:cs="Arial"/>
          <w:u w:val="single"/>
        </w:rPr>
        <w:t>community-based monitoring</w:t>
      </w:r>
      <w:r w:rsidRPr="003D3198">
        <w:rPr>
          <w:rFonts w:ascii="Arial" w:eastAsia="Times New Roman" w:hAnsi="Arial" w:cs="Arial"/>
        </w:rPr>
        <w:t>, (</w:t>
      </w:r>
      <w:proofErr w:type="spellStart"/>
      <w:r w:rsidRPr="003D3198">
        <w:rPr>
          <w:rFonts w:ascii="Arial" w:eastAsia="Times New Roman" w:hAnsi="Arial" w:cs="Arial"/>
        </w:rPr>
        <w:t>i</w:t>
      </w:r>
      <w:proofErr w:type="spellEnd"/>
      <w:r w:rsidRPr="003D3198">
        <w:rPr>
          <w:rFonts w:ascii="Arial" w:eastAsia="Times New Roman" w:hAnsi="Arial" w:cs="Arial"/>
        </w:rPr>
        <w:t xml:space="preserve">) the mapping of CBOs and FBOs at the grass-roots level for engagement in supervision &amp; M&amp;E will strengthen the CB-DOTS in existing 21 districts and (ii) 9 new districts where expansion of CB-DOTS will take place during proposed grant period and this will reduce barriers for KAP, increase contact tracing and ensure treatment adherence. </w:t>
      </w:r>
    </w:p>
    <w:p w14:paraId="68544EA4" w14:textId="77777777" w:rsidR="005C263F" w:rsidRPr="003D3198" w:rsidRDefault="005C263F" w:rsidP="008B22C7">
      <w:pPr>
        <w:spacing w:after="0" w:line="240" w:lineRule="auto"/>
        <w:jc w:val="both"/>
        <w:rPr>
          <w:rFonts w:ascii="Arial" w:eastAsia="Times New Roman" w:hAnsi="Arial" w:cs="Arial"/>
        </w:rPr>
      </w:pPr>
    </w:p>
    <w:p w14:paraId="0574803F" w14:textId="6544FA9D" w:rsidR="008B22C7" w:rsidRPr="003D3198" w:rsidRDefault="008B22C7" w:rsidP="008B22C7">
      <w:pPr>
        <w:spacing w:after="0" w:line="240" w:lineRule="auto"/>
        <w:jc w:val="both"/>
        <w:rPr>
          <w:rFonts w:ascii="Arial" w:hAnsi="Arial" w:cs="Arial"/>
        </w:rPr>
      </w:pPr>
      <w:r w:rsidRPr="003D3198">
        <w:rPr>
          <w:rFonts w:ascii="Arial" w:hAnsi="Arial" w:cs="Arial"/>
        </w:rPr>
        <w:t>b) Under the intervention-</w:t>
      </w:r>
      <w:r w:rsidRPr="003D3198">
        <w:rPr>
          <w:rFonts w:ascii="Arial" w:hAnsi="Arial" w:cs="Arial"/>
          <w:u w:val="single"/>
        </w:rPr>
        <w:t>other community responses and systems intervention(s)</w:t>
      </w:r>
      <w:r w:rsidRPr="003D3198">
        <w:rPr>
          <w:rFonts w:ascii="Arial" w:hAnsi="Arial" w:cs="Arial"/>
        </w:rPr>
        <w:t xml:space="preserve">, orientation to school children on TB through 5 trainings per district every year to cover 40 districts in 3 years would result in 48,000 trained children who as “agents of change” would raise TB awareness among their families, </w:t>
      </w:r>
      <w:proofErr w:type="spellStart"/>
      <w:r w:rsidRPr="003D3198">
        <w:rPr>
          <w:rFonts w:ascii="Arial" w:hAnsi="Arial" w:cs="Arial"/>
        </w:rPr>
        <w:t>neighbors</w:t>
      </w:r>
      <w:proofErr w:type="spellEnd"/>
      <w:r w:rsidRPr="003D3198">
        <w:rPr>
          <w:rFonts w:ascii="Arial" w:hAnsi="Arial" w:cs="Arial"/>
        </w:rPr>
        <w:t xml:space="preserve"> in the community and assist in contact tracing.</w:t>
      </w:r>
    </w:p>
    <w:p w14:paraId="224F55DE" w14:textId="6288C223" w:rsidR="008B22C7" w:rsidRDefault="008B22C7" w:rsidP="008B22C7">
      <w:pPr>
        <w:spacing w:after="0" w:line="240" w:lineRule="auto"/>
        <w:jc w:val="both"/>
        <w:rPr>
          <w:rFonts w:ascii="Arial" w:hAnsi="Arial" w:cs="Arial"/>
          <w:color w:val="8496B0" w:themeColor="text2" w:themeTint="99"/>
        </w:rPr>
      </w:pPr>
    </w:p>
    <w:p w14:paraId="338CA97C" w14:textId="1996F3EE" w:rsidR="008B22C7" w:rsidRDefault="005C263F" w:rsidP="008B22C7">
      <w:pPr>
        <w:spacing w:after="0" w:line="240" w:lineRule="auto"/>
        <w:jc w:val="both"/>
        <w:rPr>
          <w:rFonts w:ascii="Arial" w:eastAsia="Times New Roman" w:hAnsi="Arial" w:cs="Arial"/>
          <w:b/>
          <w:color w:val="000000"/>
        </w:rPr>
      </w:pPr>
      <w:r w:rsidRPr="00B054A1">
        <w:rPr>
          <w:rFonts w:ascii="Arial" w:eastAsia="Times New Roman" w:hAnsi="Arial" w:cs="Arial"/>
          <w:b/>
          <w:color w:val="000000"/>
        </w:rPr>
        <w:t xml:space="preserve">RSSH: Health management information systems </w:t>
      </w:r>
      <w:r>
        <w:rPr>
          <w:rFonts w:ascii="Arial" w:eastAsia="Times New Roman" w:hAnsi="Arial" w:cs="Arial"/>
          <w:b/>
          <w:color w:val="000000"/>
        </w:rPr>
        <w:t>&amp;</w:t>
      </w:r>
      <w:r w:rsidRPr="00B054A1">
        <w:rPr>
          <w:rFonts w:ascii="Arial" w:eastAsia="Times New Roman" w:hAnsi="Arial" w:cs="Arial"/>
          <w:b/>
          <w:color w:val="000000"/>
        </w:rPr>
        <w:t xml:space="preserve"> M&amp;E</w:t>
      </w:r>
    </w:p>
    <w:p w14:paraId="6C44FE3D" w14:textId="29F7C731" w:rsidR="005C263F" w:rsidRPr="003D3198" w:rsidRDefault="005C263F" w:rsidP="005C263F">
      <w:pPr>
        <w:jc w:val="both"/>
        <w:rPr>
          <w:rFonts w:ascii="Arial" w:hAnsi="Arial" w:cs="Arial"/>
        </w:rPr>
      </w:pPr>
      <w:r w:rsidRPr="003D3198">
        <w:rPr>
          <w:rFonts w:ascii="Arial" w:hAnsi="Arial" w:cs="Arial"/>
        </w:rPr>
        <w:t xml:space="preserve">a) Under the intervention- </w:t>
      </w:r>
      <w:r w:rsidRPr="003D3198">
        <w:rPr>
          <w:rFonts w:ascii="Arial" w:hAnsi="Arial" w:cs="Arial"/>
          <w:u w:val="single"/>
        </w:rPr>
        <w:t>analysis, review and transparency</w:t>
      </w:r>
      <w:r w:rsidRPr="003D3198">
        <w:rPr>
          <w:rFonts w:ascii="Arial" w:hAnsi="Arial" w:cs="Arial"/>
        </w:rPr>
        <w:t>, (</w:t>
      </w:r>
      <w:proofErr w:type="spellStart"/>
      <w:r w:rsidRPr="003D3198">
        <w:rPr>
          <w:rFonts w:ascii="Arial" w:hAnsi="Arial" w:cs="Arial"/>
        </w:rPr>
        <w:t>i</w:t>
      </w:r>
      <w:proofErr w:type="spellEnd"/>
      <w:r w:rsidRPr="003D3198">
        <w:rPr>
          <w:rFonts w:ascii="Arial" w:hAnsi="Arial" w:cs="Arial"/>
        </w:rPr>
        <w:t xml:space="preserve">) external technical assistance for an in-depth review of the NTP in selected districts would enhance the quality of the NTP assessment, identify gaps and recommend interventions; (ii) Data Quality Review (DQR) of NTP in 3 districts of each of the 7 provinces and in each district, 5 health facilities would be selected to assess and enhance data quality. </w:t>
      </w:r>
    </w:p>
    <w:p w14:paraId="7A244D82" w14:textId="3D50111C" w:rsidR="005C263F" w:rsidRPr="003D3198" w:rsidRDefault="005C263F" w:rsidP="005C263F">
      <w:pPr>
        <w:jc w:val="both"/>
        <w:rPr>
          <w:rFonts w:ascii="Arial" w:hAnsi="Arial"/>
        </w:rPr>
      </w:pPr>
      <w:r w:rsidRPr="003D3198">
        <w:rPr>
          <w:rFonts w:ascii="Arial" w:hAnsi="Arial" w:cs="Arial"/>
        </w:rPr>
        <w:t xml:space="preserve">b) Under the intervention- </w:t>
      </w:r>
      <w:r w:rsidRPr="003D3198">
        <w:rPr>
          <w:rFonts w:ascii="Arial" w:hAnsi="Arial" w:cs="Arial"/>
          <w:u w:val="single"/>
        </w:rPr>
        <w:t>other health information systems and M&amp;E intervention(s)</w:t>
      </w:r>
      <w:r w:rsidRPr="003D3198">
        <w:rPr>
          <w:rFonts w:ascii="Arial" w:hAnsi="Arial" w:cs="Arial"/>
        </w:rPr>
        <w:t>, training of focal person (health) in each local body (&gt;744) would strengthen the HIMS including M&amp;E</w:t>
      </w:r>
    </w:p>
    <w:p w14:paraId="4F18A29D" w14:textId="1C7ADBE1" w:rsidR="005C263F" w:rsidRPr="003D3198" w:rsidRDefault="005C263F" w:rsidP="008B22C7">
      <w:pPr>
        <w:spacing w:after="0" w:line="240" w:lineRule="auto"/>
        <w:jc w:val="both"/>
        <w:rPr>
          <w:rFonts w:ascii="Arial" w:hAnsi="Arial" w:cs="Arial"/>
        </w:rPr>
      </w:pPr>
      <w:r w:rsidRPr="003D3198">
        <w:rPr>
          <w:rFonts w:ascii="Arial" w:hAnsi="Arial" w:cs="Arial"/>
        </w:rPr>
        <w:t>c) Under the intervention-</w:t>
      </w:r>
      <w:r w:rsidRPr="003D3198">
        <w:rPr>
          <w:rFonts w:ascii="Arial" w:eastAsia="Times New Roman" w:hAnsi="Arial" w:cs="Arial"/>
        </w:rPr>
        <w:t xml:space="preserve"> </w:t>
      </w:r>
      <w:r w:rsidRPr="003D3198">
        <w:rPr>
          <w:rFonts w:ascii="Arial" w:hAnsi="Arial" w:cs="Arial"/>
          <w:u w:val="single"/>
        </w:rPr>
        <w:t>program and data quality</w:t>
      </w:r>
      <w:r w:rsidRPr="003D3198">
        <w:rPr>
          <w:rFonts w:ascii="Arial" w:hAnsi="Arial" w:cs="Arial"/>
        </w:rPr>
        <w:t>, two activities will improve data quality: (</w:t>
      </w:r>
      <w:proofErr w:type="spellStart"/>
      <w:r w:rsidRPr="003D3198">
        <w:rPr>
          <w:rFonts w:ascii="Arial" w:hAnsi="Arial" w:cs="Arial"/>
        </w:rPr>
        <w:t>i</w:t>
      </w:r>
      <w:proofErr w:type="spellEnd"/>
      <w:r w:rsidRPr="003D3198">
        <w:rPr>
          <w:rFonts w:ascii="Arial" w:hAnsi="Arial" w:cs="Arial"/>
        </w:rPr>
        <w:t>) supportive supervision visits to health facility having inconsistent/error reporting and (ii) workshop for data validation and entry in HMIS.</w:t>
      </w:r>
    </w:p>
    <w:p w14:paraId="30520B73" w14:textId="77777777" w:rsidR="005C263F" w:rsidRPr="003D3198" w:rsidRDefault="005C263F" w:rsidP="008B22C7">
      <w:pPr>
        <w:spacing w:after="0" w:line="240" w:lineRule="auto"/>
        <w:jc w:val="both"/>
        <w:rPr>
          <w:rFonts w:ascii="Arial" w:hAnsi="Arial" w:cs="Arial"/>
        </w:rPr>
      </w:pPr>
    </w:p>
    <w:p w14:paraId="185E4CFC" w14:textId="4D5E42C1" w:rsidR="005C263F" w:rsidRPr="003D3198" w:rsidRDefault="005C263F" w:rsidP="008B22C7">
      <w:pPr>
        <w:spacing w:after="0" w:line="240" w:lineRule="auto"/>
        <w:jc w:val="both"/>
        <w:rPr>
          <w:rFonts w:ascii="Arial" w:eastAsia="Times New Roman" w:hAnsi="Arial" w:cs="Arial"/>
        </w:rPr>
      </w:pPr>
      <w:r w:rsidRPr="003D3198">
        <w:rPr>
          <w:rFonts w:ascii="Arial" w:hAnsi="Arial" w:cs="Arial"/>
        </w:rPr>
        <w:t>d) Under the intervention-</w:t>
      </w:r>
      <w:r w:rsidRPr="003D3198">
        <w:rPr>
          <w:rFonts w:ascii="Arial" w:eastAsia="Times New Roman" w:hAnsi="Arial" w:cs="Arial"/>
        </w:rPr>
        <w:t xml:space="preserve"> </w:t>
      </w:r>
      <w:r w:rsidRPr="003D3198">
        <w:rPr>
          <w:rFonts w:ascii="Arial" w:hAnsi="Arial" w:cs="Arial"/>
          <w:u w:val="single"/>
        </w:rPr>
        <w:t>routine reporting</w:t>
      </w:r>
      <w:r w:rsidRPr="003D3198">
        <w:rPr>
          <w:rFonts w:ascii="Arial" w:hAnsi="Arial" w:cs="Arial"/>
        </w:rPr>
        <w:t>, the following activities would be strengthened: (</w:t>
      </w:r>
      <w:proofErr w:type="spellStart"/>
      <w:r w:rsidRPr="003D3198">
        <w:rPr>
          <w:rFonts w:ascii="Arial" w:hAnsi="Arial" w:cs="Arial"/>
        </w:rPr>
        <w:t>i</w:t>
      </w:r>
      <w:proofErr w:type="spellEnd"/>
      <w:r w:rsidRPr="003D3198">
        <w:rPr>
          <w:rFonts w:ascii="Arial" w:hAnsi="Arial" w:cs="Arial"/>
        </w:rPr>
        <w:t xml:space="preserve">) revise and develop existing recording and reporting (R&amp;R) tools in user-friendly manner; (ii) update of R&amp;R tools for lab- GX, MDR-TB, harmonizing R&amp;R data with HMIS; (iii) training on </w:t>
      </w:r>
      <w:proofErr w:type="spellStart"/>
      <w:r w:rsidRPr="003D3198">
        <w:rPr>
          <w:rFonts w:ascii="Arial" w:hAnsi="Arial" w:cs="Arial"/>
        </w:rPr>
        <w:t>eTB</w:t>
      </w:r>
      <w:proofErr w:type="spellEnd"/>
      <w:r w:rsidRPr="003D3198">
        <w:rPr>
          <w:rFonts w:ascii="Arial" w:hAnsi="Arial" w:cs="Arial"/>
        </w:rPr>
        <w:t xml:space="preserve"> register for private practitioners (18 metro &amp; sub-metro cities; 10 private health facilities per metro/sub metro (total=180); (iv) follow up visit to ensure the diagnosis and notification of TB from private practitioners; (v) update </w:t>
      </w:r>
      <w:proofErr w:type="spellStart"/>
      <w:r w:rsidRPr="003D3198">
        <w:rPr>
          <w:rFonts w:ascii="Arial" w:hAnsi="Arial" w:cs="Arial"/>
        </w:rPr>
        <w:t>eTB</w:t>
      </w:r>
      <w:proofErr w:type="spellEnd"/>
      <w:r w:rsidRPr="003D3198">
        <w:rPr>
          <w:rFonts w:ascii="Arial" w:hAnsi="Arial" w:cs="Arial"/>
        </w:rPr>
        <w:t xml:space="preserve"> register for private practitioners; (vi) TA to update </w:t>
      </w:r>
      <w:proofErr w:type="spellStart"/>
      <w:r w:rsidRPr="003D3198">
        <w:rPr>
          <w:rFonts w:ascii="Arial" w:hAnsi="Arial" w:cs="Arial"/>
        </w:rPr>
        <w:t>eTB</w:t>
      </w:r>
      <w:proofErr w:type="spellEnd"/>
      <w:r w:rsidRPr="003D3198">
        <w:rPr>
          <w:rFonts w:ascii="Arial" w:hAnsi="Arial" w:cs="Arial"/>
        </w:rPr>
        <w:t xml:space="preserve"> register; (vii) TA to strengthen/develop a MDR </w:t>
      </w:r>
      <w:proofErr w:type="spellStart"/>
      <w:r w:rsidRPr="003D3198">
        <w:rPr>
          <w:rFonts w:ascii="Arial" w:hAnsi="Arial" w:cs="Arial"/>
        </w:rPr>
        <w:t>eTB</w:t>
      </w:r>
      <w:proofErr w:type="spellEnd"/>
      <w:r w:rsidRPr="003D3198">
        <w:rPr>
          <w:rFonts w:ascii="Arial" w:hAnsi="Arial" w:cs="Arial"/>
        </w:rPr>
        <w:t xml:space="preserve"> register; (viii) conduct training on MDR e-TB register; (ix) conduct Workshop to evaluate the HMIS against the NTC data for accuracy, timeliness and consistency; (x) update online software for GX and lab to fast-track dissemination of result; and (xi) support monthly internet fees for data entry on ETB register.</w:t>
      </w:r>
    </w:p>
    <w:p w14:paraId="73EFC454" w14:textId="2B0661DA" w:rsidR="008B22C7" w:rsidRPr="003D3198" w:rsidRDefault="008B22C7" w:rsidP="008B22C7">
      <w:pPr>
        <w:spacing w:after="0" w:line="240" w:lineRule="auto"/>
        <w:jc w:val="both"/>
        <w:rPr>
          <w:rFonts w:ascii="Arial" w:eastAsia="Times New Roman" w:hAnsi="Arial" w:cs="Arial"/>
        </w:rPr>
      </w:pPr>
    </w:p>
    <w:p w14:paraId="0B36C3CB" w14:textId="0E692B62" w:rsidR="005C263F" w:rsidRPr="003D3198" w:rsidRDefault="005C263F" w:rsidP="005C263F">
      <w:pPr>
        <w:jc w:val="both"/>
        <w:rPr>
          <w:rFonts w:ascii="Arial" w:eastAsia="Times New Roman" w:hAnsi="Arial"/>
        </w:rPr>
      </w:pPr>
      <w:r w:rsidRPr="003D3198">
        <w:rPr>
          <w:rFonts w:ascii="Arial" w:hAnsi="Arial" w:cs="Arial"/>
        </w:rPr>
        <w:t>e) Under the intervention-</w:t>
      </w:r>
      <w:r w:rsidRPr="003D3198">
        <w:rPr>
          <w:rFonts w:ascii="Arial" w:eastAsia="Times New Roman" w:hAnsi="Arial" w:cs="Arial"/>
        </w:rPr>
        <w:t xml:space="preserve"> </w:t>
      </w:r>
      <w:r w:rsidRPr="003D3198">
        <w:rPr>
          <w:rFonts w:ascii="Arial" w:hAnsi="Arial" w:cs="Arial"/>
          <w:u w:val="single"/>
        </w:rPr>
        <w:t>surveys</w:t>
      </w:r>
      <w:r w:rsidRPr="003D3198">
        <w:rPr>
          <w:rFonts w:ascii="Arial" w:hAnsi="Arial" w:cs="Arial"/>
        </w:rPr>
        <w:t>, the following will be conducted which are critical for the NTP: (</w:t>
      </w:r>
      <w:proofErr w:type="spellStart"/>
      <w:r w:rsidRPr="003D3198">
        <w:rPr>
          <w:rFonts w:ascii="Arial" w:hAnsi="Arial" w:cs="Arial"/>
        </w:rPr>
        <w:t>i</w:t>
      </w:r>
      <w:proofErr w:type="spellEnd"/>
      <w:r w:rsidRPr="003D3198">
        <w:rPr>
          <w:rFonts w:ascii="Arial" w:hAnsi="Arial" w:cs="Arial"/>
        </w:rPr>
        <w:t>) GIS mapping of vulnerable/high risk populations and hard to reach areas in 21 districts to improve access to TB services; (ii) update GIS mapping of NTP treatment and diagnostics services in the 75 districts to facilitate referrals and reduce lost to follow up; and (iii</w:t>
      </w:r>
      <w:proofErr w:type="gramStart"/>
      <w:r w:rsidRPr="003D3198">
        <w:rPr>
          <w:rFonts w:ascii="Arial" w:hAnsi="Arial" w:cs="Arial"/>
        </w:rPr>
        <w:t>)  conduct</w:t>
      </w:r>
      <w:proofErr w:type="gramEnd"/>
      <w:r w:rsidRPr="003D3198">
        <w:rPr>
          <w:rFonts w:ascii="Arial" w:hAnsi="Arial" w:cs="Arial"/>
        </w:rPr>
        <w:t xml:space="preserve"> TB Prevalence Survey to assess the burden of TB and health seeking-</w:t>
      </w:r>
      <w:proofErr w:type="spellStart"/>
      <w:r w:rsidRPr="003D3198">
        <w:rPr>
          <w:rFonts w:ascii="Arial" w:hAnsi="Arial" w:cs="Arial"/>
        </w:rPr>
        <w:t>behavior</w:t>
      </w:r>
      <w:proofErr w:type="spellEnd"/>
      <w:r w:rsidRPr="003D3198">
        <w:rPr>
          <w:rFonts w:ascii="Arial" w:hAnsi="Arial" w:cs="Arial"/>
        </w:rPr>
        <w:t xml:space="preserve"> in Nepal.</w:t>
      </w:r>
    </w:p>
    <w:p w14:paraId="48B9615B" w14:textId="05DDAA77" w:rsidR="005C263F" w:rsidRDefault="005C263F" w:rsidP="005C263F">
      <w:pPr>
        <w:rPr>
          <w:rFonts w:ascii="Arial" w:eastAsia="Times New Roman" w:hAnsi="Arial" w:cs="Arial"/>
          <w:b/>
          <w:color w:val="000000"/>
        </w:rPr>
      </w:pPr>
      <w:r w:rsidRPr="005C263F">
        <w:rPr>
          <w:rFonts w:ascii="Arial" w:eastAsia="Times New Roman" w:hAnsi="Arial" w:cs="Arial"/>
          <w:b/>
          <w:color w:val="000000"/>
        </w:rPr>
        <w:lastRenderedPageBreak/>
        <w:t>RSSH: Integrated service delivery and quality improvement</w:t>
      </w:r>
    </w:p>
    <w:p w14:paraId="23E15785" w14:textId="78838963" w:rsidR="005C263F" w:rsidRPr="003D3198" w:rsidRDefault="005C263F" w:rsidP="005C263F">
      <w:pPr>
        <w:rPr>
          <w:rFonts w:ascii="Arial" w:hAnsi="Arial" w:cs="Arial"/>
        </w:rPr>
      </w:pPr>
      <w:r w:rsidRPr="003D3198">
        <w:rPr>
          <w:rFonts w:ascii="Arial" w:hAnsi="Arial" w:cs="Arial"/>
        </w:rPr>
        <w:t>a) Under the intervention-</w:t>
      </w:r>
      <w:r w:rsidRPr="003D3198">
        <w:rPr>
          <w:rFonts w:ascii="Arial" w:eastAsia="Times New Roman" w:hAnsi="Arial" w:cs="Arial"/>
        </w:rPr>
        <w:t xml:space="preserve"> </w:t>
      </w:r>
      <w:r w:rsidRPr="003D3198">
        <w:rPr>
          <w:rFonts w:ascii="Arial" w:hAnsi="Arial" w:cs="Arial"/>
          <w:u w:val="single"/>
        </w:rPr>
        <w:t>laboratory systems for disease prevention, control, treatment and disease surveillance</w:t>
      </w:r>
      <w:r w:rsidRPr="003D3198">
        <w:rPr>
          <w:rFonts w:ascii="Arial" w:hAnsi="Arial" w:cs="Arial"/>
        </w:rPr>
        <w:t>, the following activities will improve infection and prevention control (IPC) practices in labs based on updated guidelines, (</w:t>
      </w:r>
      <w:proofErr w:type="spellStart"/>
      <w:r w:rsidRPr="003D3198">
        <w:rPr>
          <w:rFonts w:ascii="Arial" w:hAnsi="Arial" w:cs="Arial"/>
        </w:rPr>
        <w:t>i</w:t>
      </w:r>
      <w:proofErr w:type="spellEnd"/>
      <w:r w:rsidRPr="003D3198">
        <w:rPr>
          <w:rFonts w:ascii="Arial" w:hAnsi="Arial" w:cs="Arial"/>
        </w:rPr>
        <w:t>) TOT on Infection control management; and (ii) training on IPC and waste management for lab staff (7 provinces)</w:t>
      </w:r>
    </w:p>
    <w:p w14:paraId="70A8C65D" w14:textId="6520605B" w:rsidR="005C263F" w:rsidRPr="003D3198" w:rsidRDefault="005C263F" w:rsidP="005C263F">
      <w:pPr>
        <w:rPr>
          <w:rFonts w:ascii="Arial" w:hAnsi="Arial" w:cs="Arial"/>
        </w:rPr>
      </w:pPr>
      <w:r w:rsidRPr="003D3198">
        <w:rPr>
          <w:rFonts w:ascii="Arial" w:hAnsi="Arial" w:cs="Arial"/>
        </w:rPr>
        <w:t xml:space="preserve">b) Under </w:t>
      </w:r>
      <w:r w:rsidRPr="00D40D14">
        <w:rPr>
          <w:rFonts w:ascii="Arial" w:hAnsi="Arial" w:cs="Arial"/>
          <w:u w:val="single"/>
        </w:rPr>
        <w:t>the other service delivery intervention(s),</w:t>
      </w:r>
      <w:r w:rsidRPr="003D3198">
        <w:rPr>
          <w:rFonts w:ascii="Arial" w:hAnsi="Arial" w:cs="Arial"/>
        </w:rPr>
        <w:t xml:space="preserve"> the following activities will establish integrated service delivery approach to strengthen the programmes under Family Health Division (FHD) and Child Health Division (CHD): (</w:t>
      </w:r>
      <w:proofErr w:type="spellStart"/>
      <w:r w:rsidRPr="003D3198">
        <w:rPr>
          <w:rFonts w:ascii="Arial" w:hAnsi="Arial" w:cs="Arial"/>
        </w:rPr>
        <w:t>i</w:t>
      </w:r>
      <w:proofErr w:type="spellEnd"/>
      <w:r w:rsidRPr="003D3198">
        <w:rPr>
          <w:rFonts w:ascii="Arial" w:hAnsi="Arial" w:cs="Arial"/>
        </w:rPr>
        <w:t xml:space="preserve">) orientation on diabetes screening among TB patients to increase case notification; (ii) orientation to health workers on TB screening among pregnant women visiting ANC and children attending IMCI clinic; (iii) orientation to health workers on screening of cervical cancer among women visiting OPD or enrolled for treatment in DR </w:t>
      </w:r>
      <w:proofErr w:type="spellStart"/>
      <w:r w:rsidRPr="003D3198">
        <w:rPr>
          <w:rFonts w:ascii="Arial" w:hAnsi="Arial" w:cs="Arial"/>
        </w:rPr>
        <w:t>Centers</w:t>
      </w:r>
      <w:proofErr w:type="spellEnd"/>
      <w:r w:rsidRPr="003D3198">
        <w:rPr>
          <w:rFonts w:ascii="Arial" w:hAnsi="Arial" w:cs="Arial"/>
        </w:rPr>
        <w:t>; (iv) workshop with FHD and CHD to develop and incorporate TB screening algorithm in their regular activities of ANC and CB-IMNCI and primary health care-outreach clinic (PHC-ORC); (v) training on visual inspection with acetic acid (VIA) for health care providers working in Urban DOTS Cent</w:t>
      </w:r>
      <w:r w:rsidR="007D7568">
        <w:rPr>
          <w:rFonts w:ascii="Arial" w:hAnsi="Arial" w:cs="Arial"/>
        </w:rPr>
        <w:t>res</w:t>
      </w:r>
      <w:r w:rsidRPr="003D3198">
        <w:rPr>
          <w:rFonts w:ascii="Arial" w:hAnsi="Arial" w:cs="Arial"/>
        </w:rPr>
        <w:t xml:space="preserve">; (vi) </w:t>
      </w:r>
      <w:r w:rsidR="007D7568">
        <w:rPr>
          <w:rFonts w:ascii="Arial" w:hAnsi="Arial" w:cs="Arial"/>
        </w:rPr>
        <w:t>technical assistance (</w:t>
      </w:r>
      <w:r w:rsidRPr="003D3198">
        <w:rPr>
          <w:rFonts w:ascii="Arial" w:hAnsi="Arial" w:cs="Arial"/>
        </w:rPr>
        <w:t>TA</w:t>
      </w:r>
      <w:r w:rsidR="007D7568">
        <w:rPr>
          <w:rFonts w:ascii="Arial" w:hAnsi="Arial" w:cs="Arial"/>
        </w:rPr>
        <w:t>)</w:t>
      </w:r>
      <w:r w:rsidRPr="003D3198">
        <w:rPr>
          <w:rFonts w:ascii="Arial" w:hAnsi="Arial" w:cs="Arial"/>
        </w:rPr>
        <w:t xml:space="preserve"> for providing VIA training for health care providers working in Urban DOTS Cent</w:t>
      </w:r>
      <w:r w:rsidR="007D7568">
        <w:rPr>
          <w:rFonts w:ascii="Arial" w:hAnsi="Arial" w:cs="Arial"/>
        </w:rPr>
        <w:t>r</w:t>
      </w:r>
      <w:r w:rsidRPr="003D3198">
        <w:rPr>
          <w:rFonts w:ascii="Arial" w:hAnsi="Arial" w:cs="Arial"/>
        </w:rPr>
        <w:t>e</w:t>
      </w:r>
      <w:r w:rsidR="007D7568">
        <w:rPr>
          <w:rFonts w:ascii="Arial" w:hAnsi="Arial" w:cs="Arial"/>
        </w:rPr>
        <w:t>s</w:t>
      </w:r>
      <w:r w:rsidRPr="003D3198">
        <w:rPr>
          <w:rFonts w:ascii="Arial" w:hAnsi="Arial" w:cs="Arial"/>
        </w:rPr>
        <w:t>; (vii) procurement of consumables (cotton swap, acidic acid, speculum set) for VIA screening</w:t>
      </w:r>
      <w:r w:rsidR="003D3198">
        <w:rPr>
          <w:rFonts w:ascii="Arial" w:hAnsi="Arial" w:cs="Arial"/>
        </w:rPr>
        <w:t>.</w:t>
      </w:r>
    </w:p>
    <w:p w14:paraId="6DC4066D" w14:textId="77777777" w:rsidR="008B22C7" w:rsidRPr="008B22C7" w:rsidRDefault="008B22C7" w:rsidP="008B22C7">
      <w:pPr>
        <w:spacing w:after="0" w:line="240" w:lineRule="auto"/>
        <w:jc w:val="both"/>
        <w:rPr>
          <w:rFonts w:ascii="Arial" w:hAnsi="Arial" w:cs="Arial"/>
          <w:bCs/>
          <w:lang w:val="en-US"/>
        </w:rPr>
      </w:pPr>
    </w:p>
    <w:p w14:paraId="4CFBD9D3" w14:textId="4634CBCD" w:rsidR="003D3198" w:rsidRDefault="003D3198" w:rsidP="005D1C8C">
      <w:pPr>
        <w:spacing w:after="0" w:line="240" w:lineRule="auto"/>
        <w:jc w:val="both"/>
        <w:rPr>
          <w:rFonts w:ascii="Arial" w:hAnsi="Arial" w:cs="Arial"/>
          <w:bCs/>
        </w:rPr>
      </w:pPr>
    </w:p>
    <w:p w14:paraId="727B5355" w14:textId="704B3173" w:rsidR="00D40D14" w:rsidRDefault="00D40D14" w:rsidP="005D1C8C">
      <w:pPr>
        <w:spacing w:after="0" w:line="240" w:lineRule="auto"/>
        <w:jc w:val="both"/>
        <w:rPr>
          <w:rFonts w:ascii="Arial" w:hAnsi="Arial" w:cs="Arial"/>
          <w:bCs/>
        </w:rPr>
      </w:pPr>
    </w:p>
    <w:p w14:paraId="0FB4FE7E" w14:textId="55D7BA7E" w:rsidR="00D40D14" w:rsidRDefault="00D40D14" w:rsidP="005D1C8C">
      <w:pPr>
        <w:spacing w:after="0" w:line="240" w:lineRule="auto"/>
        <w:jc w:val="both"/>
        <w:rPr>
          <w:rFonts w:ascii="Arial" w:hAnsi="Arial" w:cs="Arial"/>
          <w:bCs/>
        </w:rPr>
      </w:pPr>
    </w:p>
    <w:p w14:paraId="501A5DCC" w14:textId="4A4CE25D" w:rsidR="00D40D14" w:rsidRDefault="00D40D14" w:rsidP="005D1C8C">
      <w:pPr>
        <w:spacing w:after="0" w:line="240" w:lineRule="auto"/>
        <w:jc w:val="both"/>
        <w:rPr>
          <w:rFonts w:ascii="Arial" w:hAnsi="Arial" w:cs="Arial"/>
          <w:bCs/>
        </w:rPr>
      </w:pPr>
    </w:p>
    <w:p w14:paraId="0294DF6F" w14:textId="77777777" w:rsidR="00D40D14" w:rsidRDefault="00D40D14" w:rsidP="005D1C8C">
      <w:pPr>
        <w:spacing w:after="0" w:line="240" w:lineRule="auto"/>
        <w:jc w:val="both"/>
        <w:rPr>
          <w:rFonts w:ascii="Arial" w:hAnsi="Arial" w:cs="Arial"/>
          <w:bCs/>
        </w:rPr>
      </w:pPr>
    </w:p>
    <w:p w14:paraId="4953F4B7" w14:textId="38DDF985" w:rsidR="003D3198" w:rsidRDefault="003D3198" w:rsidP="005D1C8C">
      <w:pPr>
        <w:spacing w:after="0" w:line="240" w:lineRule="auto"/>
        <w:jc w:val="both"/>
        <w:rPr>
          <w:rFonts w:ascii="Arial" w:hAnsi="Arial" w:cs="Arial"/>
          <w:bCs/>
        </w:rPr>
      </w:pPr>
    </w:p>
    <w:p w14:paraId="36BA2BD9" w14:textId="782A2C5B" w:rsidR="003D3198" w:rsidRDefault="003D3198" w:rsidP="005D1C8C">
      <w:pPr>
        <w:spacing w:after="0" w:line="240" w:lineRule="auto"/>
        <w:jc w:val="both"/>
        <w:rPr>
          <w:rFonts w:ascii="Arial" w:hAnsi="Arial" w:cs="Arial"/>
          <w:bCs/>
        </w:rPr>
      </w:pPr>
    </w:p>
    <w:p w14:paraId="04F4A808" w14:textId="77777777" w:rsidR="003D3198" w:rsidRPr="005D1C8C" w:rsidRDefault="003D3198" w:rsidP="005D1C8C">
      <w:pPr>
        <w:spacing w:after="0" w:line="240" w:lineRule="auto"/>
        <w:jc w:val="both"/>
        <w:rPr>
          <w:rFonts w:ascii="Arial" w:hAnsi="Arial" w:cs="Arial"/>
          <w:bCs/>
        </w:rPr>
      </w:pPr>
    </w:p>
    <w:p w14:paraId="76D9BBC6" w14:textId="77777777" w:rsidR="001901CC" w:rsidRPr="002F695A" w:rsidRDefault="001901CC" w:rsidP="004C49E0">
      <w:pPr>
        <w:pStyle w:val="ListParagraph"/>
        <w:spacing w:after="0" w:line="240" w:lineRule="auto"/>
        <w:ind w:left="360"/>
        <w:jc w:val="both"/>
        <w:rPr>
          <w:rFonts w:ascii="Arial" w:hAnsi="Arial"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38"/>
        <w:gridCol w:w="2057"/>
        <w:gridCol w:w="21"/>
      </w:tblGrid>
      <w:tr w:rsidR="00042DCA" w:rsidRPr="00D57C02" w14:paraId="5D0B8B10" w14:textId="77777777" w:rsidTr="008354C6">
        <w:trPr>
          <w:gridAfter w:val="1"/>
          <w:wAfter w:w="21" w:type="dxa"/>
          <w:trHeight w:val="2366"/>
        </w:trPr>
        <w:tc>
          <w:tcPr>
            <w:tcW w:w="8995" w:type="dxa"/>
            <w:gridSpan w:val="2"/>
            <w:shd w:val="clear" w:color="auto" w:fill="F2F2F2" w:themeFill="background1" w:themeFillShade="F2"/>
            <w:vAlign w:val="center"/>
          </w:tcPr>
          <w:p w14:paraId="5D0B8B0E" w14:textId="024A12E6" w:rsidR="00042DCA" w:rsidRPr="00D57C02" w:rsidRDefault="00042DCA" w:rsidP="0000536F">
            <w:pPr>
              <w:spacing w:after="0" w:line="276" w:lineRule="auto"/>
              <w:rPr>
                <w:rFonts w:ascii="Arial" w:eastAsia="Calibri" w:hAnsi="Arial" w:cs="Arial"/>
                <w:sz w:val="20"/>
                <w:szCs w:val="20"/>
                <w:lang w:val="en-US"/>
              </w:rPr>
            </w:pPr>
            <w:r w:rsidRPr="00D57C02">
              <w:rPr>
                <w:rFonts w:ascii="Arial" w:eastAsia="Calibri" w:hAnsi="Arial" w:cs="Arial"/>
                <w:b/>
                <w:sz w:val="20"/>
                <w:szCs w:val="20"/>
                <w:lang w:val="en-US"/>
              </w:rPr>
              <w:t>If no</w:t>
            </w:r>
            <w:r w:rsidR="00F57EBD" w:rsidRPr="00D57C02">
              <w:rPr>
                <w:rFonts w:ascii="Arial" w:eastAsia="Calibri" w:hAnsi="Arial" w:cs="Arial"/>
                <w:sz w:val="20"/>
                <w:szCs w:val="20"/>
                <w:lang w:val="en-US"/>
              </w:rPr>
              <w:t>:</w:t>
            </w:r>
          </w:p>
          <w:p w14:paraId="293F260F" w14:textId="44F14AFF" w:rsidR="00F57EBD" w:rsidRPr="00D57C02" w:rsidRDefault="00F57EBD" w:rsidP="007D5FAE">
            <w:pPr>
              <w:pStyle w:val="ListParagraph"/>
              <w:numPr>
                <w:ilvl w:val="0"/>
                <w:numId w:val="4"/>
              </w:num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Indicate </w:t>
            </w:r>
            <w:r w:rsidR="00A00AE8" w:rsidRPr="00D57C02">
              <w:rPr>
                <w:rFonts w:ascii="Arial" w:eastAsia="Calibri" w:hAnsi="Arial" w:cs="Arial"/>
                <w:sz w:val="20"/>
                <w:szCs w:val="20"/>
                <w:lang w:val="en-US"/>
              </w:rPr>
              <w:t>when the RSSH</w:t>
            </w:r>
            <w:r w:rsidRPr="00D57C02">
              <w:rPr>
                <w:rFonts w:ascii="Arial" w:eastAsia="Calibri" w:hAnsi="Arial" w:cs="Arial"/>
                <w:sz w:val="20"/>
                <w:szCs w:val="20"/>
                <w:lang w:val="en-US"/>
              </w:rPr>
              <w:t xml:space="preserve"> funding request </w:t>
            </w:r>
            <w:r w:rsidR="00A00AE8" w:rsidRPr="00D57C02">
              <w:rPr>
                <w:rFonts w:ascii="Arial" w:eastAsia="Calibri" w:hAnsi="Arial" w:cs="Arial"/>
                <w:sz w:val="20"/>
                <w:szCs w:val="20"/>
                <w:lang w:val="en-US"/>
              </w:rPr>
              <w:t>was/will be submitted</w:t>
            </w:r>
            <w:r w:rsidRPr="00D57C02">
              <w:rPr>
                <w:rFonts w:ascii="Arial" w:eastAsia="Calibri" w:hAnsi="Arial" w:cs="Arial"/>
                <w:sz w:val="20"/>
                <w:szCs w:val="20"/>
                <w:lang w:val="en-US"/>
              </w:rPr>
              <w:t xml:space="preserve">; and, </w:t>
            </w:r>
          </w:p>
          <w:p w14:paraId="626E714A" w14:textId="1B9C1419" w:rsidR="00F57EBD" w:rsidRPr="00D57C02" w:rsidRDefault="00F57EBD" w:rsidP="007D5FAE">
            <w:pPr>
              <w:pStyle w:val="ListParagraph"/>
              <w:numPr>
                <w:ilvl w:val="0"/>
                <w:numId w:val="4"/>
              </w:numPr>
              <w:spacing w:before="240" w:after="200" w:line="276" w:lineRule="auto"/>
              <w:jc w:val="both"/>
              <w:rPr>
                <w:rFonts w:ascii="Arial" w:eastAsia="Calibri" w:hAnsi="Arial" w:cs="Arial"/>
                <w:sz w:val="20"/>
                <w:szCs w:val="20"/>
                <w:lang w:val="en-US"/>
              </w:rPr>
            </w:pPr>
            <w:r w:rsidRPr="00D57C02">
              <w:rPr>
                <w:rFonts w:ascii="Arial" w:eastAsia="Calibri" w:hAnsi="Arial" w:cs="Arial"/>
                <w:b/>
                <w:sz w:val="20"/>
                <w:szCs w:val="20"/>
                <w:lang w:val="en-US"/>
              </w:rPr>
              <w:t xml:space="preserve">If </w:t>
            </w:r>
            <w:r w:rsidR="00A00AE8" w:rsidRPr="00D57C02">
              <w:rPr>
                <w:rFonts w:ascii="Arial" w:eastAsia="Calibri" w:hAnsi="Arial" w:cs="Arial"/>
                <w:b/>
                <w:sz w:val="20"/>
                <w:szCs w:val="20"/>
                <w:lang w:val="en-US"/>
              </w:rPr>
              <w:t>the RSSH funding</w:t>
            </w:r>
            <w:r w:rsidRPr="00D57C02">
              <w:rPr>
                <w:rFonts w:ascii="Arial" w:eastAsia="Calibri" w:hAnsi="Arial" w:cs="Arial"/>
                <w:b/>
                <w:sz w:val="20"/>
                <w:szCs w:val="20"/>
                <w:lang w:val="en-US"/>
              </w:rPr>
              <w:t xml:space="preserve"> request </w:t>
            </w:r>
            <w:r w:rsidR="00CC0842" w:rsidRPr="00D57C02">
              <w:rPr>
                <w:rFonts w:ascii="Arial" w:eastAsia="Calibri" w:hAnsi="Arial" w:cs="Arial"/>
                <w:b/>
                <w:sz w:val="20"/>
                <w:szCs w:val="20"/>
                <w:lang w:val="en-US"/>
              </w:rPr>
              <w:t>has not yet been submitted</w:t>
            </w:r>
            <w:r w:rsidRPr="00D57C02">
              <w:rPr>
                <w:rFonts w:ascii="Arial" w:eastAsia="Calibri" w:hAnsi="Arial" w:cs="Arial"/>
                <w:sz w:val="20"/>
                <w:szCs w:val="20"/>
                <w:lang w:val="en-US"/>
              </w:rPr>
              <w:t>, highlight below the elements of the planned RSSH investment that will directly support the disease program in this funding request</w:t>
            </w:r>
            <w:r w:rsidR="00A00AE8" w:rsidRPr="00D57C02">
              <w:rPr>
                <w:rFonts w:ascii="Arial" w:eastAsia="Calibri" w:hAnsi="Arial" w:cs="Arial"/>
                <w:sz w:val="20"/>
                <w:szCs w:val="20"/>
                <w:lang w:val="en-US"/>
              </w:rPr>
              <w:t>.</w:t>
            </w:r>
          </w:p>
          <w:p w14:paraId="5D0B8B0F" w14:textId="102C7C03" w:rsidR="00042DCA" w:rsidRPr="00D57C02" w:rsidRDefault="001631BD" w:rsidP="00F57EBD">
            <w:pPr>
              <w:spacing w:after="200" w:line="276" w:lineRule="auto"/>
              <w:contextualSpacing/>
              <w:rPr>
                <w:rFonts w:ascii="Arial" w:eastAsia="SimSun" w:hAnsi="Arial" w:cs="Arial"/>
                <w:b/>
                <w:sz w:val="20"/>
                <w:szCs w:val="20"/>
                <w:lang w:val="en-US" w:eastAsia="zh-CN"/>
              </w:rPr>
            </w:pPr>
            <w:r w:rsidRPr="00D57C02">
              <w:rPr>
                <w:rFonts w:ascii="Arial" w:eastAsia="Calibri" w:hAnsi="Arial" w:cs="Arial"/>
                <w:b/>
                <w:sz w:val="20"/>
                <w:szCs w:val="20"/>
                <w:lang w:val="en-US"/>
              </w:rPr>
              <w:t>(maximum</w:t>
            </w:r>
            <w:r w:rsidR="00042DCA" w:rsidRPr="00D57C02">
              <w:rPr>
                <w:rFonts w:ascii="Arial" w:eastAsia="Calibri" w:hAnsi="Arial" w:cs="Arial"/>
                <w:b/>
                <w:sz w:val="20"/>
                <w:szCs w:val="20"/>
                <w:lang w:val="en-US"/>
              </w:rPr>
              <w:t xml:space="preserve"> ½ page)</w:t>
            </w:r>
            <w:r w:rsidR="00042DCA" w:rsidRPr="00D57C02">
              <w:rPr>
                <w:rFonts w:ascii="Arial" w:eastAsia="Calibri" w:hAnsi="Arial" w:cs="Arial"/>
                <w:sz w:val="20"/>
                <w:szCs w:val="20"/>
                <w:lang w:val="en-US"/>
              </w:rPr>
              <w:t xml:space="preserve"> </w:t>
            </w:r>
          </w:p>
        </w:tc>
      </w:tr>
      <w:tr w:rsidR="005A62F6" w:rsidRPr="00D57C02" w14:paraId="5D0B8B14" w14:textId="77777777" w:rsidTr="008354C6">
        <w:tblPrEx>
          <w:tblCellMar>
            <w:left w:w="142" w:type="dxa"/>
            <w:right w:w="142" w:type="dxa"/>
          </w:tblCellMar>
          <w:tblLook w:val="01E0" w:firstRow="1" w:lastRow="1" w:firstColumn="1" w:lastColumn="1" w:noHBand="0" w:noVBand="0"/>
        </w:tblPrEx>
        <w:trPr>
          <w:gridAfter w:val="1"/>
          <w:wAfter w:w="21" w:type="dxa"/>
          <w:trHeight w:val="1700"/>
        </w:trPr>
        <w:tc>
          <w:tcPr>
            <w:tcW w:w="8995" w:type="dxa"/>
            <w:gridSpan w:val="2"/>
            <w:shd w:val="clear" w:color="auto" w:fill="C6D9F1"/>
            <w:vAlign w:val="center"/>
          </w:tcPr>
          <w:p w14:paraId="7A00F758" w14:textId="739D6A15" w:rsidR="005A62F6" w:rsidRPr="00D57C02" w:rsidRDefault="005A62F6" w:rsidP="00414985">
            <w:pPr>
              <w:keepNext/>
              <w:keepLines/>
              <w:spacing w:after="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lastRenderedPageBreak/>
              <w:t>2.3 Focus of application</w:t>
            </w:r>
            <w:r w:rsidR="00BA7910" w:rsidRPr="00D57C02">
              <w:rPr>
                <w:rFonts w:ascii="Arial" w:eastAsia="Calibri" w:hAnsi="Arial" w:cs="Arial"/>
                <w:b/>
                <w:bCs/>
                <w:sz w:val="20"/>
                <w:szCs w:val="20"/>
                <w:lang w:val="en-US"/>
              </w:rPr>
              <w:t xml:space="preserve"> requirement</w:t>
            </w:r>
            <w:r w:rsidRPr="00D57C02">
              <w:rPr>
                <w:rFonts w:ascii="Arial" w:eastAsia="Calibri" w:hAnsi="Arial" w:cs="Arial"/>
                <w:b/>
                <w:bCs/>
                <w:sz w:val="20"/>
                <w:szCs w:val="20"/>
                <w:lang w:val="en-US"/>
              </w:rPr>
              <w:t xml:space="preserve"> </w:t>
            </w:r>
            <w:r w:rsidR="00340B08" w:rsidRPr="00D57C02">
              <w:rPr>
                <w:rFonts w:ascii="Arial" w:eastAsia="Calibri" w:hAnsi="Arial" w:cs="Arial"/>
                <w:b/>
                <w:bCs/>
                <w:i/>
                <w:sz w:val="20"/>
                <w:szCs w:val="20"/>
                <w:vertAlign w:val="superscript"/>
                <w:lang w:val="en-US"/>
              </w:rPr>
              <w:footnoteReference w:id="2"/>
            </w:r>
          </w:p>
          <w:p w14:paraId="1EE86F48" w14:textId="7CDF89D6" w:rsidR="00142F1D" w:rsidRPr="00D57C02" w:rsidRDefault="009A251C" w:rsidP="00972638">
            <w:pPr>
              <w:keepNext/>
              <w:keepLines/>
              <w:spacing w:after="0" w:line="240" w:lineRule="auto"/>
              <w:jc w:val="both"/>
              <w:rPr>
                <w:rFonts w:ascii="Arial" w:eastAsia="Calibri" w:hAnsi="Arial" w:cs="Arial"/>
                <w:bCs/>
                <w:sz w:val="20"/>
                <w:szCs w:val="20"/>
                <w:lang w:val="en-US"/>
              </w:rPr>
            </w:pPr>
            <w:r w:rsidRPr="00D57C02">
              <w:rPr>
                <w:rFonts w:ascii="Arial" w:eastAsia="Calibri" w:hAnsi="Arial" w:cs="Arial"/>
                <w:bCs/>
                <w:sz w:val="20"/>
                <w:szCs w:val="20"/>
                <w:lang w:val="en-US"/>
              </w:rPr>
              <w:t>This question is required</w:t>
            </w:r>
            <w:r w:rsidR="00340B08" w:rsidRPr="00D57C02">
              <w:rPr>
                <w:rFonts w:ascii="Arial" w:eastAsia="Calibri" w:hAnsi="Arial" w:cs="Arial"/>
                <w:bCs/>
                <w:sz w:val="20"/>
                <w:szCs w:val="20"/>
                <w:lang w:val="en-US"/>
              </w:rPr>
              <w:t xml:space="preserve"> for </w:t>
            </w:r>
            <w:r w:rsidR="00311BE2" w:rsidRPr="00D57C02">
              <w:rPr>
                <w:rFonts w:ascii="Arial" w:eastAsia="Calibri" w:hAnsi="Arial" w:cs="Arial"/>
                <w:bCs/>
                <w:sz w:val="20"/>
                <w:szCs w:val="20"/>
                <w:lang w:val="en-US"/>
              </w:rPr>
              <w:t xml:space="preserve">Lower-Middle Income </w:t>
            </w:r>
            <w:r w:rsidR="000A2F7B" w:rsidRPr="00D57C02">
              <w:rPr>
                <w:rFonts w:ascii="Arial" w:eastAsia="Calibri" w:hAnsi="Arial" w:cs="Arial"/>
                <w:bCs/>
                <w:sz w:val="20"/>
                <w:szCs w:val="20"/>
                <w:lang w:val="en-US"/>
              </w:rPr>
              <w:t xml:space="preserve">(LMI) </w:t>
            </w:r>
            <w:r w:rsidR="00311BE2" w:rsidRPr="00D57C02">
              <w:rPr>
                <w:rFonts w:ascii="Arial" w:eastAsia="Calibri" w:hAnsi="Arial" w:cs="Arial"/>
                <w:bCs/>
                <w:sz w:val="20"/>
                <w:szCs w:val="20"/>
                <w:lang w:val="en-US"/>
              </w:rPr>
              <w:t xml:space="preserve">and Upper-Middle Income </w:t>
            </w:r>
            <w:r w:rsidR="000A2F7B" w:rsidRPr="00D57C02">
              <w:rPr>
                <w:rFonts w:ascii="Arial" w:eastAsia="Calibri" w:hAnsi="Arial" w:cs="Arial"/>
                <w:bCs/>
                <w:sz w:val="20"/>
                <w:szCs w:val="20"/>
                <w:lang w:val="en-US"/>
              </w:rPr>
              <w:t xml:space="preserve">(UMI) </w:t>
            </w:r>
            <w:r w:rsidR="00414985" w:rsidRPr="00D57C02">
              <w:rPr>
                <w:rFonts w:ascii="Arial" w:eastAsia="Calibri" w:hAnsi="Arial" w:cs="Arial"/>
                <w:bCs/>
                <w:sz w:val="20"/>
                <w:szCs w:val="20"/>
                <w:lang w:val="en-US"/>
              </w:rPr>
              <w:t>c</w:t>
            </w:r>
            <w:r w:rsidR="00311BE2" w:rsidRPr="00D57C02">
              <w:rPr>
                <w:rFonts w:ascii="Arial" w:eastAsia="Calibri" w:hAnsi="Arial" w:cs="Arial"/>
                <w:bCs/>
                <w:sz w:val="20"/>
                <w:szCs w:val="20"/>
                <w:lang w:val="en-US"/>
              </w:rPr>
              <w:t>ountries</w:t>
            </w:r>
            <w:r w:rsidR="00340B08" w:rsidRPr="00D57C02">
              <w:rPr>
                <w:rFonts w:ascii="Arial" w:eastAsia="Calibri" w:hAnsi="Arial" w:cs="Arial"/>
                <w:bCs/>
                <w:sz w:val="20"/>
                <w:szCs w:val="20"/>
                <w:lang w:val="en-US"/>
              </w:rPr>
              <w:t xml:space="preserve">. </w:t>
            </w:r>
            <w:r w:rsidRPr="00527B28">
              <w:rPr>
                <w:rFonts w:ascii="Arial" w:eastAsia="Calibri" w:hAnsi="Arial" w:cs="Arial"/>
                <w:bCs/>
                <w:sz w:val="20"/>
                <w:szCs w:val="20"/>
                <w:highlight w:val="yellow"/>
                <w:lang w:val="en-US"/>
              </w:rPr>
              <w:t xml:space="preserve">It </w:t>
            </w:r>
            <w:r w:rsidR="00311BE2" w:rsidRPr="00527B28">
              <w:rPr>
                <w:rFonts w:ascii="Arial" w:eastAsia="Calibri" w:hAnsi="Arial" w:cs="Arial"/>
                <w:bCs/>
                <w:sz w:val="20"/>
                <w:szCs w:val="20"/>
                <w:highlight w:val="yellow"/>
                <w:lang w:val="en-US"/>
              </w:rPr>
              <w:t xml:space="preserve">is </w:t>
            </w:r>
            <w:r w:rsidR="00311BE2" w:rsidRPr="00527B28">
              <w:rPr>
                <w:rFonts w:ascii="Arial" w:eastAsia="Calibri" w:hAnsi="Arial" w:cs="Arial"/>
                <w:bCs/>
                <w:sz w:val="20"/>
                <w:szCs w:val="20"/>
                <w:highlight w:val="yellow"/>
                <w:u w:val="single"/>
                <w:lang w:val="en-US"/>
              </w:rPr>
              <w:t>not</w:t>
            </w:r>
            <w:r w:rsidR="00311BE2" w:rsidRPr="00527B28">
              <w:rPr>
                <w:rFonts w:ascii="Arial" w:eastAsia="Calibri" w:hAnsi="Arial" w:cs="Arial"/>
                <w:bCs/>
                <w:sz w:val="20"/>
                <w:szCs w:val="20"/>
                <w:highlight w:val="yellow"/>
                <w:lang w:val="en-US"/>
              </w:rPr>
              <w:t xml:space="preserve"> applicable for Low-Income </w:t>
            </w:r>
            <w:r w:rsidR="000A2F7B" w:rsidRPr="00527B28">
              <w:rPr>
                <w:rFonts w:ascii="Arial" w:eastAsia="Calibri" w:hAnsi="Arial" w:cs="Arial"/>
                <w:bCs/>
                <w:sz w:val="20"/>
                <w:szCs w:val="20"/>
                <w:highlight w:val="yellow"/>
                <w:lang w:val="en-US"/>
              </w:rPr>
              <w:t xml:space="preserve">(LI) </w:t>
            </w:r>
            <w:r w:rsidR="00414985" w:rsidRPr="00527B28">
              <w:rPr>
                <w:rFonts w:ascii="Arial" w:eastAsia="Calibri" w:hAnsi="Arial" w:cs="Arial"/>
                <w:bCs/>
                <w:sz w:val="20"/>
                <w:szCs w:val="20"/>
                <w:highlight w:val="yellow"/>
                <w:lang w:val="en-US"/>
              </w:rPr>
              <w:t>c</w:t>
            </w:r>
            <w:r w:rsidR="00311BE2" w:rsidRPr="00527B28">
              <w:rPr>
                <w:rFonts w:ascii="Arial" w:eastAsia="Calibri" w:hAnsi="Arial" w:cs="Arial"/>
                <w:bCs/>
                <w:sz w:val="20"/>
                <w:szCs w:val="20"/>
                <w:highlight w:val="yellow"/>
                <w:lang w:val="en-US"/>
              </w:rPr>
              <w:t>ountries</w:t>
            </w:r>
            <w:r w:rsidR="00311BE2" w:rsidRPr="00D57C02">
              <w:rPr>
                <w:rFonts w:ascii="Arial" w:eastAsia="Calibri" w:hAnsi="Arial" w:cs="Arial"/>
                <w:bCs/>
                <w:sz w:val="20"/>
                <w:szCs w:val="20"/>
                <w:lang w:val="en-US"/>
              </w:rPr>
              <w:t>.</w:t>
            </w:r>
          </w:p>
          <w:p w14:paraId="5D0B8B13" w14:textId="71BE730D" w:rsidR="00311BE2" w:rsidRPr="00D57C02" w:rsidRDefault="00972638" w:rsidP="00972638">
            <w:pPr>
              <w:keepNext/>
              <w:keepLines/>
              <w:spacing w:after="0" w:line="240" w:lineRule="auto"/>
              <w:jc w:val="both"/>
              <w:rPr>
                <w:rFonts w:ascii="Arial" w:eastAsia="Calibri" w:hAnsi="Arial" w:cs="Arial"/>
                <w:bCs/>
                <w:sz w:val="20"/>
                <w:szCs w:val="20"/>
                <w:lang w:val="en-US"/>
              </w:rPr>
            </w:pPr>
            <w:r w:rsidRPr="00D57C02">
              <w:rPr>
                <w:rFonts w:ascii="Arial" w:eastAsia="Calibri" w:hAnsi="Arial" w:cs="Arial"/>
                <w:bCs/>
                <w:sz w:val="20"/>
                <w:szCs w:val="20"/>
                <w:lang w:val="en-US"/>
              </w:rPr>
              <w:t>To respond, r</w:t>
            </w:r>
            <w:r w:rsidR="00340B08" w:rsidRPr="00D57C02">
              <w:rPr>
                <w:rFonts w:ascii="Arial" w:eastAsia="Calibri" w:hAnsi="Arial" w:cs="Arial"/>
                <w:bCs/>
                <w:sz w:val="20"/>
                <w:szCs w:val="20"/>
                <w:lang w:val="en-US"/>
              </w:rPr>
              <w:t xml:space="preserve">efer to </w:t>
            </w:r>
            <w:r w:rsidR="005265DB" w:rsidRPr="00D57C02">
              <w:rPr>
                <w:rFonts w:ascii="Arial" w:eastAsia="Calibri" w:hAnsi="Arial" w:cs="Arial"/>
                <w:bCs/>
                <w:sz w:val="20"/>
                <w:szCs w:val="20"/>
                <w:lang w:val="en-US"/>
              </w:rPr>
              <w:t xml:space="preserve">guidance </w:t>
            </w:r>
            <w:r w:rsidR="009A251C" w:rsidRPr="00D57C02">
              <w:rPr>
                <w:rFonts w:ascii="Arial" w:eastAsia="Calibri" w:hAnsi="Arial" w:cs="Arial"/>
                <w:bCs/>
                <w:sz w:val="20"/>
                <w:szCs w:val="20"/>
                <w:lang w:val="en-US"/>
              </w:rPr>
              <w:t xml:space="preserve">provided </w:t>
            </w:r>
            <w:r w:rsidR="005265DB" w:rsidRPr="00D57C02">
              <w:rPr>
                <w:rFonts w:ascii="Arial" w:eastAsia="Calibri" w:hAnsi="Arial" w:cs="Arial"/>
                <w:bCs/>
                <w:sz w:val="20"/>
                <w:szCs w:val="20"/>
                <w:lang w:val="en-US"/>
              </w:rPr>
              <w:t xml:space="preserve">in the </w:t>
            </w:r>
            <w:r w:rsidR="005265DB" w:rsidRPr="00D57C02">
              <w:rPr>
                <w:rFonts w:ascii="Arial" w:eastAsia="Calibri" w:hAnsi="Arial" w:cs="Arial"/>
                <w:bCs/>
                <w:i/>
                <w:sz w:val="20"/>
                <w:szCs w:val="20"/>
                <w:lang w:val="en-US"/>
              </w:rPr>
              <w:t>I</w:t>
            </w:r>
            <w:r w:rsidR="00340B08" w:rsidRPr="00D57C02">
              <w:rPr>
                <w:rFonts w:ascii="Arial" w:eastAsia="Calibri" w:hAnsi="Arial" w:cs="Arial"/>
                <w:bCs/>
                <w:i/>
                <w:sz w:val="20"/>
                <w:szCs w:val="20"/>
                <w:lang w:val="en-US"/>
              </w:rPr>
              <w:t>nstructions</w:t>
            </w:r>
            <w:r w:rsidR="00485F5B" w:rsidRPr="00D57C02">
              <w:rPr>
                <w:rFonts w:ascii="Arial" w:eastAsia="Calibri" w:hAnsi="Arial" w:cs="Arial"/>
                <w:bCs/>
                <w:i/>
                <w:sz w:val="20"/>
                <w:szCs w:val="20"/>
                <w:lang w:val="en-US"/>
              </w:rPr>
              <w:t>.</w:t>
            </w:r>
          </w:p>
        </w:tc>
      </w:tr>
      <w:tr w:rsidR="0000536F" w:rsidRPr="00D57C02" w14:paraId="51E549F0" w14:textId="41839366" w:rsidTr="002158CC">
        <w:tblPrEx>
          <w:tblCellMar>
            <w:left w:w="142" w:type="dxa"/>
            <w:right w:w="142" w:type="dxa"/>
          </w:tblCellMar>
          <w:tblLook w:val="01E0" w:firstRow="1" w:lastRow="1" w:firstColumn="1" w:lastColumn="1" w:noHBand="0" w:noVBand="0"/>
        </w:tblPrEx>
        <w:trPr>
          <w:gridAfter w:val="1"/>
          <w:wAfter w:w="21" w:type="dxa"/>
          <w:trHeight w:val="1690"/>
        </w:trPr>
        <w:tc>
          <w:tcPr>
            <w:tcW w:w="6938" w:type="dxa"/>
            <w:vMerge w:val="restart"/>
            <w:shd w:val="clear" w:color="auto" w:fill="F2F2F2" w:themeFill="background1" w:themeFillShade="F2"/>
            <w:vAlign w:val="center"/>
          </w:tcPr>
          <w:p w14:paraId="19210EDF" w14:textId="37F11806" w:rsidR="0000536F" w:rsidRPr="00D57C02" w:rsidRDefault="0000536F" w:rsidP="0043346F">
            <w:pPr>
              <w:spacing w:before="120" w:after="12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t>For LMI countries:</w:t>
            </w:r>
          </w:p>
          <w:p w14:paraId="39152892" w14:textId="7192EFD2" w:rsidR="00027F87" w:rsidRPr="00D57C02" w:rsidRDefault="0000536F" w:rsidP="007D5FAE">
            <w:pPr>
              <w:pStyle w:val="ListParagraph"/>
              <w:numPr>
                <w:ilvl w:val="0"/>
                <w:numId w:val="3"/>
              </w:numPr>
              <w:spacing w:before="120" w:after="120" w:line="240" w:lineRule="auto"/>
              <w:ind w:left="417"/>
              <w:jc w:val="both"/>
              <w:rPr>
                <w:rFonts w:ascii="Arial" w:eastAsia="Calibri" w:hAnsi="Arial" w:cs="Arial"/>
                <w:sz w:val="20"/>
                <w:szCs w:val="20"/>
                <w:lang w:val="en-US"/>
              </w:rPr>
            </w:pPr>
            <w:r w:rsidRPr="00D57C02">
              <w:rPr>
                <w:rFonts w:ascii="Arial" w:eastAsia="Calibri" w:hAnsi="Arial" w:cs="Arial"/>
                <w:bCs/>
                <w:sz w:val="20"/>
                <w:szCs w:val="20"/>
                <w:lang w:val="en-US"/>
              </w:rPr>
              <w:t xml:space="preserve">Does the </w:t>
            </w:r>
            <w:r w:rsidRPr="00D57C02">
              <w:rPr>
                <w:rFonts w:ascii="Arial" w:eastAsia="Calibri" w:hAnsi="Arial" w:cs="Arial"/>
                <w:sz w:val="20"/>
                <w:szCs w:val="20"/>
                <w:lang w:val="en-US"/>
              </w:rPr>
              <w:t>funding request focus at least 50% of the budget on: disease-specific interventions for key and vulnerable populations; programs that address human rights and gender-related barriers</w:t>
            </w:r>
            <w:r w:rsidR="00027F87" w:rsidRPr="00D57C02">
              <w:rPr>
                <w:rFonts w:ascii="Arial" w:eastAsia="Calibri" w:hAnsi="Arial" w:cs="Arial"/>
                <w:sz w:val="20"/>
                <w:szCs w:val="20"/>
                <w:lang w:val="en-US"/>
              </w:rPr>
              <w:t xml:space="preserve"> and vulnerabilities</w:t>
            </w:r>
            <w:r w:rsidRPr="00D57C02">
              <w:rPr>
                <w:rFonts w:ascii="Arial" w:eastAsia="Calibri" w:hAnsi="Arial" w:cs="Arial"/>
                <w:sz w:val="20"/>
                <w:szCs w:val="20"/>
                <w:lang w:val="en-US"/>
              </w:rPr>
              <w:t>; and/or highest impact interventions?</w:t>
            </w:r>
          </w:p>
          <w:p w14:paraId="2B765E01" w14:textId="77777777" w:rsidR="00027F87" w:rsidRPr="00D57C02" w:rsidRDefault="00027F87" w:rsidP="00027F87">
            <w:pPr>
              <w:pStyle w:val="ListParagraph"/>
              <w:spacing w:before="120" w:after="120" w:line="240" w:lineRule="auto"/>
              <w:ind w:left="417"/>
              <w:jc w:val="both"/>
              <w:rPr>
                <w:rFonts w:ascii="Arial" w:eastAsia="Calibri" w:hAnsi="Arial" w:cs="Arial"/>
                <w:sz w:val="20"/>
                <w:szCs w:val="20"/>
                <w:lang w:val="en-US"/>
              </w:rPr>
            </w:pPr>
          </w:p>
          <w:p w14:paraId="347043C9" w14:textId="258E1014" w:rsidR="0000536F" w:rsidRPr="00D57C02" w:rsidRDefault="0000536F" w:rsidP="007D5FAE">
            <w:pPr>
              <w:pStyle w:val="ListParagraph"/>
              <w:numPr>
                <w:ilvl w:val="0"/>
                <w:numId w:val="3"/>
              </w:numPr>
              <w:spacing w:before="120" w:after="120" w:line="240" w:lineRule="auto"/>
              <w:ind w:left="417"/>
              <w:jc w:val="both"/>
              <w:rPr>
                <w:rFonts w:ascii="Arial" w:eastAsia="Calibri" w:hAnsi="Arial" w:cs="Arial"/>
                <w:bCs/>
                <w:sz w:val="20"/>
                <w:szCs w:val="20"/>
                <w:lang w:val="en-US"/>
              </w:rPr>
            </w:pPr>
            <w:r w:rsidRPr="00D57C02">
              <w:rPr>
                <w:rFonts w:ascii="Arial" w:eastAsia="Calibri" w:hAnsi="Arial" w:cs="Arial"/>
                <w:bCs/>
                <w:sz w:val="20"/>
                <w:szCs w:val="20"/>
                <w:lang w:val="en-US"/>
              </w:rPr>
              <w:t>For RSSH, does the funding request primarily focus on improving overall program outcomes for key and vulnerable populations in two or more of the diseases</w:t>
            </w:r>
            <w:r w:rsidR="00027F87" w:rsidRPr="00D57C02">
              <w:rPr>
                <w:rFonts w:ascii="Arial" w:eastAsia="Calibri" w:hAnsi="Arial" w:cs="Arial"/>
                <w:bCs/>
                <w:sz w:val="20"/>
                <w:szCs w:val="20"/>
                <w:lang w:val="en-US"/>
              </w:rPr>
              <w:t>,</w:t>
            </w:r>
            <w:r w:rsidRPr="00D57C02">
              <w:rPr>
                <w:rFonts w:ascii="Arial" w:eastAsia="Calibri" w:hAnsi="Arial" w:cs="Arial"/>
                <w:bCs/>
                <w:sz w:val="20"/>
                <w:szCs w:val="20"/>
                <w:lang w:val="en-US"/>
              </w:rPr>
              <w:t xml:space="preserve"> and </w:t>
            </w:r>
            <w:r w:rsidR="00027F87" w:rsidRPr="00D57C02">
              <w:rPr>
                <w:rFonts w:ascii="Arial" w:eastAsia="Calibri" w:hAnsi="Arial" w:cs="Arial"/>
                <w:bCs/>
                <w:sz w:val="20"/>
                <w:szCs w:val="20"/>
                <w:lang w:val="en-US"/>
              </w:rPr>
              <w:t xml:space="preserve">is it </w:t>
            </w:r>
            <w:r w:rsidRPr="00D57C02">
              <w:rPr>
                <w:rFonts w:ascii="Arial" w:eastAsia="Calibri" w:hAnsi="Arial" w:cs="Arial"/>
                <w:bCs/>
                <w:sz w:val="20"/>
                <w:szCs w:val="20"/>
                <w:lang w:val="en-US"/>
              </w:rPr>
              <w:t>targeted to support scale-up, efficiency and alignment of interventions</w:t>
            </w:r>
            <w:r w:rsidR="00027F87" w:rsidRPr="00D57C02">
              <w:rPr>
                <w:rFonts w:ascii="Arial" w:eastAsia="Calibri" w:hAnsi="Arial" w:cs="Arial"/>
                <w:bCs/>
                <w:sz w:val="20"/>
                <w:szCs w:val="20"/>
                <w:lang w:val="en-US"/>
              </w:rPr>
              <w:t>?</w:t>
            </w:r>
          </w:p>
        </w:tc>
        <w:tc>
          <w:tcPr>
            <w:tcW w:w="2057" w:type="dxa"/>
            <w:shd w:val="clear" w:color="auto" w:fill="auto"/>
            <w:vAlign w:val="center"/>
          </w:tcPr>
          <w:p w14:paraId="6FBA973A" w14:textId="15FBD08E" w:rsidR="0000536F" w:rsidRPr="00D57C02" w:rsidRDefault="00EB1D26" w:rsidP="0043346F">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1926949538"/>
                <w14:checkbox>
                  <w14:checked w14:val="0"/>
                  <w14:checkedState w14:val="2612" w14:font="MS Gothic"/>
                  <w14:uncheckedState w14:val="2610" w14:font="MS Gothic"/>
                </w14:checkbox>
              </w:sdtPr>
              <w:sdtEndPr/>
              <w:sdtContent>
                <w:r w:rsidR="0000536F" w:rsidRPr="00D57C02">
                  <w:rPr>
                    <w:rFonts w:ascii="Segoe UI Symbol" w:eastAsia="MS Gothic"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61690273"/>
                <w14:checkbox>
                  <w14:checked w14:val="0"/>
                  <w14:checkedState w14:val="2612" w14:font="MS Gothic"/>
                  <w14:uncheckedState w14:val="2610" w14:font="MS Gothic"/>
                </w14:checkbox>
              </w:sdtPr>
              <w:sdtEndPr/>
              <w:sdtContent>
                <w:r w:rsidR="0000536F" w:rsidRPr="00D57C02">
                  <w:rPr>
                    <w:rFonts w:ascii="Segoe UI Symbol" w:eastAsia="Calibri"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No</w:t>
            </w:r>
          </w:p>
        </w:tc>
      </w:tr>
      <w:tr w:rsidR="0000536F" w:rsidRPr="00D57C02" w14:paraId="5424168A" w14:textId="77777777" w:rsidTr="008354C6">
        <w:tblPrEx>
          <w:tblCellMar>
            <w:left w:w="142" w:type="dxa"/>
            <w:right w:w="142" w:type="dxa"/>
          </w:tblCellMar>
          <w:tblLook w:val="01E0" w:firstRow="1" w:lastRow="1" w:firstColumn="1" w:lastColumn="1" w:noHBand="0" w:noVBand="0"/>
        </w:tblPrEx>
        <w:trPr>
          <w:gridAfter w:val="1"/>
          <w:wAfter w:w="21" w:type="dxa"/>
          <w:trHeight w:val="1088"/>
        </w:trPr>
        <w:tc>
          <w:tcPr>
            <w:tcW w:w="6938" w:type="dxa"/>
            <w:vMerge/>
            <w:shd w:val="clear" w:color="auto" w:fill="F2F2F2" w:themeFill="background1" w:themeFillShade="F2"/>
            <w:vAlign w:val="center"/>
          </w:tcPr>
          <w:p w14:paraId="10364163" w14:textId="77777777" w:rsidR="0000536F" w:rsidRPr="00D57C02" w:rsidRDefault="0000536F" w:rsidP="0000536F">
            <w:pPr>
              <w:spacing w:before="120" w:after="120" w:line="240" w:lineRule="auto"/>
              <w:jc w:val="both"/>
              <w:rPr>
                <w:rFonts w:ascii="Arial" w:eastAsia="Calibri" w:hAnsi="Arial" w:cs="Arial"/>
                <w:b/>
                <w:bCs/>
                <w:sz w:val="20"/>
                <w:szCs w:val="20"/>
                <w:lang w:val="en-US"/>
              </w:rPr>
            </w:pPr>
          </w:p>
        </w:tc>
        <w:tc>
          <w:tcPr>
            <w:tcW w:w="2057" w:type="dxa"/>
            <w:shd w:val="clear" w:color="auto" w:fill="auto"/>
            <w:vAlign w:val="center"/>
          </w:tcPr>
          <w:p w14:paraId="0C773475" w14:textId="5BEEBDF3" w:rsidR="0000536F" w:rsidRPr="00D57C02" w:rsidRDefault="00EB1D26" w:rsidP="0000536F">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457260474"/>
                <w14:checkbox>
                  <w14:checked w14:val="0"/>
                  <w14:checkedState w14:val="2612" w14:font="MS Gothic"/>
                  <w14:uncheckedState w14:val="2610" w14:font="MS Gothic"/>
                </w14:checkbox>
              </w:sdtPr>
              <w:sdtEndPr/>
              <w:sdtContent>
                <w:r w:rsidR="0000536F" w:rsidRPr="00D57C02">
                  <w:rPr>
                    <w:rFonts w:ascii="Segoe UI Symbol" w:eastAsia="MS Gothic"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349053904"/>
                <w14:checkbox>
                  <w14:checked w14:val="0"/>
                  <w14:checkedState w14:val="2612" w14:font="MS Gothic"/>
                  <w14:uncheckedState w14:val="2610" w14:font="MS Gothic"/>
                </w14:checkbox>
              </w:sdtPr>
              <w:sdtEndPr/>
              <w:sdtContent>
                <w:r w:rsidR="0000536F" w:rsidRPr="00D57C02">
                  <w:rPr>
                    <w:rFonts w:ascii="Segoe UI Symbol" w:eastAsia="Calibri"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No</w:t>
            </w:r>
          </w:p>
        </w:tc>
      </w:tr>
      <w:tr w:rsidR="0000536F" w:rsidRPr="00D57C02" w14:paraId="1047A889" w14:textId="6C99488E" w:rsidTr="002158CC">
        <w:tblPrEx>
          <w:tblCellMar>
            <w:left w:w="142" w:type="dxa"/>
            <w:right w:w="142" w:type="dxa"/>
          </w:tblCellMar>
          <w:tblLook w:val="01E0" w:firstRow="1" w:lastRow="1" w:firstColumn="1" w:lastColumn="1" w:noHBand="0" w:noVBand="0"/>
        </w:tblPrEx>
        <w:trPr>
          <w:gridAfter w:val="1"/>
          <w:wAfter w:w="21" w:type="dxa"/>
          <w:trHeight w:val="553"/>
        </w:trPr>
        <w:tc>
          <w:tcPr>
            <w:tcW w:w="6938" w:type="dxa"/>
            <w:shd w:val="clear" w:color="auto" w:fill="F2F2F2" w:themeFill="background1" w:themeFillShade="F2"/>
            <w:vAlign w:val="center"/>
          </w:tcPr>
          <w:p w14:paraId="5C0A2B44" w14:textId="39658934" w:rsidR="0000536F" w:rsidRPr="00D57C02" w:rsidRDefault="0000536F" w:rsidP="0000536F">
            <w:pPr>
              <w:spacing w:before="120" w:after="12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t>For UMI countries:</w:t>
            </w:r>
          </w:p>
          <w:p w14:paraId="769D6C10" w14:textId="420E8C50" w:rsidR="0000536F" w:rsidRPr="00D57C02" w:rsidRDefault="0000536F" w:rsidP="007D5FAE">
            <w:pPr>
              <w:pStyle w:val="ListParagraph"/>
              <w:keepNext/>
              <w:keepLines/>
              <w:numPr>
                <w:ilvl w:val="0"/>
                <w:numId w:val="3"/>
              </w:numPr>
              <w:spacing w:before="120" w:after="120" w:line="240" w:lineRule="auto"/>
              <w:ind w:left="417"/>
              <w:jc w:val="both"/>
              <w:rPr>
                <w:rFonts w:ascii="Arial" w:eastAsia="Calibri" w:hAnsi="Arial" w:cs="Arial"/>
                <w:b/>
                <w:bCs/>
                <w:sz w:val="20"/>
                <w:szCs w:val="20"/>
                <w:lang w:val="en-US"/>
              </w:rPr>
            </w:pPr>
            <w:r w:rsidRPr="00D57C02">
              <w:rPr>
                <w:rFonts w:ascii="Arial" w:eastAsia="Calibri" w:hAnsi="Arial" w:cs="Arial"/>
                <w:bCs/>
                <w:sz w:val="20"/>
                <w:szCs w:val="20"/>
                <w:lang w:val="en-US"/>
              </w:rPr>
              <w:t>Does</w:t>
            </w:r>
            <w:r w:rsidRPr="00D57C02">
              <w:rPr>
                <w:rFonts w:ascii="Arial" w:eastAsia="Calibri" w:hAnsi="Arial" w:cs="Arial"/>
                <w:b/>
                <w:bCs/>
                <w:sz w:val="20"/>
                <w:szCs w:val="20"/>
                <w:lang w:val="en-US"/>
              </w:rPr>
              <w:t xml:space="preserve"> </w:t>
            </w:r>
            <w:r w:rsidRPr="00D57C02">
              <w:rPr>
                <w:rFonts w:ascii="Arial" w:eastAsia="Calibri" w:hAnsi="Arial" w:cs="Arial"/>
                <w:sz w:val="20"/>
                <w:szCs w:val="20"/>
                <w:lang w:val="en-US"/>
              </w:rPr>
              <w:t xml:space="preserve">the funding request focus 100% of the budget on interventions that maintain or scale-up evidence-based </w:t>
            </w:r>
            <w:r w:rsidR="00027F87" w:rsidRPr="00D57C02">
              <w:rPr>
                <w:rFonts w:ascii="Arial" w:eastAsia="Calibri" w:hAnsi="Arial" w:cs="Arial"/>
                <w:sz w:val="20"/>
                <w:szCs w:val="20"/>
                <w:lang w:val="en-US"/>
              </w:rPr>
              <w:t>approaches</w:t>
            </w:r>
            <w:r w:rsidRPr="00D57C02">
              <w:rPr>
                <w:rFonts w:ascii="Arial" w:eastAsia="Calibri" w:hAnsi="Arial" w:cs="Arial"/>
                <w:sz w:val="20"/>
                <w:szCs w:val="20"/>
                <w:lang w:val="en-US"/>
              </w:rPr>
              <w:t xml:space="preserve"> for key and vulnerable populations</w:t>
            </w:r>
            <w:r w:rsidR="00027F87" w:rsidRPr="00D57C02">
              <w:rPr>
                <w:rFonts w:ascii="Arial" w:eastAsia="Calibri" w:hAnsi="Arial" w:cs="Arial"/>
                <w:sz w:val="20"/>
                <w:szCs w:val="20"/>
                <w:lang w:val="en-US"/>
              </w:rPr>
              <w:t>,</w:t>
            </w:r>
            <w:r w:rsidRPr="00D57C02">
              <w:rPr>
                <w:rFonts w:ascii="Arial" w:eastAsia="Calibri" w:hAnsi="Arial" w:cs="Arial"/>
                <w:sz w:val="20"/>
                <w:szCs w:val="20"/>
                <w:lang w:val="en-US"/>
              </w:rPr>
              <w:t xml:space="preserve"> including programs that address human rights and gender-related barriers and vulnerabilities?</w:t>
            </w:r>
          </w:p>
        </w:tc>
        <w:tc>
          <w:tcPr>
            <w:tcW w:w="2057" w:type="dxa"/>
            <w:shd w:val="clear" w:color="auto" w:fill="auto"/>
            <w:vAlign w:val="center"/>
          </w:tcPr>
          <w:p w14:paraId="4F815291" w14:textId="3ED0EC28" w:rsidR="0000536F" w:rsidRPr="00D57C02" w:rsidRDefault="00EB1D26" w:rsidP="0000536F">
            <w:pPr>
              <w:keepNext/>
              <w:keepLines/>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561459683"/>
                <w14:checkbox>
                  <w14:checked w14:val="0"/>
                  <w14:checkedState w14:val="2612" w14:font="MS Gothic"/>
                  <w14:uncheckedState w14:val="2610" w14:font="MS Gothic"/>
                </w14:checkbox>
              </w:sdtPr>
              <w:sdtEndPr/>
              <w:sdtContent>
                <w:r w:rsidR="0000536F" w:rsidRPr="00D57C02">
                  <w:rPr>
                    <w:rFonts w:ascii="Segoe UI Symbol" w:eastAsia="MS Gothic"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763809565"/>
                <w14:checkbox>
                  <w14:checked w14:val="0"/>
                  <w14:checkedState w14:val="2612" w14:font="MS Gothic"/>
                  <w14:uncheckedState w14:val="2610" w14:font="MS Gothic"/>
                </w14:checkbox>
              </w:sdtPr>
              <w:sdtEndPr/>
              <w:sdtContent>
                <w:r w:rsidR="0000536F" w:rsidRPr="00D57C02">
                  <w:rPr>
                    <w:rFonts w:ascii="Segoe UI Symbol" w:eastAsia="Calibri" w:hAnsi="Segoe UI Symbol" w:cs="Segoe UI Symbol"/>
                    <w:bCs/>
                    <w:iCs/>
                    <w:sz w:val="20"/>
                    <w:szCs w:val="20"/>
                    <w:lang w:val="en-US"/>
                  </w:rPr>
                  <w:t>☐</w:t>
                </w:r>
              </w:sdtContent>
            </w:sdt>
            <w:r w:rsidR="0000536F" w:rsidRPr="00D57C02">
              <w:rPr>
                <w:rFonts w:ascii="Arial" w:eastAsia="Calibri" w:hAnsi="Arial" w:cs="Arial"/>
                <w:bCs/>
                <w:iCs/>
                <w:sz w:val="20"/>
                <w:szCs w:val="20"/>
                <w:lang w:val="en-US"/>
              </w:rPr>
              <w:t xml:space="preserve"> No</w:t>
            </w:r>
          </w:p>
        </w:tc>
      </w:tr>
      <w:tr w:rsidR="004668BC" w:rsidRPr="004668BC" w14:paraId="5D0B8B24" w14:textId="77777777" w:rsidTr="002158CC">
        <w:tblPrEx>
          <w:jc w:val="center"/>
        </w:tblPrEx>
        <w:trPr>
          <w:trHeight w:val="409"/>
          <w:jc w:val="center"/>
        </w:trPr>
        <w:tc>
          <w:tcPr>
            <w:tcW w:w="9016" w:type="dxa"/>
            <w:gridSpan w:val="3"/>
            <w:shd w:val="clear" w:color="auto" w:fill="1F497D"/>
            <w:vAlign w:val="center"/>
          </w:tcPr>
          <w:p w14:paraId="5D0B8B23" w14:textId="20399C35" w:rsidR="006E074D" w:rsidRPr="004668BC" w:rsidRDefault="00FC77AC" w:rsidP="005A62F6">
            <w:pPr>
              <w:spacing w:after="0" w:line="240" w:lineRule="auto"/>
              <w:rPr>
                <w:rFonts w:ascii="Arial" w:eastAsia="SimSun" w:hAnsi="Arial" w:cs="Arial"/>
                <w:b/>
                <w:color w:val="FFFFFF" w:themeColor="background1"/>
                <w:sz w:val="20"/>
                <w:szCs w:val="20"/>
                <w:lang w:val="en-US" w:eastAsia="zh-CN"/>
              </w:rPr>
            </w:pPr>
            <w:r w:rsidRPr="004668BC">
              <w:rPr>
                <w:rFonts w:ascii="Arial" w:hAnsi="Arial" w:cs="Arial"/>
                <w:color w:val="FFFFFF" w:themeColor="background1"/>
                <w:sz w:val="20"/>
                <w:szCs w:val="20"/>
              </w:rPr>
              <w:br w:type="page"/>
            </w:r>
            <w:r w:rsidR="005A62F6" w:rsidRPr="004668BC">
              <w:rPr>
                <w:rFonts w:ascii="Arial" w:eastAsia="SimSun" w:hAnsi="Arial" w:cs="Arial"/>
                <w:b/>
                <w:color w:val="FFFFFF" w:themeColor="background1"/>
                <w:sz w:val="20"/>
                <w:szCs w:val="20"/>
                <w:lang w:val="en-US" w:eastAsia="zh-CN"/>
              </w:rPr>
              <w:t>SECTION 3: OPERATIONALIZATION AND RISK MITIGATION</w:t>
            </w:r>
          </w:p>
        </w:tc>
      </w:tr>
      <w:tr w:rsidR="005A62F6" w:rsidRPr="00D57C02" w14:paraId="5D0B8B28" w14:textId="77777777" w:rsidTr="002158CC">
        <w:tblPrEx>
          <w:jc w:val="center"/>
        </w:tblPrEx>
        <w:trPr>
          <w:trHeight w:val="847"/>
          <w:jc w:val="center"/>
        </w:trPr>
        <w:tc>
          <w:tcPr>
            <w:tcW w:w="9016" w:type="dxa"/>
            <w:gridSpan w:val="3"/>
            <w:shd w:val="clear" w:color="auto" w:fill="F2F2F2" w:themeFill="background1" w:themeFillShade="F2"/>
            <w:vAlign w:val="center"/>
          </w:tcPr>
          <w:p w14:paraId="5D0B8B27" w14:textId="5A47D577" w:rsidR="005A62F6" w:rsidRPr="00D57C02" w:rsidRDefault="002174A0" w:rsidP="006C0AFC">
            <w:pPr>
              <w:spacing w:after="0" w:line="240" w:lineRule="auto"/>
              <w:jc w:val="both"/>
              <w:rPr>
                <w:rFonts w:ascii="Arial" w:eastAsia="Calibri" w:hAnsi="Arial" w:cs="Arial"/>
                <w:b/>
                <w:bCs/>
                <w:iCs/>
                <w:sz w:val="20"/>
                <w:szCs w:val="20"/>
                <w:lang w:val="en-US"/>
              </w:rPr>
            </w:pPr>
            <w:r w:rsidRPr="00D57C02">
              <w:rPr>
                <w:rFonts w:ascii="Arial" w:hAnsi="Arial" w:cs="Arial"/>
                <w:bCs/>
                <w:iCs/>
                <w:sz w:val="20"/>
                <w:szCs w:val="20"/>
              </w:rPr>
              <w:t>This section describes the</w:t>
            </w:r>
            <w:r w:rsidR="006E048B" w:rsidRPr="00D57C02">
              <w:rPr>
                <w:rFonts w:ascii="Arial" w:hAnsi="Arial" w:cs="Arial"/>
                <w:bCs/>
                <w:iCs/>
                <w:sz w:val="20"/>
                <w:szCs w:val="20"/>
              </w:rPr>
              <w:t xml:space="preserve"> planned</w:t>
            </w:r>
            <w:r w:rsidRPr="00D57C02">
              <w:rPr>
                <w:rFonts w:ascii="Arial" w:hAnsi="Arial" w:cs="Arial"/>
                <w:bCs/>
                <w:iCs/>
                <w:sz w:val="20"/>
                <w:szCs w:val="20"/>
              </w:rPr>
              <w:t xml:space="preserve"> </w:t>
            </w:r>
            <w:r w:rsidR="00E16725" w:rsidRPr="00D57C02">
              <w:rPr>
                <w:rFonts w:ascii="Arial" w:hAnsi="Arial" w:cs="Arial"/>
                <w:bCs/>
                <w:iCs/>
                <w:sz w:val="20"/>
                <w:szCs w:val="20"/>
              </w:rPr>
              <w:t>implementation</w:t>
            </w:r>
            <w:r w:rsidR="008945F5" w:rsidRPr="00D57C02">
              <w:rPr>
                <w:rFonts w:ascii="Arial" w:hAnsi="Arial" w:cs="Arial"/>
                <w:bCs/>
                <w:iCs/>
                <w:sz w:val="20"/>
                <w:szCs w:val="20"/>
              </w:rPr>
              <w:t xml:space="preserve"> arrang</w:t>
            </w:r>
            <w:r w:rsidR="00E16725" w:rsidRPr="00D57C02">
              <w:rPr>
                <w:rFonts w:ascii="Arial" w:hAnsi="Arial" w:cs="Arial"/>
                <w:bCs/>
                <w:iCs/>
                <w:sz w:val="20"/>
                <w:szCs w:val="20"/>
              </w:rPr>
              <w:t>ements and foreseen risks for</w:t>
            </w:r>
            <w:r w:rsidRPr="00D57C02">
              <w:rPr>
                <w:rFonts w:ascii="Arial" w:hAnsi="Arial" w:cs="Arial"/>
                <w:bCs/>
                <w:iCs/>
                <w:sz w:val="20"/>
                <w:szCs w:val="20"/>
              </w:rPr>
              <w:t xml:space="preserve"> the </w:t>
            </w:r>
            <w:r w:rsidR="00E16725" w:rsidRPr="00D57C02">
              <w:rPr>
                <w:rFonts w:ascii="Arial" w:hAnsi="Arial" w:cs="Arial"/>
                <w:bCs/>
                <w:iCs/>
                <w:sz w:val="20"/>
                <w:szCs w:val="20"/>
              </w:rPr>
              <w:t>proposed program(s)</w:t>
            </w:r>
            <w:r w:rsidRPr="00D57C02">
              <w:rPr>
                <w:rFonts w:ascii="Arial" w:hAnsi="Arial" w:cs="Arial"/>
                <w:bCs/>
                <w:iCs/>
                <w:sz w:val="20"/>
                <w:szCs w:val="20"/>
              </w:rPr>
              <w:t xml:space="preserve">. </w:t>
            </w:r>
            <w:r w:rsidR="006C0AFC" w:rsidRPr="00D57C02">
              <w:rPr>
                <w:rFonts w:ascii="Arial" w:hAnsi="Arial" w:cs="Arial"/>
                <w:bCs/>
                <w:iCs/>
                <w:sz w:val="20"/>
                <w:szCs w:val="20"/>
              </w:rPr>
              <w:t xml:space="preserve">Applicants are encouraged to </w:t>
            </w:r>
            <w:r w:rsidR="006C0AFC" w:rsidRPr="00D57C02">
              <w:rPr>
                <w:rFonts w:ascii="Arial" w:hAnsi="Arial" w:cs="Arial"/>
                <w:b/>
                <w:bCs/>
                <w:iCs/>
                <w:sz w:val="20"/>
                <w:szCs w:val="20"/>
              </w:rPr>
              <w:t>a</w:t>
            </w:r>
            <w:r w:rsidR="0020041F" w:rsidRPr="00D57C02">
              <w:rPr>
                <w:rFonts w:ascii="Arial" w:hAnsi="Arial" w:cs="Arial"/>
                <w:b/>
                <w:bCs/>
                <w:iCs/>
                <w:sz w:val="20"/>
                <w:szCs w:val="20"/>
              </w:rPr>
              <w:t>ttach</w:t>
            </w:r>
            <w:r w:rsidR="005A62F6" w:rsidRPr="00D57C02">
              <w:rPr>
                <w:rFonts w:ascii="Arial" w:eastAsia="Calibri" w:hAnsi="Arial" w:cs="Arial"/>
                <w:b/>
                <w:bCs/>
                <w:iCs/>
                <w:sz w:val="20"/>
                <w:szCs w:val="20"/>
                <w:lang w:val="en-US"/>
              </w:rPr>
              <w:t xml:space="preserve"> an </w:t>
            </w:r>
            <w:r w:rsidR="006C0AFC" w:rsidRPr="00D57C02">
              <w:rPr>
                <w:rFonts w:ascii="Arial" w:eastAsia="Calibri" w:hAnsi="Arial" w:cs="Arial"/>
                <w:b/>
                <w:bCs/>
                <w:iCs/>
                <w:sz w:val="20"/>
                <w:szCs w:val="20"/>
                <w:lang w:val="en-US"/>
              </w:rPr>
              <w:t xml:space="preserve">updated </w:t>
            </w:r>
            <w:r w:rsidR="005A62F6" w:rsidRPr="007930A7">
              <w:rPr>
                <w:rFonts w:ascii="Arial" w:eastAsia="Calibri" w:hAnsi="Arial" w:cs="Arial"/>
                <w:b/>
                <w:bCs/>
                <w:iCs/>
                <w:sz w:val="20"/>
                <w:szCs w:val="20"/>
                <w:lang w:val="en-US"/>
              </w:rPr>
              <w:t xml:space="preserve">Implementation Arrangements </w:t>
            </w:r>
            <w:r w:rsidR="00C77493" w:rsidRPr="007930A7">
              <w:rPr>
                <w:rFonts w:ascii="Arial" w:eastAsia="Calibri" w:hAnsi="Arial" w:cs="Arial"/>
                <w:b/>
                <w:bCs/>
                <w:iCs/>
                <w:sz w:val="20"/>
                <w:szCs w:val="20"/>
                <w:lang w:val="en-US"/>
              </w:rPr>
              <w:t>Map</w:t>
            </w:r>
            <w:r w:rsidR="005A62F6" w:rsidRPr="007930A7">
              <w:rPr>
                <w:rFonts w:ascii="Arial" w:eastAsia="Calibri" w:hAnsi="Arial" w:cs="Arial"/>
                <w:b/>
                <w:bCs/>
                <w:iCs/>
                <w:sz w:val="20"/>
                <w:szCs w:val="20"/>
                <w:lang w:val="en-US"/>
              </w:rPr>
              <w:t>.</w:t>
            </w:r>
            <w:r w:rsidR="005A62F6" w:rsidRPr="00D57C02">
              <w:rPr>
                <w:rFonts w:ascii="Arial" w:eastAsia="Calibri" w:hAnsi="Arial" w:cs="Arial"/>
                <w:bCs/>
                <w:iCs/>
                <w:sz w:val="20"/>
                <w:szCs w:val="20"/>
                <w:lang w:val="en-US"/>
              </w:rPr>
              <w:t xml:space="preserve"> </w:t>
            </w:r>
            <w:r w:rsidR="00972638" w:rsidRPr="00D57C02">
              <w:rPr>
                <w:rFonts w:ascii="Arial" w:eastAsia="Calibri" w:hAnsi="Arial" w:cs="Arial"/>
                <w:bCs/>
                <w:iCs/>
                <w:sz w:val="20"/>
                <w:szCs w:val="20"/>
                <w:lang w:val="en-US"/>
              </w:rPr>
              <w:t>To respond, r</w:t>
            </w:r>
            <w:r w:rsidR="005A62F6" w:rsidRPr="00D57C02">
              <w:rPr>
                <w:rFonts w:ascii="Arial" w:eastAsia="Calibri" w:hAnsi="Arial" w:cs="Arial"/>
                <w:bCs/>
                <w:iCs/>
                <w:sz w:val="20"/>
                <w:szCs w:val="20"/>
                <w:lang w:val="en-US"/>
              </w:rPr>
              <w:t>efer to</w:t>
            </w:r>
            <w:r w:rsidR="006E048B" w:rsidRPr="00D57C02">
              <w:rPr>
                <w:rFonts w:ascii="Arial" w:eastAsia="Calibri" w:hAnsi="Arial" w:cs="Arial"/>
                <w:bCs/>
                <w:iCs/>
                <w:sz w:val="20"/>
                <w:szCs w:val="20"/>
                <w:lang w:val="en-US"/>
              </w:rPr>
              <w:t xml:space="preserve"> </w:t>
            </w:r>
            <w:r w:rsidR="006E048B" w:rsidRPr="00D57C02">
              <w:rPr>
                <w:rFonts w:ascii="Arial" w:eastAsia="Calibri" w:hAnsi="Arial" w:cs="Arial"/>
                <w:sz w:val="20"/>
                <w:szCs w:val="20"/>
                <w:lang w:val="en-US"/>
              </w:rPr>
              <w:t>additional</w:t>
            </w:r>
            <w:r w:rsidR="005A62F6" w:rsidRPr="00D57C02">
              <w:rPr>
                <w:rFonts w:ascii="Arial" w:eastAsia="Calibri" w:hAnsi="Arial" w:cs="Arial"/>
                <w:bCs/>
                <w:iCs/>
                <w:sz w:val="20"/>
                <w:szCs w:val="20"/>
                <w:lang w:val="en-US"/>
              </w:rPr>
              <w:t xml:space="preserve"> </w:t>
            </w:r>
            <w:r w:rsidR="005265DB" w:rsidRPr="00D57C02">
              <w:rPr>
                <w:rFonts w:ascii="Arial" w:eastAsia="Calibri" w:hAnsi="Arial" w:cs="Arial"/>
                <w:bCs/>
                <w:iCs/>
                <w:sz w:val="20"/>
                <w:szCs w:val="20"/>
                <w:lang w:val="en-US"/>
              </w:rPr>
              <w:t xml:space="preserve">guidance </w:t>
            </w:r>
            <w:r w:rsidR="00B72573" w:rsidRPr="00D57C02">
              <w:rPr>
                <w:rFonts w:ascii="Arial" w:eastAsia="Calibri" w:hAnsi="Arial" w:cs="Arial"/>
                <w:bCs/>
                <w:iCs/>
                <w:sz w:val="20"/>
                <w:szCs w:val="20"/>
                <w:lang w:val="en-US"/>
              </w:rPr>
              <w:t xml:space="preserve">provided </w:t>
            </w:r>
            <w:r w:rsidR="005265DB" w:rsidRPr="00D57C02">
              <w:rPr>
                <w:rFonts w:ascii="Arial" w:eastAsia="Calibri" w:hAnsi="Arial" w:cs="Arial"/>
                <w:bCs/>
                <w:iCs/>
                <w:sz w:val="20"/>
                <w:szCs w:val="20"/>
                <w:lang w:val="en-US"/>
              </w:rPr>
              <w:t xml:space="preserve">in the </w:t>
            </w:r>
            <w:r w:rsidR="00B7710C" w:rsidRPr="00D57C02">
              <w:rPr>
                <w:rFonts w:ascii="Arial" w:hAnsi="Arial" w:cs="Arial"/>
                <w:bCs/>
                <w:i/>
                <w:iCs/>
                <w:sz w:val="20"/>
                <w:szCs w:val="20"/>
              </w:rPr>
              <w:t>Instructions</w:t>
            </w:r>
            <w:r w:rsidR="00485F5B" w:rsidRPr="00D57C02">
              <w:rPr>
                <w:rFonts w:ascii="Arial" w:hAnsi="Arial" w:cs="Arial"/>
                <w:bCs/>
                <w:i/>
                <w:iCs/>
                <w:sz w:val="20"/>
                <w:szCs w:val="20"/>
              </w:rPr>
              <w:t>.</w:t>
            </w:r>
          </w:p>
        </w:tc>
      </w:tr>
    </w:tbl>
    <w:p w14:paraId="5D0B8B29" w14:textId="77777777" w:rsidR="005A62F6" w:rsidRPr="00D57C02" w:rsidRDefault="005A62F6" w:rsidP="00827D9E">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264"/>
        <w:gridCol w:w="1815"/>
      </w:tblGrid>
      <w:tr w:rsidR="005A62F6" w:rsidRPr="00D57C02" w14:paraId="5D0B8B2B" w14:textId="77777777" w:rsidTr="008547FF">
        <w:trPr>
          <w:trHeight w:val="274"/>
          <w:jc w:val="center"/>
        </w:trPr>
        <w:tc>
          <w:tcPr>
            <w:tcW w:w="9079" w:type="dxa"/>
            <w:gridSpan w:val="2"/>
            <w:shd w:val="clear" w:color="auto" w:fill="C6D9F1"/>
          </w:tcPr>
          <w:p w14:paraId="5D0B8B2A" w14:textId="77777777" w:rsidR="005A62F6" w:rsidRPr="00D57C02" w:rsidRDefault="005A62F6" w:rsidP="005A62F6">
            <w:pPr>
              <w:spacing w:before="120" w:after="120" w:line="240" w:lineRule="auto"/>
              <w:jc w:val="both"/>
              <w:rPr>
                <w:rFonts w:ascii="Arial" w:eastAsia="Calibri" w:hAnsi="Arial" w:cs="Arial"/>
                <w:b/>
                <w:bCs/>
                <w:sz w:val="20"/>
                <w:szCs w:val="20"/>
                <w:lang w:val="en-US"/>
              </w:rPr>
            </w:pPr>
            <w:r w:rsidRPr="00D57C02">
              <w:rPr>
                <w:rFonts w:ascii="Arial" w:eastAsia="Calibri" w:hAnsi="Arial" w:cs="Arial"/>
                <w:b/>
                <w:bCs/>
                <w:sz w:val="20"/>
                <w:szCs w:val="20"/>
                <w:lang w:val="en-US"/>
              </w:rPr>
              <w:t>3.1 Implementation arrangements summary</w:t>
            </w:r>
          </w:p>
        </w:tc>
      </w:tr>
      <w:tr w:rsidR="005A62F6" w:rsidRPr="00D57C02" w14:paraId="5D0B8B2E" w14:textId="77777777" w:rsidTr="008547FF">
        <w:trPr>
          <w:trHeight w:val="274"/>
          <w:jc w:val="center"/>
        </w:trPr>
        <w:tc>
          <w:tcPr>
            <w:tcW w:w="7264" w:type="dxa"/>
            <w:tcBorders>
              <w:bottom w:val="nil"/>
            </w:tcBorders>
            <w:shd w:val="clear" w:color="auto" w:fill="F2F2F2" w:themeFill="background1" w:themeFillShade="F2"/>
          </w:tcPr>
          <w:p w14:paraId="5D0B8B2C" w14:textId="59526F01" w:rsidR="005A62F6" w:rsidRPr="00D57C02" w:rsidRDefault="005A62F6" w:rsidP="00B72573">
            <w:pPr>
              <w:spacing w:before="120" w:after="120" w:line="240" w:lineRule="auto"/>
              <w:rPr>
                <w:rFonts w:ascii="Arial" w:eastAsia="Calibri" w:hAnsi="Arial" w:cs="Arial"/>
                <w:bCs/>
                <w:sz w:val="20"/>
                <w:szCs w:val="20"/>
                <w:lang w:val="en-US"/>
              </w:rPr>
            </w:pPr>
            <w:r w:rsidRPr="00D57C02">
              <w:rPr>
                <w:rFonts w:ascii="Arial" w:eastAsia="Calibri" w:hAnsi="Arial" w:cs="Arial"/>
                <w:bCs/>
                <w:sz w:val="20"/>
                <w:szCs w:val="20"/>
                <w:lang w:val="en-US"/>
              </w:rPr>
              <w:t>Do you propose major changes from past implementation arrange</w:t>
            </w:r>
            <w:r w:rsidR="00A02D0B" w:rsidRPr="00D57C02">
              <w:rPr>
                <w:rFonts w:ascii="Arial" w:eastAsia="Calibri" w:hAnsi="Arial" w:cs="Arial"/>
                <w:bCs/>
                <w:sz w:val="20"/>
                <w:szCs w:val="20"/>
                <w:lang w:val="en-US"/>
              </w:rPr>
              <w:t xml:space="preserve">ments, e.g. in key implementers, </w:t>
            </w:r>
            <w:r w:rsidRPr="00D57C02">
              <w:rPr>
                <w:rFonts w:ascii="Arial" w:eastAsia="Calibri" w:hAnsi="Arial" w:cs="Arial"/>
                <w:bCs/>
                <w:sz w:val="20"/>
                <w:szCs w:val="20"/>
                <w:lang w:val="en-US"/>
              </w:rPr>
              <w:t>flow of funds or commodities?</w:t>
            </w:r>
          </w:p>
        </w:tc>
        <w:tc>
          <w:tcPr>
            <w:tcW w:w="1815" w:type="dxa"/>
            <w:shd w:val="clear" w:color="auto" w:fill="FFFFFF"/>
          </w:tcPr>
          <w:p w14:paraId="5D0B8B2D" w14:textId="05D672B7" w:rsidR="005A62F6" w:rsidRPr="00D57C02" w:rsidRDefault="00EB1D26" w:rsidP="005A62F6">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2008894418"/>
                <w14:checkbox>
                  <w14:checked w14:val="0"/>
                  <w14:checkedState w14:val="2612" w14:font="MS Gothic"/>
                  <w14:uncheckedState w14:val="2610" w14:font="MS Gothic"/>
                </w14:checkbox>
              </w:sdtPr>
              <w:sdtEndPr/>
              <w:sdtContent>
                <w:r w:rsidR="005A62F6" w:rsidRPr="00D57C02">
                  <w:rPr>
                    <w:rFonts w:ascii="Segoe UI Symbol" w:eastAsia="MS Gothic" w:hAnsi="Segoe UI Symbol" w:cs="Segoe UI Symbol"/>
                    <w:bCs/>
                    <w:iCs/>
                    <w:sz w:val="20"/>
                    <w:szCs w:val="20"/>
                    <w:lang w:val="en-US"/>
                  </w:rPr>
                  <w:t>☐</w:t>
                </w:r>
              </w:sdtContent>
            </w:sdt>
            <w:r w:rsidR="005A62F6"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284489466"/>
                <w14:checkbox>
                  <w14:checked w14:val="1"/>
                  <w14:checkedState w14:val="2612" w14:font="MS Gothic"/>
                  <w14:uncheckedState w14:val="2610" w14:font="MS Gothic"/>
                </w14:checkbox>
              </w:sdtPr>
              <w:sdtEndPr/>
              <w:sdtContent>
                <w:r w:rsidR="00C20961" w:rsidRPr="00D57C02">
                  <w:rPr>
                    <w:rFonts w:ascii="MS Gothic" w:eastAsia="MS Gothic" w:hAnsi="MS Gothic" w:cs="Arial" w:hint="eastAsia"/>
                    <w:bCs/>
                    <w:iCs/>
                    <w:sz w:val="20"/>
                    <w:szCs w:val="20"/>
                    <w:lang w:val="en-US"/>
                  </w:rPr>
                  <w:t>☒</w:t>
                </w:r>
              </w:sdtContent>
            </w:sdt>
            <w:r w:rsidR="005A62F6" w:rsidRPr="00D57C02">
              <w:rPr>
                <w:rFonts w:ascii="Arial" w:eastAsia="Calibri" w:hAnsi="Arial" w:cs="Arial"/>
                <w:bCs/>
                <w:iCs/>
                <w:sz w:val="20"/>
                <w:szCs w:val="20"/>
                <w:lang w:val="en-US"/>
              </w:rPr>
              <w:t xml:space="preserve"> No</w:t>
            </w:r>
          </w:p>
        </w:tc>
      </w:tr>
      <w:tr w:rsidR="005A62F6" w:rsidRPr="00D57C02" w14:paraId="5D0B8B33" w14:textId="77777777" w:rsidTr="008547FF">
        <w:trPr>
          <w:trHeight w:val="274"/>
          <w:jc w:val="center"/>
        </w:trPr>
        <w:tc>
          <w:tcPr>
            <w:tcW w:w="9079" w:type="dxa"/>
            <w:gridSpan w:val="2"/>
            <w:shd w:val="clear" w:color="auto" w:fill="F2F2F2" w:themeFill="background1" w:themeFillShade="F2"/>
            <w:vAlign w:val="center"/>
          </w:tcPr>
          <w:p w14:paraId="72F71C23" w14:textId="6F204982" w:rsidR="00684013" w:rsidRPr="00D57C02" w:rsidRDefault="001F2969" w:rsidP="00684013">
            <w:pPr>
              <w:spacing w:before="120" w:after="120" w:line="240"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If </w:t>
            </w:r>
            <w:r w:rsidRPr="00D57C02">
              <w:rPr>
                <w:rFonts w:ascii="Arial" w:eastAsia="Calibri" w:hAnsi="Arial" w:cs="Arial"/>
                <w:b/>
                <w:sz w:val="20"/>
                <w:szCs w:val="20"/>
                <w:lang w:val="en-US"/>
              </w:rPr>
              <w:t>yes</w:t>
            </w:r>
            <w:r w:rsidRPr="00D57C02">
              <w:rPr>
                <w:rFonts w:ascii="Arial" w:eastAsia="Calibri" w:hAnsi="Arial" w:cs="Arial"/>
                <w:sz w:val="20"/>
                <w:szCs w:val="20"/>
                <w:lang w:val="en-US"/>
              </w:rPr>
              <w:t>, provide an overview of</w:t>
            </w:r>
            <w:r w:rsidR="009001EF" w:rsidRPr="00D57C02">
              <w:rPr>
                <w:rFonts w:ascii="Arial" w:eastAsia="Calibri" w:hAnsi="Arial" w:cs="Arial"/>
                <w:sz w:val="20"/>
                <w:szCs w:val="20"/>
                <w:lang w:val="en-US"/>
              </w:rPr>
              <w:t xml:space="preserve"> the new</w:t>
            </w:r>
            <w:r w:rsidRPr="00D57C02">
              <w:rPr>
                <w:rFonts w:ascii="Arial" w:eastAsia="Calibri" w:hAnsi="Arial" w:cs="Arial"/>
                <w:sz w:val="20"/>
                <w:szCs w:val="20"/>
                <w:lang w:val="en-US"/>
              </w:rPr>
              <w:t xml:space="preserve"> implementation arrangements </w:t>
            </w:r>
            <w:r w:rsidR="009001EF" w:rsidRPr="00D57C02">
              <w:rPr>
                <w:rFonts w:ascii="Arial" w:eastAsia="Calibri" w:hAnsi="Arial" w:cs="Arial"/>
                <w:sz w:val="20"/>
                <w:szCs w:val="20"/>
                <w:lang w:val="en-US"/>
              </w:rPr>
              <w:t>and elaborate how these changes affect the operationalization of</w:t>
            </w:r>
            <w:r w:rsidRPr="00D57C02">
              <w:rPr>
                <w:rFonts w:ascii="Arial" w:eastAsia="Calibri" w:hAnsi="Arial" w:cs="Arial"/>
                <w:sz w:val="20"/>
                <w:szCs w:val="20"/>
                <w:lang w:val="en-US"/>
              </w:rPr>
              <w:t xml:space="preserve"> the grant</w:t>
            </w:r>
            <w:r w:rsidR="009001EF" w:rsidRPr="00D57C02">
              <w:rPr>
                <w:rFonts w:ascii="Arial" w:eastAsia="Calibri" w:hAnsi="Arial" w:cs="Arial"/>
                <w:sz w:val="20"/>
                <w:szCs w:val="20"/>
                <w:lang w:val="en-US"/>
              </w:rPr>
              <w:t>.</w:t>
            </w:r>
          </w:p>
          <w:p w14:paraId="0CFF6AEC" w14:textId="5B22C799" w:rsidR="001F2969" w:rsidRPr="00D57C02" w:rsidRDefault="001F2969" w:rsidP="00684013">
            <w:pPr>
              <w:spacing w:before="120" w:after="120" w:line="240"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If </w:t>
            </w:r>
            <w:r w:rsidRPr="00D57C02">
              <w:rPr>
                <w:rFonts w:ascii="Arial" w:eastAsia="Calibri" w:hAnsi="Arial" w:cs="Arial"/>
                <w:b/>
                <w:sz w:val="20"/>
                <w:szCs w:val="20"/>
                <w:lang w:val="en-US"/>
              </w:rPr>
              <w:t>no</w:t>
            </w:r>
            <w:r w:rsidRPr="00D57C02">
              <w:rPr>
                <w:rFonts w:ascii="Arial" w:eastAsia="Calibri" w:hAnsi="Arial" w:cs="Arial"/>
                <w:sz w:val="20"/>
                <w:szCs w:val="20"/>
                <w:lang w:val="en-US"/>
              </w:rPr>
              <w:t>, provide a summary of high-level implementation arrangements f</w:t>
            </w:r>
            <w:r w:rsidR="00A44778" w:rsidRPr="00D57C02">
              <w:rPr>
                <w:rFonts w:ascii="Arial" w:eastAsia="Calibri" w:hAnsi="Arial" w:cs="Arial"/>
                <w:sz w:val="20"/>
                <w:szCs w:val="20"/>
                <w:lang w:val="en-US"/>
              </w:rPr>
              <w:t>ocusing only on lessons learned</w:t>
            </w:r>
            <w:r w:rsidRPr="00D57C02">
              <w:rPr>
                <w:rFonts w:ascii="Arial" w:eastAsia="Calibri" w:hAnsi="Arial" w:cs="Arial"/>
                <w:sz w:val="20"/>
                <w:szCs w:val="20"/>
                <w:lang w:val="en-US"/>
              </w:rPr>
              <w:t xml:space="preserve"> for the next period.  </w:t>
            </w:r>
          </w:p>
          <w:p w14:paraId="3DB58B1E" w14:textId="015DAA1A" w:rsidR="00684013" w:rsidRPr="00D57C02" w:rsidRDefault="001F2969" w:rsidP="00684013">
            <w:pPr>
              <w:spacing w:before="120" w:after="120" w:line="240" w:lineRule="auto"/>
              <w:jc w:val="both"/>
              <w:rPr>
                <w:rFonts w:ascii="Arial" w:eastAsia="Calibri" w:hAnsi="Arial" w:cs="Arial"/>
                <w:sz w:val="20"/>
                <w:szCs w:val="20"/>
                <w:lang w:val="en-US"/>
              </w:rPr>
            </w:pPr>
            <w:r w:rsidRPr="00D57C02">
              <w:rPr>
                <w:rFonts w:ascii="Arial" w:eastAsia="Calibri" w:hAnsi="Arial" w:cs="Arial"/>
                <w:sz w:val="20"/>
                <w:szCs w:val="20"/>
                <w:lang w:val="en-US"/>
              </w:rPr>
              <w:t xml:space="preserve">In </w:t>
            </w:r>
            <w:r w:rsidRPr="00D57C02">
              <w:rPr>
                <w:rFonts w:ascii="Arial" w:eastAsia="Calibri" w:hAnsi="Arial" w:cs="Arial"/>
                <w:b/>
                <w:sz w:val="20"/>
                <w:szCs w:val="20"/>
                <w:lang w:val="en-US"/>
              </w:rPr>
              <w:t>both cases</w:t>
            </w:r>
            <w:r w:rsidRPr="00D57C02">
              <w:rPr>
                <w:rFonts w:ascii="Arial" w:eastAsia="Calibri" w:hAnsi="Arial" w:cs="Arial"/>
                <w:sz w:val="20"/>
                <w:szCs w:val="20"/>
                <w:lang w:val="en-US"/>
              </w:rPr>
              <w:t>, detail how representatives of women's organizations, key populations and people living with the disease(s)</w:t>
            </w:r>
            <w:r w:rsidR="009D2167" w:rsidRPr="00D57C02">
              <w:rPr>
                <w:rFonts w:ascii="Arial" w:eastAsia="Calibri" w:hAnsi="Arial" w:cs="Arial"/>
                <w:sz w:val="20"/>
                <w:szCs w:val="20"/>
                <w:lang w:val="en-US"/>
              </w:rPr>
              <w:t>,</w:t>
            </w:r>
            <w:r w:rsidRPr="00D57C02">
              <w:rPr>
                <w:rFonts w:ascii="Arial" w:eastAsia="Calibri" w:hAnsi="Arial" w:cs="Arial"/>
                <w:sz w:val="20"/>
                <w:szCs w:val="20"/>
                <w:lang w:val="en-US"/>
              </w:rPr>
              <w:t xml:space="preserve"> as applicable</w:t>
            </w:r>
            <w:r w:rsidR="009D2167" w:rsidRPr="00D57C02">
              <w:rPr>
                <w:rFonts w:ascii="Arial" w:eastAsia="Calibri" w:hAnsi="Arial" w:cs="Arial"/>
                <w:sz w:val="20"/>
                <w:szCs w:val="20"/>
                <w:lang w:val="en-US"/>
              </w:rPr>
              <w:t>,</w:t>
            </w:r>
            <w:r w:rsidRPr="00D57C02">
              <w:rPr>
                <w:rFonts w:ascii="Arial" w:eastAsia="Calibri" w:hAnsi="Arial" w:cs="Arial"/>
                <w:sz w:val="20"/>
                <w:szCs w:val="20"/>
                <w:lang w:val="en-US"/>
              </w:rPr>
              <w:t xml:space="preserve"> will actively participate in the implemen</w:t>
            </w:r>
            <w:r w:rsidR="00684013" w:rsidRPr="00D57C02">
              <w:rPr>
                <w:rFonts w:ascii="Arial" w:eastAsia="Calibri" w:hAnsi="Arial" w:cs="Arial"/>
                <w:sz w:val="20"/>
                <w:szCs w:val="20"/>
                <w:lang w:val="en-US"/>
              </w:rPr>
              <w:t>tation.</w:t>
            </w:r>
          </w:p>
          <w:p w14:paraId="00646EB8" w14:textId="023AA49F" w:rsidR="00B72573" w:rsidRPr="00D57C02" w:rsidRDefault="001F2969" w:rsidP="00684013">
            <w:pPr>
              <w:spacing w:before="120" w:after="120" w:line="240" w:lineRule="auto"/>
              <w:jc w:val="both"/>
              <w:rPr>
                <w:rFonts w:ascii="Arial" w:eastAsia="Calibri" w:hAnsi="Arial" w:cs="Arial"/>
                <w:sz w:val="20"/>
                <w:szCs w:val="20"/>
                <w:lang w:val="en-US"/>
              </w:rPr>
            </w:pPr>
            <w:r w:rsidRPr="00D57C02">
              <w:rPr>
                <w:rFonts w:ascii="Arial" w:eastAsia="Calibri" w:hAnsi="Arial" w:cs="Arial"/>
                <w:sz w:val="20"/>
                <w:szCs w:val="20"/>
                <w:lang w:val="en-US"/>
              </w:rPr>
              <w:t>Include a description of procurem</w:t>
            </w:r>
            <w:r w:rsidR="00684013" w:rsidRPr="00D57C02">
              <w:rPr>
                <w:rFonts w:ascii="Arial" w:eastAsia="Calibri" w:hAnsi="Arial" w:cs="Arial"/>
                <w:sz w:val="20"/>
                <w:szCs w:val="20"/>
                <w:lang w:val="en-US"/>
              </w:rPr>
              <w:t>ent mechanisms</w:t>
            </w:r>
            <w:r w:rsidR="00B72573" w:rsidRPr="00D57C02">
              <w:rPr>
                <w:rFonts w:ascii="Arial" w:eastAsia="Calibri" w:hAnsi="Arial" w:cs="Arial"/>
                <w:sz w:val="20"/>
                <w:szCs w:val="20"/>
                <w:lang w:val="en-US"/>
              </w:rPr>
              <w:t>.</w:t>
            </w:r>
          </w:p>
          <w:p w14:paraId="5D0B8B32" w14:textId="100B49F7" w:rsidR="00B72573" w:rsidRPr="00D57C02" w:rsidRDefault="001631BD" w:rsidP="00684013">
            <w:pPr>
              <w:spacing w:before="120" w:after="120" w:line="240" w:lineRule="auto"/>
              <w:jc w:val="both"/>
              <w:rPr>
                <w:rFonts w:ascii="Arial" w:eastAsia="Calibri" w:hAnsi="Arial" w:cs="Arial"/>
                <w:b/>
                <w:sz w:val="20"/>
                <w:szCs w:val="20"/>
                <w:lang w:val="en-US"/>
              </w:rPr>
            </w:pPr>
            <w:r w:rsidRPr="00D57C02">
              <w:rPr>
                <w:rFonts w:ascii="Arial" w:eastAsia="Calibri" w:hAnsi="Arial" w:cs="Arial"/>
                <w:b/>
                <w:sz w:val="20"/>
                <w:szCs w:val="20"/>
                <w:lang w:val="en-US"/>
              </w:rPr>
              <w:t>(maximum</w:t>
            </w:r>
            <w:r w:rsidR="00B72573" w:rsidRPr="00D57C02">
              <w:rPr>
                <w:rFonts w:ascii="Arial" w:eastAsia="Calibri" w:hAnsi="Arial" w:cs="Arial"/>
                <w:b/>
                <w:sz w:val="20"/>
                <w:szCs w:val="20"/>
                <w:lang w:val="en-US"/>
              </w:rPr>
              <w:t xml:space="preserve"> 1 page)</w:t>
            </w:r>
          </w:p>
        </w:tc>
      </w:tr>
    </w:tbl>
    <w:p w14:paraId="21268873" w14:textId="432B2A04" w:rsidR="00E11095" w:rsidRDefault="004A5EC2" w:rsidP="00CB6465">
      <w:pPr>
        <w:spacing w:after="0" w:line="240" w:lineRule="auto"/>
        <w:jc w:val="both"/>
        <w:rPr>
          <w:rFonts w:ascii="Arial" w:hAnsi="Arial" w:cs="Arial"/>
        </w:rPr>
      </w:pPr>
      <w:r w:rsidRPr="004A5EC2">
        <w:rPr>
          <w:rFonts w:ascii="Arial" w:hAnsi="Arial" w:cs="Arial"/>
        </w:rPr>
        <w:t xml:space="preserve">There will be </w:t>
      </w:r>
      <w:r>
        <w:rPr>
          <w:rFonts w:ascii="Arial" w:hAnsi="Arial" w:cs="Arial"/>
        </w:rPr>
        <w:t>no major changes from the past implementation arrangements</w:t>
      </w:r>
      <w:r w:rsidR="00993C2A">
        <w:rPr>
          <w:rFonts w:ascii="Arial" w:hAnsi="Arial" w:cs="Arial"/>
        </w:rPr>
        <w:t xml:space="preserve"> as reflected in the implementation arrangements map (</w:t>
      </w:r>
      <w:r w:rsidR="00993C2A" w:rsidRPr="00993C2A">
        <w:rPr>
          <w:rFonts w:ascii="Arial" w:hAnsi="Arial" w:cs="Arial"/>
          <w:i/>
        </w:rPr>
        <w:t>Annex 24</w:t>
      </w:r>
      <w:r w:rsidR="00993C2A">
        <w:rPr>
          <w:rFonts w:ascii="Arial" w:hAnsi="Arial" w:cs="Arial"/>
        </w:rPr>
        <w:t xml:space="preserve">). </w:t>
      </w:r>
      <w:r w:rsidR="00880952">
        <w:rPr>
          <w:rFonts w:ascii="Arial" w:hAnsi="Arial" w:cs="Arial"/>
        </w:rPr>
        <w:t>In 2015, t</w:t>
      </w:r>
      <w:r w:rsidR="00C06853">
        <w:rPr>
          <w:rFonts w:ascii="Arial" w:hAnsi="Arial" w:cs="Arial"/>
        </w:rPr>
        <w:t xml:space="preserve">he </w:t>
      </w:r>
      <w:r w:rsidR="003E79A0">
        <w:rPr>
          <w:rFonts w:ascii="Arial" w:hAnsi="Arial" w:cs="Arial"/>
        </w:rPr>
        <w:t xml:space="preserve">Global Fund had placed </w:t>
      </w:r>
      <w:r w:rsidR="00773AD2">
        <w:rPr>
          <w:rFonts w:ascii="Arial" w:hAnsi="Arial" w:cs="Arial"/>
        </w:rPr>
        <w:t xml:space="preserve">Nepal </w:t>
      </w:r>
      <w:r w:rsidR="003E79A0">
        <w:rPr>
          <w:rFonts w:ascii="Arial" w:hAnsi="Arial" w:cs="Arial"/>
        </w:rPr>
        <w:t xml:space="preserve">under additional safe-guard policy </w:t>
      </w:r>
      <w:r w:rsidR="00F0789D">
        <w:rPr>
          <w:rFonts w:ascii="Arial" w:hAnsi="Arial" w:cs="Arial"/>
        </w:rPr>
        <w:t>when</w:t>
      </w:r>
      <w:r w:rsidR="003E79A0">
        <w:rPr>
          <w:rFonts w:ascii="Arial" w:hAnsi="Arial" w:cs="Arial"/>
        </w:rPr>
        <w:t xml:space="preserve"> the Country Coordination Mechanism (CCM) </w:t>
      </w:r>
      <w:r w:rsidR="00773AD2">
        <w:rPr>
          <w:rFonts w:ascii="Arial" w:hAnsi="Arial" w:cs="Arial"/>
        </w:rPr>
        <w:t xml:space="preserve">was </w:t>
      </w:r>
      <w:r w:rsidR="00880952">
        <w:rPr>
          <w:rFonts w:ascii="Arial" w:hAnsi="Arial" w:cs="Arial"/>
        </w:rPr>
        <w:t>declared</w:t>
      </w:r>
      <w:r w:rsidR="00773AD2">
        <w:rPr>
          <w:rFonts w:ascii="Arial" w:hAnsi="Arial" w:cs="Arial"/>
        </w:rPr>
        <w:t xml:space="preserve"> </w:t>
      </w:r>
      <w:r w:rsidR="00880952">
        <w:rPr>
          <w:rFonts w:ascii="Arial" w:hAnsi="Arial" w:cs="Arial"/>
        </w:rPr>
        <w:t>ineligible</w:t>
      </w:r>
      <w:r w:rsidR="00FB7D69">
        <w:rPr>
          <w:rFonts w:ascii="Arial" w:hAnsi="Arial" w:cs="Arial"/>
        </w:rPr>
        <w:t xml:space="preserve"> and </w:t>
      </w:r>
      <w:r w:rsidR="009D7FF4">
        <w:rPr>
          <w:rFonts w:ascii="Arial" w:hAnsi="Arial" w:cs="Arial"/>
        </w:rPr>
        <w:t xml:space="preserve">Save the Children </w:t>
      </w:r>
      <w:r w:rsidR="00FB7D69">
        <w:rPr>
          <w:rFonts w:ascii="Arial" w:hAnsi="Arial" w:cs="Arial"/>
        </w:rPr>
        <w:t xml:space="preserve">was appointed </w:t>
      </w:r>
      <w:r w:rsidR="005D616C">
        <w:rPr>
          <w:rFonts w:ascii="Arial" w:hAnsi="Arial" w:cs="Arial"/>
        </w:rPr>
        <w:t>as</w:t>
      </w:r>
      <w:r w:rsidR="009D7FF4">
        <w:rPr>
          <w:rFonts w:ascii="Arial" w:hAnsi="Arial" w:cs="Arial"/>
        </w:rPr>
        <w:t xml:space="preserve"> the Principal Recipient for the </w:t>
      </w:r>
      <w:r w:rsidR="005D616C">
        <w:rPr>
          <w:rFonts w:ascii="Arial" w:hAnsi="Arial" w:cs="Arial"/>
        </w:rPr>
        <w:t>N</w:t>
      </w:r>
      <w:r w:rsidR="00FB7D69">
        <w:rPr>
          <w:rFonts w:ascii="Arial" w:hAnsi="Arial" w:cs="Arial"/>
        </w:rPr>
        <w:t xml:space="preserve">ational TB </w:t>
      </w:r>
      <w:r w:rsidR="005D616C">
        <w:rPr>
          <w:rFonts w:ascii="Arial" w:hAnsi="Arial" w:cs="Arial"/>
        </w:rPr>
        <w:t>P</w:t>
      </w:r>
      <w:r w:rsidR="00FB7D69">
        <w:rPr>
          <w:rFonts w:ascii="Arial" w:hAnsi="Arial" w:cs="Arial"/>
        </w:rPr>
        <w:t xml:space="preserve">rogramme. </w:t>
      </w:r>
      <w:r w:rsidR="003E79A0">
        <w:rPr>
          <w:rFonts w:ascii="Arial" w:hAnsi="Arial" w:cs="Arial"/>
        </w:rPr>
        <w:t xml:space="preserve">However, subsequently the process to review and </w:t>
      </w:r>
      <w:r w:rsidR="00E11095">
        <w:rPr>
          <w:rFonts w:ascii="Arial" w:hAnsi="Arial" w:cs="Arial"/>
        </w:rPr>
        <w:t>revive</w:t>
      </w:r>
      <w:r w:rsidR="003E79A0">
        <w:rPr>
          <w:rFonts w:ascii="Arial" w:hAnsi="Arial" w:cs="Arial"/>
        </w:rPr>
        <w:t xml:space="preserve"> the CCM was </w:t>
      </w:r>
      <w:r w:rsidR="00A740EC">
        <w:rPr>
          <w:rFonts w:ascii="Arial" w:hAnsi="Arial" w:cs="Arial"/>
        </w:rPr>
        <w:t xml:space="preserve">actively </w:t>
      </w:r>
      <w:r w:rsidR="003E79A0">
        <w:rPr>
          <w:rFonts w:ascii="Arial" w:hAnsi="Arial" w:cs="Arial"/>
        </w:rPr>
        <w:t>undertaken</w:t>
      </w:r>
      <w:r w:rsidR="00B24928">
        <w:rPr>
          <w:rFonts w:ascii="Arial" w:hAnsi="Arial" w:cs="Arial"/>
        </w:rPr>
        <w:t xml:space="preserve"> </w:t>
      </w:r>
      <w:r w:rsidR="00A740EC">
        <w:rPr>
          <w:rFonts w:ascii="Arial" w:hAnsi="Arial" w:cs="Arial"/>
        </w:rPr>
        <w:t xml:space="preserve">with external technical assistance </w:t>
      </w:r>
      <w:r w:rsidR="00B24928">
        <w:rPr>
          <w:rFonts w:ascii="Arial" w:hAnsi="Arial" w:cs="Arial"/>
        </w:rPr>
        <w:t>to fulfil the eligibility norms</w:t>
      </w:r>
      <w:r w:rsidR="003E79A0">
        <w:rPr>
          <w:rFonts w:ascii="Arial" w:hAnsi="Arial" w:cs="Arial"/>
        </w:rPr>
        <w:t xml:space="preserve">. </w:t>
      </w:r>
    </w:p>
    <w:p w14:paraId="6F427183" w14:textId="77777777" w:rsidR="0014452D" w:rsidRDefault="0014452D" w:rsidP="00CB6465">
      <w:pPr>
        <w:spacing w:after="0" w:line="240" w:lineRule="auto"/>
        <w:jc w:val="both"/>
        <w:rPr>
          <w:rFonts w:ascii="Arial" w:hAnsi="Arial" w:cs="Arial"/>
        </w:rPr>
      </w:pPr>
    </w:p>
    <w:p w14:paraId="30EDF431" w14:textId="2D9CA799" w:rsidR="00993F57" w:rsidRDefault="005D616C" w:rsidP="00993F57">
      <w:pPr>
        <w:pStyle w:val="yiv7525682190msolistparagraph"/>
        <w:shd w:val="clear" w:color="auto" w:fill="FFFFFF"/>
        <w:spacing w:before="0" w:beforeAutospacing="0" w:after="0" w:afterAutospacing="0"/>
        <w:jc w:val="both"/>
        <w:rPr>
          <w:rFonts w:ascii="Arial" w:hAnsi="Arial" w:cs="Arial"/>
          <w:sz w:val="22"/>
          <w:szCs w:val="22"/>
        </w:rPr>
      </w:pPr>
      <w:r w:rsidRPr="005F7DB1">
        <w:rPr>
          <w:rFonts w:ascii="Arial" w:hAnsi="Arial" w:cs="Arial"/>
          <w:sz w:val="22"/>
          <w:szCs w:val="22"/>
        </w:rPr>
        <w:t xml:space="preserve">As in the past, the Principal Recipient (PR) </w:t>
      </w:r>
      <w:r w:rsidR="0013448B" w:rsidRPr="005F7DB1">
        <w:rPr>
          <w:rFonts w:ascii="Arial" w:hAnsi="Arial" w:cs="Arial"/>
          <w:sz w:val="22"/>
          <w:szCs w:val="22"/>
        </w:rPr>
        <w:t>during the process for selection of Sub-Recipients (SRs</w:t>
      </w:r>
      <w:proofErr w:type="gramStart"/>
      <w:r w:rsidR="0013448B" w:rsidRPr="005F7DB1">
        <w:rPr>
          <w:rFonts w:ascii="Arial" w:hAnsi="Arial" w:cs="Arial"/>
          <w:sz w:val="22"/>
          <w:szCs w:val="22"/>
        </w:rPr>
        <w:t>)</w:t>
      </w:r>
      <w:r w:rsidR="0013448B">
        <w:rPr>
          <w:rFonts w:ascii="Arial" w:hAnsi="Arial" w:cs="Arial"/>
          <w:sz w:val="22"/>
          <w:szCs w:val="22"/>
        </w:rPr>
        <w:t>,</w:t>
      </w:r>
      <w:proofErr w:type="gramEnd"/>
      <w:r w:rsidR="0013448B" w:rsidRPr="005F7DB1">
        <w:rPr>
          <w:rFonts w:ascii="Arial" w:hAnsi="Arial" w:cs="Arial"/>
          <w:sz w:val="22"/>
          <w:szCs w:val="22"/>
        </w:rPr>
        <w:t xml:space="preserve"> </w:t>
      </w:r>
      <w:r>
        <w:rPr>
          <w:rFonts w:ascii="Arial" w:hAnsi="Arial" w:cs="Arial"/>
          <w:sz w:val="22"/>
          <w:szCs w:val="22"/>
        </w:rPr>
        <w:t xml:space="preserve">normally </w:t>
      </w:r>
      <w:r w:rsidRPr="005F7DB1">
        <w:rPr>
          <w:rFonts w:ascii="Arial" w:hAnsi="Arial" w:cs="Arial"/>
          <w:sz w:val="22"/>
          <w:szCs w:val="22"/>
        </w:rPr>
        <w:t>conduct</w:t>
      </w:r>
      <w:r>
        <w:rPr>
          <w:rFonts w:ascii="Arial" w:hAnsi="Arial" w:cs="Arial"/>
          <w:sz w:val="22"/>
          <w:szCs w:val="22"/>
        </w:rPr>
        <w:t>s</w:t>
      </w:r>
      <w:r w:rsidRPr="005F7DB1">
        <w:rPr>
          <w:rFonts w:ascii="Arial" w:hAnsi="Arial" w:cs="Arial"/>
          <w:sz w:val="22"/>
          <w:szCs w:val="22"/>
        </w:rPr>
        <w:t xml:space="preserve"> consultations with key populations, existing partners and women-led organizations which provide</w:t>
      </w:r>
      <w:r>
        <w:rPr>
          <w:rFonts w:ascii="Arial" w:hAnsi="Arial" w:cs="Arial"/>
          <w:sz w:val="22"/>
          <w:szCs w:val="22"/>
        </w:rPr>
        <w:t>s</w:t>
      </w:r>
      <w:r w:rsidRPr="005F7DB1">
        <w:rPr>
          <w:rFonts w:ascii="Arial" w:hAnsi="Arial" w:cs="Arial"/>
          <w:sz w:val="22"/>
          <w:szCs w:val="22"/>
        </w:rPr>
        <w:t xml:space="preserve"> an opportunity for their active participation in the implementation of the activities. </w:t>
      </w:r>
      <w:r>
        <w:rPr>
          <w:rFonts w:ascii="Arial" w:hAnsi="Arial" w:cs="Arial"/>
          <w:sz w:val="22"/>
          <w:szCs w:val="22"/>
        </w:rPr>
        <w:t>Even during the ongoing country dialogue, r</w:t>
      </w:r>
      <w:r w:rsidR="009B261F" w:rsidRPr="005F7DB1">
        <w:rPr>
          <w:rFonts w:ascii="Arial" w:hAnsi="Arial" w:cs="Arial"/>
          <w:sz w:val="22"/>
          <w:szCs w:val="22"/>
        </w:rPr>
        <w:t>epresentatives from key populations</w:t>
      </w:r>
      <w:r>
        <w:rPr>
          <w:rFonts w:ascii="Arial" w:hAnsi="Arial" w:cs="Arial"/>
          <w:sz w:val="22"/>
          <w:szCs w:val="22"/>
        </w:rPr>
        <w:t xml:space="preserve">: TB-affected families and PLHIVs; </w:t>
      </w:r>
      <w:r w:rsidR="008E2406">
        <w:rPr>
          <w:rFonts w:ascii="Arial" w:hAnsi="Arial" w:cs="Arial"/>
          <w:sz w:val="22"/>
          <w:szCs w:val="22"/>
        </w:rPr>
        <w:t xml:space="preserve">prisoners; </w:t>
      </w:r>
      <w:r>
        <w:rPr>
          <w:rFonts w:ascii="Arial" w:hAnsi="Arial" w:cs="Arial"/>
          <w:sz w:val="22"/>
          <w:szCs w:val="22"/>
        </w:rPr>
        <w:t xml:space="preserve">marginalized communities </w:t>
      </w:r>
      <w:proofErr w:type="spellStart"/>
      <w:r>
        <w:rPr>
          <w:rFonts w:ascii="Arial" w:hAnsi="Arial" w:cs="Arial"/>
          <w:sz w:val="22"/>
          <w:szCs w:val="22"/>
        </w:rPr>
        <w:t>eg</w:t>
      </w:r>
      <w:proofErr w:type="spellEnd"/>
      <w:r>
        <w:rPr>
          <w:rFonts w:ascii="Arial" w:hAnsi="Arial" w:cs="Arial"/>
          <w:sz w:val="22"/>
          <w:szCs w:val="22"/>
        </w:rPr>
        <w:t xml:space="preserve">. </w:t>
      </w:r>
      <w:r w:rsidR="0053152B">
        <w:rPr>
          <w:rFonts w:ascii="Arial" w:hAnsi="Arial" w:cs="Arial"/>
          <w:sz w:val="22"/>
          <w:szCs w:val="22"/>
        </w:rPr>
        <w:t>PLHIV</w:t>
      </w:r>
      <w:r>
        <w:rPr>
          <w:rFonts w:ascii="Arial" w:hAnsi="Arial" w:cs="Arial"/>
          <w:sz w:val="22"/>
          <w:szCs w:val="22"/>
        </w:rPr>
        <w:t>; seasonal migrant workers</w:t>
      </w:r>
      <w:r w:rsidR="007C3D2F" w:rsidRPr="005F7DB1">
        <w:rPr>
          <w:rFonts w:ascii="Arial" w:hAnsi="Arial" w:cs="Arial"/>
          <w:sz w:val="22"/>
          <w:szCs w:val="22"/>
        </w:rPr>
        <w:t xml:space="preserve"> and women-led organizations </w:t>
      </w:r>
      <w:r w:rsidR="0086719B" w:rsidRPr="005F7DB1">
        <w:rPr>
          <w:rFonts w:ascii="Arial" w:hAnsi="Arial" w:cs="Arial"/>
          <w:sz w:val="22"/>
          <w:szCs w:val="22"/>
        </w:rPr>
        <w:t>(</w:t>
      </w:r>
      <w:proofErr w:type="spellStart"/>
      <w:r>
        <w:rPr>
          <w:rFonts w:ascii="Arial" w:hAnsi="Arial" w:cs="Arial"/>
          <w:sz w:val="22"/>
          <w:szCs w:val="22"/>
        </w:rPr>
        <w:t>eg</w:t>
      </w:r>
      <w:proofErr w:type="spellEnd"/>
      <w:r>
        <w:rPr>
          <w:rFonts w:ascii="Arial" w:hAnsi="Arial" w:cs="Arial"/>
          <w:sz w:val="22"/>
          <w:szCs w:val="22"/>
        </w:rPr>
        <w:t xml:space="preserve">. </w:t>
      </w:r>
      <w:r w:rsidR="0086719B" w:rsidRPr="005F7DB1">
        <w:rPr>
          <w:rFonts w:ascii="Arial" w:hAnsi="Arial" w:cs="Arial"/>
          <w:sz w:val="22"/>
          <w:szCs w:val="22"/>
        </w:rPr>
        <w:t xml:space="preserve">mother’s groups) </w:t>
      </w:r>
      <w:r w:rsidR="007C3D2F" w:rsidRPr="005F7DB1">
        <w:rPr>
          <w:rFonts w:ascii="Arial" w:hAnsi="Arial" w:cs="Arial"/>
          <w:sz w:val="22"/>
          <w:szCs w:val="22"/>
        </w:rPr>
        <w:t xml:space="preserve">participated in the consultations </w:t>
      </w:r>
      <w:r w:rsidR="00CB6465">
        <w:rPr>
          <w:rFonts w:ascii="Arial" w:hAnsi="Arial" w:cs="Arial"/>
          <w:sz w:val="22"/>
          <w:szCs w:val="22"/>
        </w:rPr>
        <w:t xml:space="preserve">especially in focus group discussions </w:t>
      </w:r>
      <w:r w:rsidR="007C3D2F" w:rsidRPr="005F7DB1">
        <w:rPr>
          <w:rFonts w:ascii="Arial" w:hAnsi="Arial" w:cs="Arial"/>
          <w:sz w:val="22"/>
          <w:szCs w:val="22"/>
        </w:rPr>
        <w:t xml:space="preserve">to identify barriers and constraints, including </w:t>
      </w:r>
      <w:r w:rsidR="00CB6465">
        <w:rPr>
          <w:rFonts w:ascii="Arial" w:hAnsi="Arial" w:cs="Arial"/>
          <w:sz w:val="22"/>
          <w:szCs w:val="22"/>
        </w:rPr>
        <w:t xml:space="preserve">exploration of </w:t>
      </w:r>
      <w:r w:rsidR="007C3D2F" w:rsidRPr="005F7DB1">
        <w:rPr>
          <w:rFonts w:ascii="Arial" w:hAnsi="Arial" w:cs="Arial"/>
          <w:sz w:val="22"/>
          <w:szCs w:val="22"/>
        </w:rPr>
        <w:t xml:space="preserve">feasible solutions. </w:t>
      </w:r>
      <w:r w:rsidR="00993F57" w:rsidRPr="00993F57">
        <w:rPr>
          <w:rFonts w:ascii="Arial" w:hAnsi="Arial" w:cs="Arial"/>
          <w:sz w:val="22"/>
          <w:szCs w:val="22"/>
        </w:rPr>
        <w:t>There is representation of women’s organizations, key populations and PL</w:t>
      </w:r>
      <w:r w:rsidR="004232BD">
        <w:rPr>
          <w:rFonts w:ascii="Arial" w:hAnsi="Arial" w:cs="Arial"/>
          <w:sz w:val="22"/>
          <w:szCs w:val="22"/>
        </w:rPr>
        <w:t>HIV</w:t>
      </w:r>
      <w:r w:rsidR="00993F57" w:rsidRPr="00993F57">
        <w:rPr>
          <w:rFonts w:ascii="Arial" w:hAnsi="Arial" w:cs="Arial"/>
          <w:sz w:val="22"/>
          <w:szCs w:val="22"/>
        </w:rPr>
        <w:t xml:space="preserve"> representatives in the CCM and CCM oversight committee which continuously monitors the PR activities</w:t>
      </w:r>
      <w:r w:rsidR="006659F4">
        <w:rPr>
          <w:rFonts w:ascii="Arial" w:hAnsi="Arial" w:cs="Arial"/>
          <w:sz w:val="22"/>
          <w:szCs w:val="22"/>
        </w:rPr>
        <w:t xml:space="preserve"> and thus </w:t>
      </w:r>
      <w:r w:rsidR="00993F57" w:rsidRPr="00993F57">
        <w:rPr>
          <w:rFonts w:ascii="Arial" w:hAnsi="Arial" w:cs="Arial"/>
          <w:sz w:val="22"/>
          <w:szCs w:val="22"/>
        </w:rPr>
        <w:t xml:space="preserve">these </w:t>
      </w:r>
      <w:r w:rsidR="004232BD" w:rsidRPr="00993F57">
        <w:rPr>
          <w:rFonts w:ascii="Arial" w:hAnsi="Arial" w:cs="Arial"/>
          <w:sz w:val="22"/>
          <w:szCs w:val="22"/>
        </w:rPr>
        <w:t>organizations</w:t>
      </w:r>
      <w:r w:rsidR="00993F57" w:rsidRPr="00993F57">
        <w:rPr>
          <w:rFonts w:ascii="Arial" w:hAnsi="Arial" w:cs="Arial"/>
          <w:sz w:val="22"/>
          <w:szCs w:val="22"/>
        </w:rPr>
        <w:t xml:space="preserve"> </w:t>
      </w:r>
      <w:r w:rsidR="006659F4">
        <w:rPr>
          <w:rFonts w:ascii="Arial" w:hAnsi="Arial" w:cs="Arial"/>
          <w:sz w:val="22"/>
          <w:szCs w:val="22"/>
        </w:rPr>
        <w:t xml:space="preserve">also </w:t>
      </w:r>
      <w:r w:rsidR="00993F57" w:rsidRPr="00993F57">
        <w:rPr>
          <w:rFonts w:ascii="Arial" w:hAnsi="Arial" w:cs="Arial"/>
          <w:sz w:val="22"/>
          <w:szCs w:val="22"/>
        </w:rPr>
        <w:t>participate in program implementation.</w:t>
      </w:r>
    </w:p>
    <w:p w14:paraId="425C484C" w14:textId="37B8CBD7" w:rsidR="00BB7315" w:rsidRDefault="00CB6990" w:rsidP="00BB7315">
      <w:pPr>
        <w:pStyle w:val="yiv7525682190msolistparagraph"/>
        <w:shd w:val="clear" w:color="auto" w:fill="FFFFFF"/>
        <w:jc w:val="both"/>
        <w:rPr>
          <w:rFonts w:ascii="Arial" w:hAnsi="Arial" w:cs="Arial"/>
          <w:sz w:val="22"/>
          <w:szCs w:val="22"/>
          <w:lang w:val="en-IN"/>
        </w:rPr>
      </w:pPr>
      <w:r>
        <w:rPr>
          <w:rFonts w:ascii="Arial" w:hAnsi="Arial" w:cs="Arial"/>
          <w:sz w:val="22"/>
          <w:szCs w:val="22"/>
        </w:rPr>
        <w:t xml:space="preserve">ACF activities in the provinces would be implemented by Sub-Recipients with a budget allocation of USD </w:t>
      </w:r>
      <w:r w:rsidR="001B604D">
        <w:rPr>
          <w:rFonts w:ascii="Arial" w:hAnsi="Arial" w:cs="Arial"/>
          <w:sz w:val="22"/>
          <w:szCs w:val="22"/>
          <w:lang w:val="en-IN"/>
        </w:rPr>
        <w:t>5,127,977</w:t>
      </w:r>
      <w:r>
        <w:rPr>
          <w:rFonts w:ascii="Arial" w:hAnsi="Arial" w:cs="Arial"/>
          <w:sz w:val="22"/>
          <w:szCs w:val="22"/>
          <w:lang w:val="en-IN"/>
        </w:rPr>
        <w:t xml:space="preserve"> which is </w:t>
      </w:r>
      <w:r w:rsidR="005D1C8C">
        <w:rPr>
          <w:rFonts w:ascii="Arial" w:hAnsi="Arial" w:cs="Arial"/>
          <w:sz w:val="22"/>
          <w:szCs w:val="22"/>
          <w:lang w:val="en-IN"/>
        </w:rPr>
        <w:t>3</w:t>
      </w:r>
      <w:r w:rsidR="001B604D">
        <w:rPr>
          <w:rFonts w:ascii="Arial" w:hAnsi="Arial" w:cs="Arial"/>
          <w:sz w:val="22"/>
          <w:szCs w:val="22"/>
          <w:lang w:val="en-IN"/>
        </w:rPr>
        <w:t>2</w:t>
      </w:r>
      <w:r>
        <w:rPr>
          <w:rFonts w:ascii="Arial" w:hAnsi="Arial" w:cs="Arial"/>
          <w:sz w:val="22"/>
          <w:szCs w:val="22"/>
          <w:lang w:val="en-IN"/>
        </w:rPr>
        <w:t xml:space="preserve">% of the proposed funding request. There are three referral centres for the </w:t>
      </w:r>
      <w:r w:rsidR="00BB7315">
        <w:rPr>
          <w:rFonts w:ascii="Arial" w:hAnsi="Arial" w:cs="Arial"/>
          <w:sz w:val="22"/>
          <w:szCs w:val="22"/>
          <w:lang w:val="en-IN"/>
        </w:rPr>
        <w:t xml:space="preserve">diagnosis, management and follow up of DR-TB patients at Kathmandu, </w:t>
      </w:r>
      <w:proofErr w:type="spellStart"/>
      <w:r w:rsidR="00BB7315">
        <w:rPr>
          <w:rFonts w:ascii="Arial" w:hAnsi="Arial" w:cs="Arial"/>
          <w:sz w:val="22"/>
          <w:szCs w:val="22"/>
          <w:lang w:val="en-IN"/>
        </w:rPr>
        <w:t>Biratnagar</w:t>
      </w:r>
      <w:proofErr w:type="spellEnd"/>
      <w:r w:rsidR="00BB7315">
        <w:rPr>
          <w:rFonts w:ascii="Arial" w:hAnsi="Arial" w:cs="Arial"/>
          <w:sz w:val="22"/>
          <w:szCs w:val="22"/>
          <w:lang w:val="en-IN"/>
        </w:rPr>
        <w:t xml:space="preserve"> and </w:t>
      </w:r>
      <w:proofErr w:type="spellStart"/>
      <w:r w:rsidR="00BB7315">
        <w:rPr>
          <w:rFonts w:ascii="Arial" w:hAnsi="Arial" w:cs="Arial"/>
          <w:sz w:val="22"/>
          <w:szCs w:val="22"/>
          <w:lang w:val="en-IN"/>
        </w:rPr>
        <w:t>Nepalgunj</w:t>
      </w:r>
      <w:proofErr w:type="spellEnd"/>
      <w:r w:rsidR="00BB7315">
        <w:rPr>
          <w:rFonts w:ascii="Arial" w:hAnsi="Arial" w:cs="Arial"/>
          <w:sz w:val="22"/>
          <w:szCs w:val="22"/>
          <w:lang w:val="en-IN"/>
        </w:rPr>
        <w:t xml:space="preserve"> and one hostel for admission of DR-TB cases at </w:t>
      </w:r>
      <w:proofErr w:type="spellStart"/>
      <w:r w:rsidR="00BB7315">
        <w:rPr>
          <w:rFonts w:ascii="Arial" w:hAnsi="Arial" w:cs="Arial"/>
          <w:sz w:val="22"/>
          <w:szCs w:val="22"/>
          <w:lang w:val="en-IN"/>
        </w:rPr>
        <w:t>Dhangadi</w:t>
      </w:r>
      <w:proofErr w:type="spellEnd"/>
      <w:r w:rsidR="00BB7315">
        <w:rPr>
          <w:rFonts w:ascii="Arial" w:hAnsi="Arial" w:cs="Arial"/>
          <w:sz w:val="22"/>
          <w:szCs w:val="22"/>
          <w:lang w:val="en-IN"/>
        </w:rPr>
        <w:t>. The earmarked budget for implementation of all MDR-TB related a</w:t>
      </w:r>
      <w:r>
        <w:rPr>
          <w:rFonts w:ascii="Arial" w:hAnsi="Arial" w:cs="Arial"/>
          <w:sz w:val="22"/>
          <w:szCs w:val="22"/>
          <w:lang w:val="en-IN"/>
        </w:rPr>
        <w:t xml:space="preserve">ctivities </w:t>
      </w:r>
      <w:r w:rsidR="00BB7315">
        <w:rPr>
          <w:rFonts w:ascii="Arial" w:hAnsi="Arial" w:cs="Arial"/>
          <w:sz w:val="22"/>
          <w:szCs w:val="22"/>
          <w:lang w:val="en-IN"/>
        </w:rPr>
        <w:t xml:space="preserve">would be USD </w:t>
      </w:r>
      <w:r w:rsidR="001B604D">
        <w:rPr>
          <w:rFonts w:ascii="Arial" w:hAnsi="Arial" w:cs="Arial"/>
          <w:sz w:val="22"/>
          <w:szCs w:val="22"/>
          <w:lang w:val="en-IN"/>
        </w:rPr>
        <w:t>1,332,622</w:t>
      </w:r>
      <w:r w:rsidR="00BB7315">
        <w:rPr>
          <w:rFonts w:ascii="Arial" w:hAnsi="Arial" w:cs="Arial"/>
          <w:sz w:val="22"/>
          <w:szCs w:val="22"/>
          <w:lang w:val="en-IN"/>
        </w:rPr>
        <w:t xml:space="preserve"> which is 8% of the total budget. </w:t>
      </w:r>
    </w:p>
    <w:p w14:paraId="5D9A94E5" w14:textId="4770C495" w:rsidR="00176236" w:rsidRDefault="00176236" w:rsidP="00176236">
      <w:pPr>
        <w:pStyle w:val="yiv7525682190msolistparagraph"/>
        <w:spacing w:before="0" w:beforeAutospacing="0" w:after="0" w:afterAutospacing="0"/>
        <w:jc w:val="both"/>
        <w:rPr>
          <w:rFonts w:ascii="Arial" w:hAnsi="Arial" w:cs="Arial"/>
          <w:sz w:val="22"/>
          <w:szCs w:val="22"/>
        </w:rPr>
      </w:pPr>
      <w:r w:rsidRPr="00176236">
        <w:rPr>
          <w:rFonts w:ascii="Arial" w:hAnsi="Arial" w:cs="Arial"/>
          <w:sz w:val="22"/>
          <w:szCs w:val="22"/>
        </w:rPr>
        <w:t>There will be no changes in the current procurement mechanisms (PPM) of the Principal Recipient (Save the Children).</w:t>
      </w:r>
      <w:r>
        <w:rPr>
          <w:rFonts w:ascii="Arial" w:hAnsi="Arial" w:cs="Arial"/>
          <w:sz w:val="22"/>
          <w:szCs w:val="22"/>
        </w:rPr>
        <w:t xml:space="preserve"> </w:t>
      </w:r>
      <w:r w:rsidR="00BB7315">
        <w:rPr>
          <w:rFonts w:ascii="Arial" w:hAnsi="Arial" w:cs="Arial"/>
          <w:sz w:val="22"/>
          <w:szCs w:val="22"/>
          <w:lang w:val="en-IN"/>
        </w:rPr>
        <w:t xml:space="preserve">As PR, the budget for Save the Children would be USD </w:t>
      </w:r>
      <w:r w:rsidR="001B604D">
        <w:rPr>
          <w:rFonts w:ascii="Arial" w:hAnsi="Arial" w:cs="Arial"/>
          <w:sz w:val="22"/>
          <w:szCs w:val="22"/>
          <w:lang w:val="en-IN"/>
        </w:rPr>
        <w:t>6,093,436</w:t>
      </w:r>
      <w:r w:rsidR="00BB7315">
        <w:rPr>
          <w:rFonts w:ascii="Arial" w:hAnsi="Arial" w:cs="Arial"/>
          <w:sz w:val="22"/>
          <w:szCs w:val="22"/>
          <w:lang w:val="en-IN"/>
        </w:rPr>
        <w:t xml:space="preserve"> which cover the following </w:t>
      </w:r>
      <w:r w:rsidR="000836C9">
        <w:rPr>
          <w:rFonts w:ascii="Arial" w:hAnsi="Arial" w:cs="Arial"/>
          <w:sz w:val="22"/>
          <w:szCs w:val="22"/>
          <w:lang w:val="en-IN"/>
        </w:rPr>
        <w:t xml:space="preserve">major </w:t>
      </w:r>
      <w:r w:rsidR="00BB7315">
        <w:rPr>
          <w:rFonts w:ascii="Arial" w:hAnsi="Arial" w:cs="Arial"/>
          <w:sz w:val="22"/>
          <w:szCs w:val="22"/>
          <w:lang w:val="en-IN"/>
        </w:rPr>
        <w:t>activities</w:t>
      </w:r>
      <w:r w:rsidR="00D02E94">
        <w:rPr>
          <w:rFonts w:ascii="Arial" w:hAnsi="Arial" w:cs="Arial"/>
          <w:sz w:val="22"/>
          <w:szCs w:val="22"/>
          <w:lang w:val="en-IN"/>
        </w:rPr>
        <w:t xml:space="preserve"> (</w:t>
      </w:r>
      <w:proofErr w:type="spellStart"/>
      <w:r w:rsidR="00D02E94">
        <w:rPr>
          <w:rFonts w:ascii="Arial" w:hAnsi="Arial" w:cs="Arial"/>
          <w:sz w:val="22"/>
          <w:szCs w:val="22"/>
          <w:lang w:val="en-IN"/>
        </w:rPr>
        <w:t>i</w:t>
      </w:r>
      <w:proofErr w:type="spellEnd"/>
      <w:r w:rsidR="00D02E94">
        <w:rPr>
          <w:rFonts w:ascii="Arial" w:hAnsi="Arial" w:cs="Arial"/>
          <w:sz w:val="22"/>
          <w:szCs w:val="22"/>
          <w:lang w:val="en-IN"/>
        </w:rPr>
        <w:t xml:space="preserve">) TB Prevalence Survey; (ii) </w:t>
      </w:r>
      <w:r w:rsidR="00BB7315" w:rsidRPr="00D02E94">
        <w:rPr>
          <w:rFonts w:ascii="Arial" w:hAnsi="Arial" w:cs="Arial"/>
          <w:sz w:val="22"/>
          <w:szCs w:val="22"/>
          <w:lang w:val="en-IN"/>
        </w:rPr>
        <w:t xml:space="preserve">Technical support </w:t>
      </w:r>
      <w:r w:rsidR="00D02E94" w:rsidRPr="00D02E94">
        <w:rPr>
          <w:rFonts w:ascii="Arial" w:hAnsi="Arial" w:cs="Arial"/>
          <w:sz w:val="22"/>
          <w:szCs w:val="22"/>
          <w:lang w:val="en-IN"/>
        </w:rPr>
        <w:t>from n</w:t>
      </w:r>
      <w:r w:rsidR="00BB7315" w:rsidRPr="00D02E94">
        <w:rPr>
          <w:rFonts w:ascii="Arial" w:hAnsi="Arial" w:cs="Arial"/>
          <w:sz w:val="22"/>
          <w:szCs w:val="22"/>
          <w:lang w:val="en-IN"/>
        </w:rPr>
        <w:t>ational office</w:t>
      </w:r>
      <w:r w:rsidR="00BB7315">
        <w:rPr>
          <w:rFonts w:ascii="Arial" w:hAnsi="Arial" w:cs="Arial"/>
          <w:sz w:val="22"/>
          <w:szCs w:val="22"/>
          <w:lang w:val="en-IN"/>
        </w:rPr>
        <w:t>, (iii) development of guidelines, manuals and SOP; (</w:t>
      </w:r>
      <w:r w:rsidR="00A247DA">
        <w:rPr>
          <w:rFonts w:ascii="Arial" w:hAnsi="Arial" w:cs="Arial"/>
          <w:sz w:val="22"/>
          <w:szCs w:val="22"/>
          <w:lang w:val="en-IN"/>
        </w:rPr>
        <w:t>i</w:t>
      </w:r>
      <w:r w:rsidR="00BB7315">
        <w:rPr>
          <w:rFonts w:ascii="Arial" w:hAnsi="Arial" w:cs="Arial"/>
          <w:sz w:val="22"/>
          <w:szCs w:val="22"/>
          <w:lang w:val="en-IN"/>
        </w:rPr>
        <w:t>v) upgrad</w:t>
      </w:r>
      <w:r w:rsidR="00E61A77">
        <w:rPr>
          <w:rFonts w:ascii="Arial" w:hAnsi="Arial" w:cs="Arial"/>
          <w:sz w:val="22"/>
          <w:szCs w:val="22"/>
          <w:lang w:val="en-IN"/>
        </w:rPr>
        <w:t>ing</w:t>
      </w:r>
      <w:r w:rsidR="00BB7315">
        <w:rPr>
          <w:rFonts w:ascii="Arial" w:hAnsi="Arial" w:cs="Arial"/>
          <w:sz w:val="22"/>
          <w:szCs w:val="22"/>
          <w:lang w:val="en-IN"/>
        </w:rPr>
        <w:t xml:space="preserve"> of </w:t>
      </w:r>
      <w:proofErr w:type="spellStart"/>
      <w:r w:rsidR="00BB7315">
        <w:rPr>
          <w:rFonts w:ascii="Arial" w:hAnsi="Arial" w:cs="Arial"/>
          <w:sz w:val="22"/>
          <w:szCs w:val="22"/>
          <w:lang w:val="en-IN"/>
        </w:rPr>
        <w:t>eTB</w:t>
      </w:r>
      <w:proofErr w:type="spellEnd"/>
      <w:r w:rsidR="00BB7315">
        <w:rPr>
          <w:rFonts w:ascii="Arial" w:hAnsi="Arial" w:cs="Arial"/>
          <w:sz w:val="22"/>
          <w:szCs w:val="22"/>
          <w:lang w:val="en-IN"/>
        </w:rPr>
        <w:t xml:space="preserve">  register</w:t>
      </w:r>
      <w:r w:rsidR="00E61A77">
        <w:rPr>
          <w:rFonts w:ascii="Arial" w:hAnsi="Arial" w:cs="Arial"/>
          <w:sz w:val="22"/>
          <w:szCs w:val="22"/>
          <w:lang w:val="en-IN"/>
        </w:rPr>
        <w:t xml:space="preserve"> and online recording and reporting system</w:t>
      </w:r>
      <w:r w:rsidR="00A247DA">
        <w:rPr>
          <w:rFonts w:ascii="Arial" w:hAnsi="Arial" w:cs="Arial"/>
          <w:sz w:val="22"/>
          <w:szCs w:val="22"/>
          <w:lang w:val="en-IN"/>
        </w:rPr>
        <w:t>; (v</w:t>
      </w:r>
      <w:r w:rsidR="00BB7315">
        <w:rPr>
          <w:rFonts w:ascii="Arial" w:hAnsi="Arial" w:cs="Arial"/>
          <w:sz w:val="22"/>
          <w:szCs w:val="22"/>
          <w:lang w:val="en-IN"/>
        </w:rPr>
        <w:t xml:space="preserve">) </w:t>
      </w:r>
      <w:r w:rsidR="00D42FFE">
        <w:rPr>
          <w:rFonts w:ascii="Arial" w:hAnsi="Arial" w:cs="Arial"/>
          <w:sz w:val="22"/>
          <w:szCs w:val="22"/>
          <w:lang w:val="en-IN"/>
        </w:rPr>
        <w:t xml:space="preserve">technical assistance </w:t>
      </w:r>
      <w:r w:rsidR="00BB7315">
        <w:rPr>
          <w:rFonts w:ascii="Arial" w:hAnsi="Arial" w:cs="Arial"/>
          <w:sz w:val="22"/>
          <w:szCs w:val="22"/>
          <w:lang w:val="en-IN"/>
        </w:rPr>
        <w:t>from WHO</w:t>
      </w:r>
      <w:r w:rsidR="00D42FFE">
        <w:rPr>
          <w:rFonts w:ascii="Arial" w:hAnsi="Arial" w:cs="Arial"/>
          <w:sz w:val="22"/>
          <w:szCs w:val="22"/>
          <w:lang w:val="en-IN"/>
        </w:rPr>
        <w:t xml:space="preserve"> (through national professional officer)</w:t>
      </w:r>
      <w:r w:rsidR="00BB7315">
        <w:rPr>
          <w:rFonts w:ascii="Arial" w:hAnsi="Arial" w:cs="Arial"/>
          <w:sz w:val="22"/>
          <w:szCs w:val="22"/>
          <w:lang w:val="en-IN"/>
        </w:rPr>
        <w:t>; (vi) mapping of vulnerable populations</w:t>
      </w:r>
      <w:r w:rsidR="00E61A77">
        <w:rPr>
          <w:rFonts w:ascii="Arial" w:hAnsi="Arial" w:cs="Arial"/>
          <w:sz w:val="22"/>
          <w:szCs w:val="22"/>
          <w:lang w:val="en-IN"/>
        </w:rPr>
        <w:t xml:space="preserve"> including </w:t>
      </w:r>
      <w:r w:rsidR="00BB7315">
        <w:rPr>
          <w:rFonts w:ascii="Arial" w:hAnsi="Arial" w:cs="Arial"/>
          <w:sz w:val="22"/>
          <w:szCs w:val="22"/>
          <w:lang w:val="en-IN"/>
        </w:rPr>
        <w:t xml:space="preserve">treatment </w:t>
      </w:r>
      <w:r w:rsidR="00E61A77">
        <w:rPr>
          <w:rFonts w:ascii="Arial" w:hAnsi="Arial" w:cs="Arial"/>
          <w:sz w:val="22"/>
          <w:szCs w:val="22"/>
          <w:lang w:val="en-IN"/>
        </w:rPr>
        <w:t>and diagnostic services</w:t>
      </w:r>
      <w:r w:rsidR="00A247DA">
        <w:rPr>
          <w:rFonts w:ascii="Arial" w:hAnsi="Arial" w:cs="Arial"/>
          <w:sz w:val="22"/>
          <w:szCs w:val="22"/>
          <w:lang w:val="en-IN"/>
        </w:rPr>
        <w:t xml:space="preserve"> delivery points</w:t>
      </w:r>
      <w:r w:rsidR="00E61A77">
        <w:rPr>
          <w:rFonts w:ascii="Arial" w:hAnsi="Arial" w:cs="Arial"/>
          <w:sz w:val="22"/>
          <w:szCs w:val="22"/>
          <w:lang w:val="en-IN"/>
        </w:rPr>
        <w:t>; (vi</w:t>
      </w:r>
      <w:r w:rsidR="00A247DA">
        <w:rPr>
          <w:rFonts w:ascii="Arial" w:hAnsi="Arial" w:cs="Arial"/>
          <w:sz w:val="22"/>
          <w:szCs w:val="22"/>
          <w:lang w:val="en-IN"/>
        </w:rPr>
        <w:t xml:space="preserve">i) evaluation of NTP, </w:t>
      </w:r>
      <w:proofErr w:type="spellStart"/>
      <w:r w:rsidR="00A247DA">
        <w:rPr>
          <w:rFonts w:ascii="Arial" w:hAnsi="Arial" w:cs="Arial"/>
          <w:sz w:val="22"/>
          <w:szCs w:val="22"/>
          <w:lang w:val="en-IN"/>
        </w:rPr>
        <w:t>eg</w:t>
      </w:r>
      <w:proofErr w:type="spellEnd"/>
      <w:r w:rsidR="00A247DA">
        <w:rPr>
          <w:rFonts w:ascii="Arial" w:hAnsi="Arial" w:cs="Arial"/>
          <w:sz w:val="22"/>
          <w:szCs w:val="22"/>
          <w:lang w:val="en-IN"/>
        </w:rPr>
        <w:t xml:space="preserve">. </w:t>
      </w:r>
      <w:proofErr w:type="gramStart"/>
      <w:r w:rsidR="00E61A77">
        <w:rPr>
          <w:rFonts w:ascii="Arial" w:hAnsi="Arial" w:cs="Arial"/>
          <w:sz w:val="22"/>
          <w:szCs w:val="22"/>
          <w:lang w:val="en-IN"/>
        </w:rPr>
        <w:t>m</w:t>
      </w:r>
      <w:r w:rsidR="00D42FFE">
        <w:rPr>
          <w:rFonts w:ascii="Arial" w:hAnsi="Arial" w:cs="Arial"/>
          <w:sz w:val="22"/>
          <w:szCs w:val="22"/>
          <w:lang w:val="en-IN"/>
        </w:rPr>
        <w:t>id-term</w:t>
      </w:r>
      <w:proofErr w:type="gramEnd"/>
      <w:r w:rsidR="00D42FFE">
        <w:rPr>
          <w:rFonts w:ascii="Arial" w:hAnsi="Arial" w:cs="Arial"/>
          <w:sz w:val="22"/>
          <w:szCs w:val="22"/>
          <w:lang w:val="en-IN"/>
        </w:rPr>
        <w:t xml:space="preserve"> and in-depth assessment;</w:t>
      </w:r>
      <w:r w:rsidR="00A247DA">
        <w:rPr>
          <w:rFonts w:ascii="Arial" w:hAnsi="Arial" w:cs="Arial"/>
          <w:sz w:val="22"/>
          <w:szCs w:val="22"/>
          <w:lang w:val="en-IN"/>
        </w:rPr>
        <w:t xml:space="preserve"> (viii</w:t>
      </w:r>
      <w:r w:rsidR="00E61A77">
        <w:rPr>
          <w:rFonts w:ascii="Arial" w:hAnsi="Arial" w:cs="Arial"/>
          <w:sz w:val="22"/>
          <w:szCs w:val="22"/>
          <w:lang w:val="en-IN"/>
        </w:rPr>
        <w:t>) international and national TA to support specific interventions, (</w:t>
      </w:r>
      <w:r w:rsidR="00A247DA">
        <w:rPr>
          <w:rFonts w:ascii="Arial" w:hAnsi="Arial" w:cs="Arial"/>
          <w:sz w:val="22"/>
          <w:szCs w:val="22"/>
          <w:lang w:val="en-IN"/>
        </w:rPr>
        <w:t>i</w:t>
      </w:r>
      <w:r w:rsidR="00E61A77">
        <w:rPr>
          <w:rFonts w:ascii="Arial" w:hAnsi="Arial" w:cs="Arial"/>
          <w:sz w:val="22"/>
          <w:szCs w:val="22"/>
          <w:lang w:val="en-IN"/>
        </w:rPr>
        <w:t xml:space="preserve">x) procurement of accessories and consumables related to case detection and diagnosis through SRs and (x) for operational research in collaboration with medical colleges. </w:t>
      </w:r>
      <w:r>
        <w:rPr>
          <w:rFonts w:ascii="Arial" w:hAnsi="Arial" w:cs="Arial"/>
          <w:sz w:val="22"/>
          <w:szCs w:val="22"/>
          <w:lang w:val="en-IN"/>
        </w:rPr>
        <w:t xml:space="preserve">In addition, </w:t>
      </w:r>
      <w:r w:rsidRPr="00176236">
        <w:rPr>
          <w:rFonts w:ascii="Arial" w:hAnsi="Arial" w:cs="Arial"/>
          <w:sz w:val="22"/>
          <w:szCs w:val="22"/>
        </w:rPr>
        <w:t xml:space="preserve">PR will procure IT equipment, vehicle, infrastructure items, </w:t>
      </w:r>
      <w:proofErr w:type="gramStart"/>
      <w:r w:rsidRPr="00176236">
        <w:rPr>
          <w:rFonts w:ascii="Arial" w:hAnsi="Arial" w:cs="Arial"/>
          <w:sz w:val="22"/>
          <w:szCs w:val="22"/>
        </w:rPr>
        <w:t>consumables</w:t>
      </w:r>
      <w:proofErr w:type="gramEnd"/>
    </w:p>
    <w:p w14:paraId="64E92B1B" w14:textId="77777777" w:rsidR="00176236" w:rsidRPr="004A3B91" w:rsidRDefault="00176236" w:rsidP="00176236">
      <w:pPr>
        <w:pStyle w:val="yiv7525682190msolistparagraph"/>
        <w:spacing w:before="0" w:beforeAutospacing="0" w:after="0" w:afterAutospacing="0"/>
        <w:jc w:val="both"/>
        <w:rPr>
          <w:rFonts w:ascii="Arial" w:hAnsi="Arial" w:cs="Arial"/>
          <w:sz w:val="22"/>
          <w:szCs w:val="22"/>
        </w:rPr>
      </w:pPr>
    </w:p>
    <w:p w14:paraId="3DAF3DD8" w14:textId="4C325AED" w:rsidR="00D92EA0" w:rsidRDefault="00176236" w:rsidP="00176236">
      <w:pPr>
        <w:pStyle w:val="yiv7525682190msolistparagraph"/>
        <w:spacing w:before="0" w:beforeAutospacing="0" w:after="0" w:afterAutospacing="0"/>
        <w:jc w:val="both"/>
        <w:rPr>
          <w:rFonts w:ascii="Arial" w:hAnsi="Arial" w:cs="Arial"/>
          <w:bCs/>
        </w:rPr>
      </w:pPr>
      <w:r w:rsidRPr="00176236">
        <w:rPr>
          <w:rFonts w:ascii="Arial" w:hAnsi="Arial" w:cs="Arial"/>
          <w:sz w:val="22"/>
          <w:szCs w:val="22"/>
        </w:rPr>
        <w:t xml:space="preserve">The </w:t>
      </w:r>
      <w:proofErr w:type="spellStart"/>
      <w:r w:rsidRPr="00176236">
        <w:rPr>
          <w:rFonts w:ascii="Arial" w:hAnsi="Arial" w:cs="Arial"/>
          <w:sz w:val="22"/>
          <w:szCs w:val="22"/>
        </w:rPr>
        <w:t>GoN</w:t>
      </w:r>
      <w:proofErr w:type="spellEnd"/>
      <w:r w:rsidRPr="00176236">
        <w:rPr>
          <w:rFonts w:ascii="Arial" w:hAnsi="Arial" w:cs="Arial"/>
          <w:sz w:val="22"/>
          <w:szCs w:val="22"/>
        </w:rPr>
        <w:t xml:space="preserve"> policy regarding procurement will apply for all items procured mainly from government funds, namely: anti-TB drugs (100% of FLD except pediatric formulations and 62% of SLD); laboratory equipment, </w:t>
      </w:r>
      <w:r>
        <w:rPr>
          <w:rFonts w:ascii="Arial" w:hAnsi="Arial" w:cs="Arial"/>
          <w:sz w:val="22"/>
          <w:szCs w:val="22"/>
        </w:rPr>
        <w:t xml:space="preserve">cartridges, </w:t>
      </w:r>
      <w:r w:rsidRPr="00176236">
        <w:rPr>
          <w:rFonts w:ascii="Arial" w:hAnsi="Arial" w:cs="Arial"/>
          <w:sz w:val="22"/>
          <w:szCs w:val="22"/>
        </w:rPr>
        <w:t xml:space="preserve">materials and consumables. </w:t>
      </w:r>
      <w:r w:rsidR="007210A7">
        <w:rPr>
          <w:rFonts w:ascii="Arial" w:hAnsi="Arial" w:cs="Arial"/>
          <w:sz w:val="22"/>
          <w:szCs w:val="22"/>
          <w:lang w:val="en-IN"/>
        </w:rPr>
        <w:t xml:space="preserve">The Ministry of Health as the lead implementer would have a budget of USD </w:t>
      </w:r>
      <w:r w:rsidR="001B604D">
        <w:rPr>
          <w:rFonts w:ascii="Arial" w:hAnsi="Arial" w:cs="Arial"/>
          <w:sz w:val="22"/>
          <w:szCs w:val="22"/>
          <w:lang w:val="en-IN"/>
        </w:rPr>
        <w:t>3,584,512</w:t>
      </w:r>
      <w:r w:rsidR="007210A7">
        <w:rPr>
          <w:rFonts w:ascii="Arial" w:hAnsi="Arial" w:cs="Arial"/>
          <w:sz w:val="22"/>
          <w:szCs w:val="22"/>
          <w:lang w:val="en-IN"/>
        </w:rPr>
        <w:t xml:space="preserve"> (22%) which would cover the following major activities: (</w:t>
      </w:r>
      <w:proofErr w:type="spellStart"/>
      <w:r w:rsidR="007210A7">
        <w:rPr>
          <w:rFonts w:ascii="Arial" w:hAnsi="Arial" w:cs="Arial"/>
          <w:sz w:val="22"/>
          <w:szCs w:val="22"/>
          <w:lang w:val="en-IN"/>
        </w:rPr>
        <w:t>i</w:t>
      </w:r>
      <w:proofErr w:type="spellEnd"/>
      <w:r w:rsidR="007210A7">
        <w:rPr>
          <w:rFonts w:ascii="Arial" w:hAnsi="Arial" w:cs="Arial"/>
          <w:sz w:val="22"/>
          <w:szCs w:val="22"/>
          <w:lang w:val="en-IN"/>
        </w:rPr>
        <w:t>) training</w:t>
      </w:r>
      <w:r w:rsidR="00FE43C4">
        <w:rPr>
          <w:rFonts w:ascii="Arial" w:hAnsi="Arial" w:cs="Arial"/>
          <w:sz w:val="22"/>
          <w:szCs w:val="22"/>
          <w:lang w:val="en-IN"/>
        </w:rPr>
        <w:t xml:space="preserve"> of health workers</w:t>
      </w:r>
      <w:r w:rsidR="007210A7">
        <w:rPr>
          <w:rFonts w:ascii="Arial" w:hAnsi="Arial" w:cs="Arial"/>
          <w:sz w:val="22"/>
          <w:szCs w:val="22"/>
          <w:lang w:val="en-IN"/>
        </w:rPr>
        <w:t xml:space="preserve">; (ii) </w:t>
      </w:r>
      <w:r w:rsidR="00FE43C4">
        <w:rPr>
          <w:rFonts w:ascii="Arial" w:hAnsi="Arial" w:cs="Arial"/>
          <w:sz w:val="22"/>
          <w:szCs w:val="22"/>
          <w:lang w:val="en-IN"/>
        </w:rPr>
        <w:t xml:space="preserve">community systems strengthening including </w:t>
      </w:r>
      <w:r w:rsidR="00EA2DB7">
        <w:rPr>
          <w:rFonts w:ascii="Arial" w:hAnsi="Arial" w:cs="Arial"/>
          <w:sz w:val="22"/>
          <w:szCs w:val="22"/>
          <w:lang w:val="en-IN"/>
        </w:rPr>
        <w:t xml:space="preserve">CB-DOTS; </w:t>
      </w:r>
      <w:r w:rsidR="00FE43C4">
        <w:rPr>
          <w:rFonts w:ascii="Arial" w:hAnsi="Arial" w:cs="Arial"/>
          <w:sz w:val="22"/>
          <w:szCs w:val="22"/>
          <w:lang w:val="en-IN"/>
        </w:rPr>
        <w:t xml:space="preserve">(iii) integrated service delivery </w:t>
      </w:r>
      <w:proofErr w:type="spellStart"/>
      <w:r w:rsidR="00FE43C4">
        <w:rPr>
          <w:rFonts w:ascii="Arial" w:hAnsi="Arial" w:cs="Arial"/>
          <w:sz w:val="22"/>
          <w:szCs w:val="22"/>
          <w:lang w:val="en-IN"/>
        </w:rPr>
        <w:t>eg</w:t>
      </w:r>
      <w:proofErr w:type="spellEnd"/>
      <w:r w:rsidR="00FE43C4">
        <w:rPr>
          <w:rFonts w:ascii="Arial" w:hAnsi="Arial" w:cs="Arial"/>
          <w:sz w:val="22"/>
          <w:szCs w:val="22"/>
          <w:lang w:val="en-IN"/>
        </w:rPr>
        <w:t>. FHD and CHD; (</w:t>
      </w:r>
      <w:proofErr w:type="gramStart"/>
      <w:r w:rsidR="00FE43C4">
        <w:rPr>
          <w:rFonts w:ascii="Arial" w:hAnsi="Arial" w:cs="Arial"/>
          <w:sz w:val="22"/>
          <w:szCs w:val="22"/>
          <w:lang w:val="en-IN"/>
        </w:rPr>
        <w:t>iv</w:t>
      </w:r>
      <w:proofErr w:type="gramEnd"/>
      <w:r w:rsidR="00FE43C4">
        <w:rPr>
          <w:rFonts w:ascii="Arial" w:hAnsi="Arial" w:cs="Arial"/>
          <w:sz w:val="22"/>
          <w:szCs w:val="22"/>
          <w:lang w:val="en-IN"/>
        </w:rPr>
        <w:t>) implementation of PPM related activities</w:t>
      </w:r>
      <w:r w:rsidR="00D7534A">
        <w:rPr>
          <w:rFonts w:ascii="Arial" w:hAnsi="Arial" w:cs="Arial"/>
          <w:sz w:val="22"/>
          <w:szCs w:val="22"/>
          <w:lang w:val="en-IN"/>
        </w:rPr>
        <w:t xml:space="preserve"> including collaboration with </w:t>
      </w:r>
      <w:r w:rsidR="00F33F9D">
        <w:rPr>
          <w:rFonts w:ascii="Arial" w:hAnsi="Arial" w:cs="Arial"/>
          <w:sz w:val="22"/>
          <w:szCs w:val="22"/>
          <w:lang w:val="en-IN"/>
        </w:rPr>
        <w:t xml:space="preserve">major hospitals and </w:t>
      </w:r>
      <w:r w:rsidR="00D7534A">
        <w:rPr>
          <w:rFonts w:ascii="Arial" w:hAnsi="Arial" w:cs="Arial"/>
          <w:sz w:val="22"/>
          <w:szCs w:val="22"/>
          <w:lang w:val="en-IN"/>
        </w:rPr>
        <w:t>medical colleges</w:t>
      </w:r>
      <w:r w:rsidR="00FE43C4">
        <w:rPr>
          <w:rFonts w:ascii="Arial" w:hAnsi="Arial" w:cs="Arial"/>
          <w:sz w:val="22"/>
          <w:szCs w:val="22"/>
          <w:lang w:val="en-IN"/>
        </w:rPr>
        <w:t xml:space="preserve">; (v) collaborative activities with other </w:t>
      </w:r>
      <w:r w:rsidR="001F6214">
        <w:rPr>
          <w:rFonts w:ascii="Arial" w:hAnsi="Arial" w:cs="Arial"/>
          <w:sz w:val="22"/>
          <w:szCs w:val="22"/>
          <w:lang w:val="en-IN"/>
        </w:rPr>
        <w:t xml:space="preserve">programmes and </w:t>
      </w:r>
      <w:r w:rsidR="00FE43C4">
        <w:rPr>
          <w:rFonts w:ascii="Arial" w:hAnsi="Arial" w:cs="Arial"/>
          <w:sz w:val="22"/>
          <w:szCs w:val="22"/>
          <w:lang w:val="en-IN"/>
        </w:rPr>
        <w:t>sectors</w:t>
      </w:r>
      <w:r w:rsidR="001F6214">
        <w:rPr>
          <w:rFonts w:ascii="Arial" w:hAnsi="Arial" w:cs="Arial"/>
          <w:sz w:val="22"/>
          <w:szCs w:val="22"/>
          <w:lang w:val="en-IN"/>
        </w:rPr>
        <w:t xml:space="preserve">, </w:t>
      </w:r>
      <w:proofErr w:type="spellStart"/>
      <w:r w:rsidR="001F6214">
        <w:rPr>
          <w:rFonts w:ascii="Arial" w:hAnsi="Arial" w:cs="Arial"/>
          <w:sz w:val="22"/>
          <w:szCs w:val="22"/>
          <w:lang w:val="en-IN"/>
        </w:rPr>
        <w:t>eg</w:t>
      </w:r>
      <w:proofErr w:type="spellEnd"/>
      <w:r w:rsidR="001F6214">
        <w:rPr>
          <w:rFonts w:ascii="Arial" w:hAnsi="Arial" w:cs="Arial"/>
          <w:sz w:val="22"/>
          <w:szCs w:val="22"/>
          <w:lang w:val="en-IN"/>
        </w:rPr>
        <w:t>. TB/HIV, TB and diabetes</w:t>
      </w:r>
      <w:r w:rsidR="00FE43C4">
        <w:rPr>
          <w:rFonts w:ascii="Arial" w:hAnsi="Arial" w:cs="Arial"/>
          <w:sz w:val="22"/>
          <w:szCs w:val="22"/>
          <w:lang w:val="en-IN"/>
        </w:rPr>
        <w:t>; (</w:t>
      </w:r>
      <w:proofErr w:type="gramStart"/>
      <w:r w:rsidR="00FE43C4">
        <w:rPr>
          <w:rFonts w:ascii="Arial" w:hAnsi="Arial" w:cs="Arial"/>
          <w:sz w:val="22"/>
          <w:szCs w:val="22"/>
          <w:lang w:val="en-IN"/>
        </w:rPr>
        <w:t>vi</w:t>
      </w:r>
      <w:proofErr w:type="gramEnd"/>
      <w:r w:rsidR="00FE43C4">
        <w:rPr>
          <w:rFonts w:ascii="Arial" w:hAnsi="Arial" w:cs="Arial"/>
          <w:sz w:val="22"/>
          <w:szCs w:val="22"/>
          <w:lang w:val="en-IN"/>
        </w:rPr>
        <w:t xml:space="preserve">) </w:t>
      </w:r>
      <w:r w:rsidR="001F6214">
        <w:rPr>
          <w:rFonts w:ascii="Arial" w:hAnsi="Arial" w:cs="Arial"/>
          <w:sz w:val="22"/>
          <w:szCs w:val="22"/>
          <w:lang w:val="en-IN"/>
        </w:rPr>
        <w:t>infection control and waste management; (vii) monitoring and supervision; (viii) collaboration with army hospital and medical college; (ix) quality assurance (QA) in labs; (x) expansion of DOT services; (xi) strengthening</w:t>
      </w:r>
      <w:r>
        <w:rPr>
          <w:rFonts w:ascii="Arial" w:hAnsi="Arial" w:cs="Arial"/>
          <w:sz w:val="22"/>
          <w:szCs w:val="22"/>
          <w:lang w:val="en-IN"/>
        </w:rPr>
        <w:t xml:space="preserve"> the health information system.</w:t>
      </w:r>
    </w:p>
    <w:p w14:paraId="54B2C96D" w14:textId="0579B880" w:rsidR="00DB7680" w:rsidRDefault="00DB7680" w:rsidP="006819C5">
      <w:pPr>
        <w:tabs>
          <w:tab w:val="num" w:pos="720"/>
        </w:tabs>
        <w:spacing w:after="0" w:line="240" w:lineRule="auto"/>
        <w:jc w:val="center"/>
        <w:rPr>
          <w:rFonts w:ascii="Arial" w:hAnsi="Arial" w:cs="Arial"/>
          <w:bCs/>
          <w:lang w:val="en-US"/>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2207"/>
        <w:gridCol w:w="3600"/>
        <w:gridCol w:w="1281"/>
        <w:gridCol w:w="34"/>
      </w:tblGrid>
      <w:tr w:rsidR="00CA3510" w:rsidRPr="00D57C02" w14:paraId="5D0B8B37" w14:textId="77777777" w:rsidTr="00FE411C">
        <w:trPr>
          <w:trHeight w:val="485"/>
          <w:jc w:val="center"/>
        </w:trPr>
        <w:tc>
          <w:tcPr>
            <w:tcW w:w="8960" w:type="dxa"/>
            <w:gridSpan w:val="5"/>
            <w:shd w:val="clear" w:color="auto" w:fill="C6D9F1"/>
            <w:vAlign w:val="center"/>
          </w:tcPr>
          <w:p w14:paraId="5D0B8B36" w14:textId="77777777" w:rsidR="005A62F6" w:rsidRPr="00D57C02" w:rsidRDefault="005A62F6" w:rsidP="007C4088">
            <w:pPr>
              <w:spacing w:after="0" w:line="276" w:lineRule="auto"/>
              <w:rPr>
                <w:rFonts w:ascii="Arial" w:eastAsia="Calibri" w:hAnsi="Arial" w:cs="Arial"/>
                <w:sz w:val="20"/>
                <w:szCs w:val="20"/>
                <w:lang w:val="en-US"/>
              </w:rPr>
            </w:pPr>
            <w:r w:rsidRPr="00D57C02">
              <w:rPr>
                <w:rFonts w:ascii="Arial" w:eastAsia="Calibri" w:hAnsi="Arial" w:cs="Arial"/>
                <w:b/>
                <w:bCs/>
                <w:sz w:val="20"/>
                <w:szCs w:val="20"/>
                <w:lang w:val="en-US"/>
              </w:rPr>
              <w:t>3.2 Key implementation risks</w:t>
            </w:r>
          </w:p>
        </w:tc>
      </w:tr>
      <w:tr w:rsidR="00CA3510" w:rsidRPr="00D57C02" w14:paraId="5D0B8B39" w14:textId="77777777" w:rsidTr="00FE411C">
        <w:trPr>
          <w:trHeight w:val="1824"/>
          <w:jc w:val="center"/>
        </w:trPr>
        <w:tc>
          <w:tcPr>
            <w:tcW w:w="8960" w:type="dxa"/>
            <w:gridSpan w:val="5"/>
            <w:shd w:val="clear" w:color="auto" w:fill="F2F2F2" w:themeFill="background1" w:themeFillShade="F2"/>
            <w:vAlign w:val="center"/>
          </w:tcPr>
          <w:p w14:paraId="5462FD0D" w14:textId="77777777" w:rsidR="00FE411C" w:rsidRPr="00D57C02" w:rsidRDefault="00C77493" w:rsidP="00C43F4F">
            <w:pPr>
              <w:spacing w:line="256" w:lineRule="auto"/>
              <w:contextualSpacing/>
              <w:jc w:val="both"/>
              <w:rPr>
                <w:rFonts w:ascii="Arial" w:hAnsi="Arial" w:cs="Arial"/>
                <w:sz w:val="20"/>
                <w:szCs w:val="20"/>
              </w:rPr>
            </w:pPr>
            <w:r w:rsidRPr="00D57C02">
              <w:rPr>
                <w:rFonts w:ascii="Arial" w:eastAsia="Calibri" w:hAnsi="Arial" w:cs="Arial"/>
                <w:sz w:val="20"/>
                <w:szCs w:val="20"/>
              </w:rPr>
              <w:lastRenderedPageBreak/>
              <w:t xml:space="preserve">Using the table below, </w:t>
            </w:r>
            <w:r w:rsidR="00C43F4F" w:rsidRPr="00D57C02">
              <w:rPr>
                <w:rFonts w:ascii="Arial" w:eastAsia="Calibri" w:hAnsi="Arial" w:cs="Arial"/>
                <w:sz w:val="20"/>
                <w:szCs w:val="20"/>
                <w:lang w:val="en-US"/>
              </w:rPr>
              <w:t xml:space="preserve">outline key risks foreseen, including those that were provided in the </w:t>
            </w:r>
            <w:r w:rsidR="00C43F4F" w:rsidRPr="00D57C02">
              <w:rPr>
                <w:rFonts w:ascii="Arial" w:eastAsia="Calibri" w:hAnsi="Arial" w:cs="Arial"/>
                <w:i/>
                <w:sz w:val="20"/>
                <w:szCs w:val="20"/>
                <w:lang w:val="en-US"/>
              </w:rPr>
              <w:t>Key Program Risks</w:t>
            </w:r>
            <w:r w:rsidR="00C43F4F" w:rsidRPr="00D57C02">
              <w:rPr>
                <w:rFonts w:ascii="Arial" w:eastAsia="Calibri" w:hAnsi="Arial" w:cs="Arial"/>
                <w:sz w:val="20"/>
                <w:szCs w:val="20"/>
                <w:lang w:val="en-US"/>
              </w:rPr>
              <w:t xml:space="preserve"> table shared by the Global Fund during the Country Dialogue process.</w:t>
            </w:r>
            <w:r w:rsidR="00C43F4F" w:rsidRPr="00D57C02">
              <w:rPr>
                <w:rFonts w:ascii="Arial" w:eastAsia="Calibri" w:hAnsi="Arial" w:cs="Arial"/>
                <w:sz w:val="20"/>
                <w:szCs w:val="20"/>
              </w:rPr>
              <w:t xml:space="preserve"> You can also add </w:t>
            </w:r>
            <w:r w:rsidRPr="00D57C02">
              <w:rPr>
                <w:rFonts w:ascii="Arial" w:eastAsia="Calibri" w:hAnsi="Arial" w:cs="Arial"/>
                <w:sz w:val="20"/>
                <w:szCs w:val="20"/>
              </w:rPr>
              <w:t>key operational and implementation risks, which you identified as outstanding over the previous implementation period, and the specific mitigation measures planned to address each of these challenges/risks to ensure effective program pe</w:t>
            </w:r>
            <w:r w:rsidR="00C43F4F" w:rsidRPr="00D57C02">
              <w:rPr>
                <w:rFonts w:ascii="Arial" w:eastAsia="Calibri" w:hAnsi="Arial" w:cs="Arial"/>
                <w:sz w:val="20"/>
                <w:szCs w:val="20"/>
              </w:rPr>
              <w:t>rformance in the given context.</w:t>
            </w:r>
            <w:r w:rsidR="00FE411C" w:rsidRPr="00D57C02">
              <w:rPr>
                <w:rFonts w:ascii="Arial" w:hAnsi="Arial" w:cs="Arial"/>
                <w:sz w:val="20"/>
                <w:szCs w:val="20"/>
              </w:rPr>
              <w:t xml:space="preserve"> </w:t>
            </w:r>
          </w:p>
          <w:p w14:paraId="3EEF7D15" w14:textId="77777777" w:rsidR="00FE411C" w:rsidRPr="00D57C02" w:rsidRDefault="00FE411C" w:rsidP="00C43F4F">
            <w:pPr>
              <w:spacing w:line="256" w:lineRule="auto"/>
              <w:contextualSpacing/>
              <w:jc w:val="both"/>
              <w:rPr>
                <w:rFonts w:ascii="Arial" w:hAnsi="Arial" w:cs="Arial"/>
                <w:sz w:val="20"/>
                <w:szCs w:val="20"/>
              </w:rPr>
            </w:pPr>
          </w:p>
          <w:p w14:paraId="5D0B8B38" w14:textId="29A696A9" w:rsidR="005A62F6" w:rsidRPr="00D57C02" w:rsidRDefault="00FE411C" w:rsidP="00C43F4F">
            <w:pPr>
              <w:spacing w:line="256" w:lineRule="auto"/>
              <w:contextualSpacing/>
              <w:jc w:val="both"/>
              <w:rPr>
                <w:rFonts w:ascii="Arial" w:eastAsia="Calibri" w:hAnsi="Arial" w:cs="Arial"/>
                <w:sz w:val="20"/>
                <w:szCs w:val="20"/>
                <w:lang w:val="en-US"/>
              </w:rPr>
            </w:pPr>
            <w:r w:rsidRPr="00D57C02">
              <w:rPr>
                <w:rFonts w:ascii="Arial" w:hAnsi="Arial" w:cs="Arial"/>
                <w:sz w:val="20"/>
                <w:szCs w:val="20"/>
              </w:rPr>
              <w:t>Applicant response in table below</w:t>
            </w:r>
            <w:r w:rsidR="004F6A73" w:rsidRPr="00D57C02">
              <w:rPr>
                <w:rFonts w:ascii="Arial" w:hAnsi="Arial" w:cs="Arial"/>
                <w:sz w:val="20"/>
                <w:szCs w:val="20"/>
              </w:rPr>
              <w:t>.</w:t>
            </w:r>
          </w:p>
        </w:tc>
      </w:tr>
      <w:tr w:rsidR="007C6845" w:rsidRPr="00D57C02" w14:paraId="5D0B8B40" w14:textId="1624DC59" w:rsidTr="004311A6">
        <w:trPr>
          <w:gridAfter w:val="1"/>
          <w:wAfter w:w="34" w:type="dxa"/>
          <w:trHeight w:val="470"/>
          <w:jc w:val="center"/>
        </w:trPr>
        <w:tc>
          <w:tcPr>
            <w:tcW w:w="1838" w:type="dxa"/>
            <w:shd w:val="clear" w:color="auto" w:fill="C6D9F1"/>
            <w:vAlign w:val="center"/>
          </w:tcPr>
          <w:p w14:paraId="679E19A7" w14:textId="1BA65847" w:rsidR="00827D9E" w:rsidRPr="00D57C02" w:rsidRDefault="00A5131D" w:rsidP="005638BC">
            <w:pPr>
              <w:spacing w:after="0" w:line="276" w:lineRule="auto"/>
              <w:jc w:val="center"/>
              <w:rPr>
                <w:rFonts w:ascii="Arial" w:eastAsia="Calibri" w:hAnsi="Arial" w:cs="Arial"/>
                <w:b/>
                <w:iCs/>
                <w:sz w:val="20"/>
                <w:szCs w:val="20"/>
                <w:lang w:val="en-US"/>
              </w:rPr>
            </w:pPr>
            <w:r w:rsidRPr="00D57C02">
              <w:rPr>
                <w:rFonts w:ascii="Arial" w:eastAsia="Calibri" w:hAnsi="Arial" w:cs="Arial"/>
                <w:b/>
                <w:iCs/>
                <w:sz w:val="20"/>
                <w:szCs w:val="20"/>
                <w:lang w:val="en-US"/>
              </w:rPr>
              <w:t>Risk Category</w:t>
            </w:r>
          </w:p>
          <w:p w14:paraId="5D0B8B3B" w14:textId="374B132E" w:rsidR="00A5131D" w:rsidRPr="00D57C02" w:rsidRDefault="00A5131D" w:rsidP="005638BC">
            <w:pPr>
              <w:spacing w:after="0" w:line="276" w:lineRule="auto"/>
              <w:jc w:val="center"/>
              <w:rPr>
                <w:rFonts w:ascii="Arial" w:eastAsia="Calibri" w:hAnsi="Arial" w:cs="Arial"/>
                <w:b/>
                <w:iCs/>
                <w:sz w:val="20"/>
                <w:szCs w:val="20"/>
                <w:lang w:val="en-US"/>
              </w:rPr>
            </w:pPr>
            <w:r w:rsidRPr="00D57C02">
              <w:rPr>
                <w:rFonts w:ascii="Arial" w:eastAsia="Calibri" w:hAnsi="Arial" w:cs="Arial"/>
                <w:b/>
                <w:iCs/>
                <w:sz w:val="20"/>
                <w:szCs w:val="20"/>
                <w:lang w:val="en-US"/>
              </w:rPr>
              <w:t>(Functional area)</w:t>
            </w:r>
          </w:p>
        </w:tc>
        <w:tc>
          <w:tcPr>
            <w:tcW w:w="2207" w:type="dxa"/>
            <w:shd w:val="clear" w:color="auto" w:fill="C6D9F1"/>
            <w:vAlign w:val="center"/>
          </w:tcPr>
          <w:p w14:paraId="5D0B8B3C" w14:textId="3764366A" w:rsidR="00A5131D" w:rsidRPr="00D57C02" w:rsidRDefault="00A5131D" w:rsidP="005638BC">
            <w:pPr>
              <w:spacing w:after="0" w:line="276" w:lineRule="auto"/>
              <w:jc w:val="center"/>
              <w:rPr>
                <w:rFonts w:ascii="Arial" w:eastAsia="Calibri" w:hAnsi="Arial" w:cs="Arial"/>
                <w:b/>
                <w:iCs/>
                <w:sz w:val="20"/>
                <w:szCs w:val="20"/>
                <w:lang w:val="en-US"/>
              </w:rPr>
            </w:pPr>
            <w:r w:rsidRPr="00D57C02">
              <w:rPr>
                <w:rFonts w:ascii="Arial" w:eastAsia="Calibri" w:hAnsi="Arial" w:cs="Arial"/>
                <w:b/>
                <w:sz w:val="20"/>
                <w:szCs w:val="20"/>
                <w:lang w:val="en-US"/>
              </w:rPr>
              <w:t>Key Risk</w:t>
            </w:r>
          </w:p>
        </w:tc>
        <w:tc>
          <w:tcPr>
            <w:tcW w:w="3600" w:type="dxa"/>
            <w:shd w:val="clear" w:color="auto" w:fill="C6D9F1"/>
            <w:vAlign w:val="center"/>
          </w:tcPr>
          <w:p w14:paraId="5D0B8B3F" w14:textId="66AD7F95" w:rsidR="00A5131D" w:rsidRPr="00D57C02" w:rsidRDefault="00A5131D" w:rsidP="005638BC">
            <w:pPr>
              <w:spacing w:after="0" w:line="276" w:lineRule="auto"/>
              <w:jc w:val="center"/>
              <w:rPr>
                <w:rFonts w:ascii="Arial" w:eastAsia="Calibri" w:hAnsi="Arial" w:cs="Arial"/>
                <w:b/>
                <w:sz w:val="20"/>
                <w:szCs w:val="20"/>
                <w:lang w:val="en-US"/>
              </w:rPr>
            </w:pPr>
            <w:r w:rsidRPr="00D57C02">
              <w:rPr>
                <w:rFonts w:ascii="Arial" w:eastAsia="Calibri" w:hAnsi="Arial" w:cs="Arial"/>
                <w:b/>
                <w:sz w:val="20"/>
                <w:szCs w:val="20"/>
                <w:lang w:val="en-US"/>
              </w:rPr>
              <w:t>Mitigating actions</w:t>
            </w:r>
          </w:p>
        </w:tc>
        <w:tc>
          <w:tcPr>
            <w:tcW w:w="1281" w:type="dxa"/>
            <w:shd w:val="clear" w:color="auto" w:fill="C6D9F1"/>
            <w:vAlign w:val="center"/>
          </w:tcPr>
          <w:p w14:paraId="1C9CAB89" w14:textId="452008E5" w:rsidR="00594899" w:rsidRPr="00D57C02" w:rsidRDefault="00594899" w:rsidP="005638BC">
            <w:pPr>
              <w:spacing w:after="0" w:line="276" w:lineRule="auto"/>
              <w:jc w:val="center"/>
              <w:rPr>
                <w:rFonts w:ascii="Arial" w:eastAsia="Calibri" w:hAnsi="Arial" w:cs="Arial"/>
                <w:b/>
                <w:sz w:val="20"/>
                <w:szCs w:val="20"/>
                <w:lang w:val="en-US"/>
              </w:rPr>
            </w:pPr>
            <w:r w:rsidRPr="00D57C02">
              <w:rPr>
                <w:rFonts w:ascii="Arial" w:eastAsia="Calibri" w:hAnsi="Arial" w:cs="Arial"/>
                <w:b/>
                <w:sz w:val="20"/>
                <w:szCs w:val="20"/>
                <w:lang w:val="en-US"/>
              </w:rPr>
              <w:t>Timeline</w:t>
            </w:r>
          </w:p>
        </w:tc>
      </w:tr>
      <w:tr w:rsidR="007C6845" w:rsidRPr="00D57C02" w14:paraId="5D0B8B45" w14:textId="7A903149" w:rsidTr="004311A6">
        <w:trPr>
          <w:gridAfter w:val="1"/>
          <w:wAfter w:w="34" w:type="dxa"/>
          <w:trHeight w:val="492"/>
          <w:jc w:val="center"/>
        </w:trPr>
        <w:tc>
          <w:tcPr>
            <w:tcW w:w="1838" w:type="dxa"/>
            <w:vAlign w:val="center"/>
          </w:tcPr>
          <w:p w14:paraId="146EDAF3" w14:textId="4014F116" w:rsidR="00A5131D" w:rsidRDefault="00536480" w:rsidP="005638BC">
            <w:pPr>
              <w:spacing w:after="0" w:line="276" w:lineRule="auto"/>
              <w:jc w:val="center"/>
              <w:rPr>
                <w:rFonts w:ascii="Arial" w:eastAsia="Calibri" w:hAnsi="Arial" w:cs="Arial"/>
                <w:iCs/>
                <w:lang w:val="en-US"/>
              </w:rPr>
            </w:pPr>
            <w:r w:rsidRPr="00077A3F">
              <w:rPr>
                <w:rFonts w:ascii="Arial" w:eastAsia="Calibri" w:hAnsi="Arial" w:cs="Arial"/>
                <w:iCs/>
                <w:lang w:val="en-US"/>
              </w:rPr>
              <w:t>Programmatic</w:t>
            </w:r>
            <w:r w:rsidR="00BC6AEB">
              <w:rPr>
                <w:rFonts w:ascii="Arial" w:eastAsia="Calibri" w:hAnsi="Arial" w:cs="Arial"/>
                <w:iCs/>
                <w:lang w:val="en-US"/>
              </w:rPr>
              <w:t>-</w:t>
            </w:r>
          </w:p>
          <w:p w14:paraId="51EDA719" w14:textId="49318C70" w:rsidR="00D3543E" w:rsidRDefault="00DC5822" w:rsidP="005638BC">
            <w:pPr>
              <w:spacing w:after="0" w:line="276" w:lineRule="auto"/>
              <w:jc w:val="center"/>
              <w:rPr>
                <w:rFonts w:ascii="Arial" w:eastAsia="Calibri" w:hAnsi="Arial" w:cs="Arial"/>
                <w:iCs/>
                <w:lang w:val="en-US"/>
              </w:rPr>
            </w:pPr>
            <w:r>
              <w:rPr>
                <w:rFonts w:ascii="Arial" w:eastAsia="Calibri" w:hAnsi="Arial" w:cs="Arial"/>
                <w:iCs/>
                <w:lang w:val="en-US"/>
              </w:rPr>
              <w:t>HRH</w:t>
            </w:r>
          </w:p>
          <w:p w14:paraId="5354267D" w14:textId="77777777" w:rsidR="00D3543E" w:rsidRDefault="00D3543E" w:rsidP="005638BC">
            <w:pPr>
              <w:spacing w:after="0" w:line="276" w:lineRule="auto"/>
              <w:jc w:val="center"/>
              <w:rPr>
                <w:rFonts w:ascii="Arial" w:eastAsia="Calibri" w:hAnsi="Arial" w:cs="Arial"/>
                <w:iCs/>
                <w:lang w:val="en-US"/>
              </w:rPr>
            </w:pPr>
          </w:p>
          <w:p w14:paraId="6589707E" w14:textId="77777777" w:rsidR="00D3543E" w:rsidRDefault="00D3543E" w:rsidP="005638BC">
            <w:pPr>
              <w:spacing w:after="0" w:line="276" w:lineRule="auto"/>
              <w:jc w:val="center"/>
              <w:rPr>
                <w:rFonts w:ascii="Arial" w:eastAsia="Calibri" w:hAnsi="Arial" w:cs="Arial"/>
                <w:iCs/>
                <w:lang w:val="en-US"/>
              </w:rPr>
            </w:pPr>
          </w:p>
          <w:p w14:paraId="198DD60E" w14:textId="77777777" w:rsidR="00D3543E" w:rsidRDefault="00D3543E" w:rsidP="005638BC">
            <w:pPr>
              <w:spacing w:after="0" w:line="276" w:lineRule="auto"/>
              <w:jc w:val="center"/>
              <w:rPr>
                <w:rFonts w:ascii="Arial" w:eastAsia="Calibri" w:hAnsi="Arial" w:cs="Arial"/>
                <w:iCs/>
                <w:lang w:val="en-US"/>
              </w:rPr>
            </w:pPr>
          </w:p>
          <w:p w14:paraId="3B92A71F" w14:textId="77777777" w:rsidR="00D3543E" w:rsidRDefault="00D3543E" w:rsidP="005638BC">
            <w:pPr>
              <w:spacing w:after="0" w:line="276" w:lineRule="auto"/>
              <w:jc w:val="center"/>
              <w:rPr>
                <w:rFonts w:ascii="Arial" w:eastAsia="Calibri" w:hAnsi="Arial" w:cs="Arial"/>
                <w:iCs/>
                <w:lang w:val="en-US"/>
              </w:rPr>
            </w:pPr>
          </w:p>
          <w:p w14:paraId="40C8FEEF" w14:textId="77777777" w:rsidR="00D3543E" w:rsidRDefault="00D3543E" w:rsidP="005638BC">
            <w:pPr>
              <w:spacing w:after="0" w:line="276" w:lineRule="auto"/>
              <w:jc w:val="center"/>
              <w:rPr>
                <w:rFonts w:ascii="Arial" w:eastAsia="Calibri" w:hAnsi="Arial" w:cs="Arial"/>
                <w:iCs/>
                <w:lang w:val="en-US"/>
              </w:rPr>
            </w:pPr>
          </w:p>
          <w:p w14:paraId="5D0B8B41" w14:textId="53500B29" w:rsidR="00D3543E" w:rsidRPr="00077A3F" w:rsidRDefault="00D3543E" w:rsidP="005638BC">
            <w:pPr>
              <w:spacing w:after="0" w:line="276" w:lineRule="auto"/>
              <w:jc w:val="center"/>
              <w:rPr>
                <w:rFonts w:ascii="Arial" w:eastAsia="Calibri" w:hAnsi="Arial" w:cs="Arial"/>
                <w:iCs/>
                <w:lang w:val="en-US"/>
              </w:rPr>
            </w:pPr>
          </w:p>
        </w:tc>
        <w:tc>
          <w:tcPr>
            <w:tcW w:w="2207" w:type="dxa"/>
          </w:tcPr>
          <w:p w14:paraId="5D0B8B42" w14:textId="494C953E" w:rsidR="00A5131D" w:rsidRPr="00077A3F" w:rsidRDefault="00F37B99" w:rsidP="00D84467">
            <w:pPr>
              <w:spacing w:after="0" w:line="240" w:lineRule="auto"/>
              <w:rPr>
                <w:rFonts w:ascii="Arial" w:eastAsia="Calibri" w:hAnsi="Arial" w:cs="Arial"/>
                <w:iCs/>
                <w:lang w:val="en-US"/>
              </w:rPr>
            </w:pPr>
            <w:r>
              <w:rPr>
                <w:rFonts w:ascii="Arial" w:eastAsia="Calibri" w:hAnsi="Arial" w:cs="Arial"/>
                <w:iCs/>
                <w:lang w:val="en-US"/>
              </w:rPr>
              <w:t xml:space="preserve">Newly introduced federal system can pose challenge with decentralization of </w:t>
            </w:r>
            <w:r w:rsidR="008C0F50">
              <w:rPr>
                <w:rFonts w:ascii="Arial" w:eastAsia="Calibri" w:hAnsi="Arial" w:cs="Arial"/>
                <w:iCs/>
                <w:lang w:val="en-US"/>
              </w:rPr>
              <w:t xml:space="preserve">the </w:t>
            </w:r>
            <w:r>
              <w:rPr>
                <w:rFonts w:ascii="Arial" w:eastAsia="Calibri" w:hAnsi="Arial" w:cs="Arial"/>
                <w:iCs/>
                <w:lang w:val="en-US"/>
              </w:rPr>
              <w:t>program management</w:t>
            </w:r>
            <w:r w:rsidR="006532EF">
              <w:rPr>
                <w:rFonts w:ascii="Arial" w:eastAsia="Calibri" w:hAnsi="Arial" w:cs="Arial"/>
                <w:iCs/>
                <w:lang w:val="en-US"/>
              </w:rPr>
              <w:t xml:space="preserve"> from 75 districts to </w:t>
            </w:r>
            <w:r w:rsidR="006524E3" w:rsidRPr="00017AAE">
              <w:rPr>
                <w:rFonts w:ascii="Arial" w:eastAsia="Calibri" w:hAnsi="Arial" w:cs="Arial"/>
                <w:iCs/>
                <w:lang w:val="en-US"/>
              </w:rPr>
              <w:t>&gt;</w:t>
            </w:r>
            <w:r w:rsidR="006532EF" w:rsidRPr="00017AAE">
              <w:rPr>
                <w:rFonts w:ascii="Arial" w:eastAsia="Calibri" w:hAnsi="Arial" w:cs="Arial"/>
                <w:iCs/>
                <w:lang w:val="en-US"/>
              </w:rPr>
              <w:t>744</w:t>
            </w:r>
            <w:r w:rsidR="006532EF">
              <w:rPr>
                <w:rFonts w:ascii="Arial" w:eastAsia="Calibri" w:hAnsi="Arial" w:cs="Arial"/>
                <w:iCs/>
                <w:lang w:val="en-US"/>
              </w:rPr>
              <w:t xml:space="preserve"> urban</w:t>
            </w:r>
            <w:r w:rsidR="00F96B83">
              <w:rPr>
                <w:rFonts w:ascii="Arial" w:eastAsia="Calibri" w:hAnsi="Arial" w:cs="Arial"/>
                <w:iCs/>
                <w:lang w:val="en-US"/>
              </w:rPr>
              <w:t xml:space="preserve"> </w:t>
            </w:r>
            <w:r>
              <w:rPr>
                <w:rFonts w:ascii="Arial" w:eastAsia="Calibri" w:hAnsi="Arial" w:cs="Arial"/>
                <w:iCs/>
                <w:lang w:val="en-US"/>
              </w:rPr>
              <w:t>and rural municipalities.</w:t>
            </w:r>
          </w:p>
        </w:tc>
        <w:tc>
          <w:tcPr>
            <w:tcW w:w="3600" w:type="dxa"/>
          </w:tcPr>
          <w:p w14:paraId="5D0B8B44" w14:textId="5745FE02" w:rsidR="00CA3510" w:rsidRPr="00077A3F" w:rsidRDefault="00E11095" w:rsidP="00613665">
            <w:pPr>
              <w:spacing w:after="0" w:line="240" w:lineRule="auto"/>
              <w:rPr>
                <w:rFonts w:ascii="Arial" w:hAnsi="Arial" w:cs="Arial"/>
                <w:bCs/>
                <w:lang w:val="en-US"/>
              </w:rPr>
            </w:pPr>
            <w:r>
              <w:rPr>
                <w:rFonts w:ascii="Arial" w:hAnsi="Arial" w:cs="Arial"/>
                <w:bCs/>
                <w:lang w:val="en-US"/>
              </w:rPr>
              <w:t xml:space="preserve">The </w:t>
            </w:r>
            <w:proofErr w:type="spellStart"/>
            <w:r>
              <w:rPr>
                <w:rFonts w:ascii="Arial" w:hAnsi="Arial" w:cs="Arial"/>
                <w:bCs/>
                <w:lang w:val="en-US"/>
              </w:rPr>
              <w:t>GoN</w:t>
            </w:r>
            <w:proofErr w:type="spellEnd"/>
            <w:r>
              <w:rPr>
                <w:rFonts w:ascii="Arial" w:hAnsi="Arial" w:cs="Arial"/>
                <w:bCs/>
                <w:lang w:val="en-US"/>
              </w:rPr>
              <w:t xml:space="preserve"> will set up </w:t>
            </w:r>
            <w:r w:rsidR="00A84E2F">
              <w:rPr>
                <w:rFonts w:ascii="Arial" w:hAnsi="Arial" w:cs="Arial"/>
                <w:bCs/>
                <w:lang w:val="en-US"/>
              </w:rPr>
              <w:t xml:space="preserve">Provincial TB units </w:t>
            </w:r>
            <w:r w:rsidR="00F37B99">
              <w:rPr>
                <w:rFonts w:ascii="Arial" w:hAnsi="Arial" w:cs="Arial"/>
                <w:bCs/>
                <w:lang w:val="en-US"/>
              </w:rPr>
              <w:t xml:space="preserve">to improve </w:t>
            </w:r>
            <w:proofErr w:type="spellStart"/>
            <w:r w:rsidR="00F37B99">
              <w:rPr>
                <w:rFonts w:ascii="Arial" w:hAnsi="Arial" w:cs="Arial"/>
                <w:bCs/>
                <w:lang w:val="en-US"/>
              </w:rPr>
              <w:t>programme</w:t>
            </w:r>
            <w:proofErr w:type="spellEnd"/>
            <w:r w:rsidR="00F37B99">
              <w:rPr>
                <w:rFonts w:ascii="Arial" w:hAnsi="Arial" w:cs="Arial"/>
                <w:bCs/>
                <w:lang w:val="en-US"/>
              </w:rPr>
              <w:t xml:space="preserve"> coordination, </w:t>
            </w:r>
            <w:r w:rsidR="003E16B6">
              <w:rPr>
                <w:rFonts w:ascii="Arial" w:hAnsi="Arial" w:cs="Arial"/>
                <w:bCs/>
                <w:lang w:val="en-US"/>
              </w:rPr>
              <w:t xml:space="preserve">systematic program management, </w:t>
            </w:r>
            <w:r w:rsidR="00F37B99">
              <w:rPr>
                <w:rFonts w:ascii="Arial" w:hAnsi="Arial" w:cs="Arial"/>
                <w:bCs/>
                <w:lang w:val="en-US"/>
              </w:rPr>
              <w:t xml:space="preserve">oversight and capacity building. </w:t>
            </w:r>
            <w:r>
              <w:rPr>
                <w:rFonts w:ascii="Arial" w:hAnsi="Arial" w:cs="Arial"/>
                <w:bCs/>
                <w:lang w:val="en-US"/>
              </w:rPr>
              <w:t xml:space="preserve">However, staff </w:t>
            </w:r>
            <w:r w:rsidR="009A2D58">
              <w:rPr>
                <w:rFonts w:ascii="Arial" w:hAnsi="Arial" w:cs="Arial"/>
                <w:bCs/>
                <w:lang w:val="en-US"/>
              </w:rPr>
              <w:t xml:space="preserve">costs </w:t>
            </w:r>
            <w:r>
              <w:rPr>
                <w:rFonts w:ascii="Arial" w:hAnsi="Arial" w:cs="Arial"/>
                <w:bCs/>
                <w:lang w:val="en-US"/>
              </w:rPr>
              <w:t xml:space="preserve">of the Provincial TB units would </w:t>
            </w:r>
            <w:r w:rsidR="009A2D58">
              <w:rPr>
                <w:rFonts w:ascii="Arial" w:hAnsi="Arial" w:cs="Arial"/>
                <w:bCs/>
                <w:lang w:val="en-US"/>
              </w:rPr>
              <w:t>be in the funding request d</w:t>
            </w:r>
            <w:r w:rsidR="00A84E2F">
              <w:rPr>
                <w:rFonts w:ascii="Arial" w:hAnsi="Arial" w:cs="Arial"/>
                <w:bCs/>
                <w:lang w:val="en-US"/>
              </w:rPr>
              <w:t>uring the initial period</w:t>
            </w:r>
            <w:r w:rsidR="0098760C" w:rsidRPr="00077A3F">
              <w:rPr>
                <w:rFonts w:ascii="Arial" w:hAnsi="Arial" w:cs="Arial"/>
                <w:bCs/>
                <w:lang w:val="en-US"/>
              </w:rPr>
              <w:t xml:space="preserve"> </w:t>
            </w:r>
          </w:p>
        </w:tc>
        <w:tc>
          <w:tcPr>
            <w:tcW w:w="1281" w:type="dxa"/>
          </w:tcPr>
          <w:p w14:paraId="4E948D85" w14:textId="3B968E8B" w:rsidR="00594899" w:rsidRPr="00077A3F" w:rsidRDefault="00DD5E0F" w:rsidP="0098760C">
            <w:pPr>
              <w:spacing w:after="0" w:line="276" w:lineRule="auto"/>
              <w:rPr>
                <w:rFonts w:ascii="Arial" w:eastAsia="Calibri" w:hAnsi="Arial" w:cs="Arial"/>
                <w:iCs/>
                <w:lang w:val="en-US"/>
              </w:rPr>
            </w:pPr>
            <w:r>
              <w:rPr>
                <w:rFonts w:ascii="Arial" w:eastAsia="Calibri" w:hAnsi="Arial" w:cs="Arial"/>
                <w:iCs/>
                <w:lang w:val="en-US"/>
              </w:rPr>
              <w:t>2018 onwards</w:t>
            </w:r>
          </w:p>
        </w:tc>
      </w:tr>
      <w:tr w:rsidR="007C6845" w:rsidRPr="00D57C02" w14:paraId="5D0B8B4F" w14:textId="6FD49AAC" w:rsidTr="004311A6">
        <w:trPr>
          <w:gridAfter w:val="1"/>
          <w:wAfter w:w="34" w:type="dxa"/>
          <w:trHeight w:val="564"/>
          <w:jc w:val="center"/>
        </w:trPr>
        <w:tc>
          <w:tcPr>
            <w:tcW w:w="1838" w:type="dxa"/>
          </w:tcPr>
          <w:p w14:paraId="74BF63A2" w14:textId="38B9B3C5" w:rsidR="00A5131D" w:rsidRDefault="00077A3F" w:rsidP="00077A3F">
            <w:pPr>
              <w:spacing w:after="0" w:line="240" w:lineRule="auto"/>
              <w:jc w:val="center"/>
              <w:rPr>
                <w:rFonts w:ascii="Arial" w:eastAsia="SimSun" w:hAnsi="Arial" w:cs="Arial"/>
                <w:lang w:val="en-US" w:eastAsia="zh-CN"/>
              </w:rPr>
            </w:pPr>
            <w:r w:rsidRPr="00077A3F">
              <w:rPr>
                <w:rFonts w:ascii="Arial" w:eastAsia="SimSun" w:hAnsi="Arial" w:cs="Arial"/>
                <w:lang w:val="en-US" w:eastAsia="zh-CN"/>
              </w:rPr>
              <w:t>Programmatic</w:t>
            </w:r>
            <w:r w:rsidR="00BC6AEB">
              <w:rPr>
                <w:rFonts w:ascii="Arial" w:eastAsia="SimSun" w:hAnsi="Arial" w:cs="Arial"/>
                <w:lang w:val="en-US" w:eastAsia="zh-CN"/>
              </w:rPr>
              <w:t>-</w:t>
            </w:r>
          </w:p>
          <w:p w14:paraId="47325698" w14:textId="1F976014" w:rsidR="00BC6AEB" w:rsidRDefault="00BC6AEB" w:rsidP="00077A3F">
            <w:pPr>
              <w:spacing w:after="0" w:line="240" w:lineRule="auto"/>
              <w:jc w:val="center"/>
              <w:rPr>
                <w:rFonts w:ascii="Arial" w:eastAsia="SimSun" w:hAnsi="Arial" w:cs="Arial"/>
                <w:lang w:val="en-US" w:eastAsia="zh-CN"/>
              </w:rPr>
            </w:pPr>
            <w:r>
              <w:rPr>
                <w:rFonts w:ascii="Arial" w:eastAsia="SimSun" w:hAnsi="Arial" w:cs="Arial"/>
                <w:lang w:val="en-US" w:eastAsia="zh-CN"/>
              </w:rPr>
              <w:t>Logistics</w:t>
            </w:r>
          </w:p>
          <w:p w14:paraId="5D0B8B4B" w14:textId="61E3A1B4" w:rsidR="00445ACB" w:rsidRPr="00077A3F" w:rsidRDefault="00445ACB" w:rsidP="00077A3F">
            <w:pPr>
              <w:spacing w:after="0" w:line="240" w:lineRule="auto"/>
              <w:jc w:val="center"/>
              <w:rPr>
                <w:rFonts w:ascii="Arial" w:eastAsia="SimSun" w:hAnsi="Arial" w:cs="Arial"/>
                <w:lang w:val="en-US" w:eastAsia="zh-CN"/>
              </w:rPr>
            </w:pPr>
          </w:p>
        </w:tc>
        <w:tc>
          <w:tcPr>
            <w:tcW w:w="2207" w:type="dxa"/>
          </w:tcPr>
          <w:p w14:paraId="5D0B8B4C" w14:textId="6AF67684" w:rsidR="00A5131D" w:rsidRPr="00077A3F" w:rsidRDefault="009869CD" w:rsidP="005638BC">
            <w:pPr>
              <w:spacing w:after="0" w:line="240" w:lineRule="auto"/>
              <w:rPr>
                <w:rFonts w:ascii="Arial" w:eastAsia="SimSun" w:hAnsi="Arial" w:cs="Arial"/>
                <w:lang w:val="en-US" w:eastAsia="zh-CN"/>
              </w:rPr>
            </w:pPr>
            <w:r>
              <w:rPr>
                <w:rFonts w:ascii="Arial" w:eastAsia="SimSun" w:hAnsi="Arial" w:cs="Arial"/>
                <w:lang w:val="en-US" w:eastAsia="zh-CN"/>
              </w:rPr>
              <w:t>Poorly</w:t>
            </w:r>
            <w:r w:rsidR="00E11241">
              <w:rPr>
                <w:rFonts w:ascii="Arial" w:eastAsia="SimSun" w:hAnsi="Arial" w:cs="Arial"/>
                <w:lang w:val="en-US" w:eastAsia="zh-CN"/>
              </w:rPr>
              <w:t xml:space="preserve"> organized specimen transport</w:t>
            </w:r>
            <w:r>
              <w:rPr>
                <w:rFonts w:ascii="Arial" w:eastAsia="SimSun" w:hAnsi="Arial" w:cs="Arial"/>
                <w:lang w:val="en-US" w:eastAsia="zh-CN"/>
              </w:rPr>
              <w:t xml:space="preserve"> system</w:t>
            </w:r>
          </w:p>
        </w:tc>
        <w:tc>
          <w:tcPr>
            <w:tcW w:w="3600" w:type="dxa"/>
          </w:tcPr>
          <w:p w14:paraId="5D0B8B4E" w14:textId="6A8F1413" w:rsidR="00A5131D" w:rsidRPr="00077A3F" w:rsidRDefault="00FF2CB8" w:rsidP="005638BC">
            <w:pPr>
              <w:spacing w:after="0" w:line="240" w:lineRule="auto"/>
              <w:rPr>
                <w:rFonts w:ascii="Arial" w:eastAsia="SimSun" w:hAnsi="Arial" w:cs="Arial"/>
                <w:lang w:val="en-US" w:eastAsia="zh-CN"/>
              </w:rPr>
            </w:pPr>
            <w:r>
              <w:rPr>
                <w:rFonts w:ascii="Arial" w:eastAsia="SimSun" w:hAnsi="Arial" w:cs="Arial"/>
                <w:lang w:val="en-US" w:eastAsia="zh-CN"/>
              </w:rPr>
              <w:t>NTP to d</w:t>
            </w:r>
            <w:r w:rsidR="009869CD">
              <w:rPr>
                <w:rFonts w:ascii="Arial" w:eastAsia="SimSun" w:hAnsi="Arial" w:cs="Arial"/>
                <w:lang w:val="en-US" w:eastAsia="zh-CN"/>
              </w:rPr>
              <w:t>evelop</w:t>
            </w:r>
            <w:r w:rsidR="009E6D97">
              <w:rPr>
                <w:rFonts w:ascii="Arial" w:eastAsia="SimSun" w:hAnsi="Arial" w:cs="Arial"/>
                <w:lang w:val="en-US" w:eastAsia="zh-CN"/>
              </w:rPr>
              <w:t xml:space="preserve"> and implement </w:t>
            </w:r>
            <w:r w:rsidR="009869CD">
              <w:rPr>
                <w:rFonts w:ascii="Arial" w:eastAsia="SimSun" w:hAnsi="Arial" w:cs="Arial"/>
                <w:lang w:val="en-US" w:eastAsia="zh-CN"/>
              </w:rPr>
              <w:t>a sta</w:t>
            </w:r>
            <w:r w:rsidR="004E11A0">
              <w:rPr>
                <w:rFonts w:ascii="Arial" w:eastAsia="SimSun" w:hAnsi="Arial" w:cs="Arial"/>
                <w:lang w:val="en-US" w:eastAsia="zh-CN"/>
              </w:rPr>
              <w:t xml:space="preserve">ndard operating procedure. </w:t>
            </w:r>
            <w:r>
              <w:rPr>
                <w:rFonts w:ascii="Arial" w:eastAsia="SimSun" w:hAnsi="Arial" w:cs="Arial"/>
                <w:lang w:val="en-US" w:eastAsia="zh-CN"/>
              </w:rPr>
              <w:t xml:space="preserve">This would </w:t>
            </w:r>
            <w:r w:rsidR="00E11095">
              <w:rPr>
                <w:rFonts w:ascii="Arial" w:eastAsia="SimSun" w:hAnsi="Arial" w:cs="Arial"/>
                <w:lang w:val="en-US" w:eastAsia="zh-CN"/>
              </w:rPr>
              <w:t xml:space="preserve">be </w:t>
            </w:r>
            <w:r w:rsidR="00BE64F8">
              <w:rPr>
                <w:rFonts w:ascii="Arial" w:eastAsia="SimSun" w:hAnsi="Arial" w:cs="Arial"/>
                <w:lang w:val="en-US" w:eastAsia="zh-CN"/>
              </w:rPr>
              <w:t xml:space="preserve">supported by local government and </w:t>
            </w:r>
            <w:r w:rsidR="00E11095">
              <w:rPr>
                <w:rFonts w:ascii="Arial" w:eastAsia="SimSun" w:hAnsi="Arial" w:cs="Arial"/>
                <w:lang w:val="en-US" w:eastAsia="zh-CN"/>
              </w:rPr>
              <w:t>s</w:t>
            </w:r>
            <w:r w:rsidR="004F4039">
              <w:rPr>
                <w:rFonts w:ascii="Arial" w:eastAsia="SimSun" w:hAnsi="Arial" w:cs="Arial"/>
                <w:lang w:val="en-US" w:eastAsia="zh-CN"/>
              </w:rPr>
              <w:t xml:space="preserve">tringently monitored by </w:t>
            </w:r>
            <w:r w:rsidR="00E11095">
              <w:rPr>
                <w:rFonts w:ascii="Arial" w:eastAsia="SimSun" w:hAnsi="Arial" w:cs="Arial"/>
                <w:lang w:val="en-US" w:eastAsia="zh-CN"/>
              </w:rPr>
              <w:t>NTP</w:t>
            </w:r>
            <w:r w:rsidR="004F4039">
              <w:rPr>
                <w:rFonts w:ascii="Arial" w:eastAsia="SimSun" w:hAnsi="Arial" w:cs="Arial"/>
                <w:lang w:val="en-US" w:eastAsia="zh-CN"/>
              </w:rPr>
              <w:t>.</w:t>
            </w:r>
          </w:p>
        </w:tc>
        <w:tc>
          <w:tcPr>
            <w:tcW w:w="1281" w:type="dxa"/>
          </w:tcPr>
          <w:p w14:paraId="0EB836CD" w14:textId="2988739A" w:rsidR="00594899" w:rsidRPr="00077A3F" w:rsidRDefault="008439D3" w:rsidP="005638BC">
            <w:pPr>
              <w:spacing w:after="0" w:line="240" w:lineRule="auto"/>
              <w:rPr>
                <w:rFonts w:ascii="Arial" w:eastAsia="SimSun" w:hAnsi="Arial" w:cs="Arial"/>
                <w:lang w:val="en-US" w:eastAsia="zh-CN"/>
              </w:rPr>
            </w:pPr>
            <w:r>
              <w:rPr>
                <w:rFonts w:ascii="Arial" w:eastAsia="SimSun" w:hAnsi="Arial" w:cs="Arial"/>
                <w:lang w:val="en-US" w:eastAsia="zh-CN"/>
              </w:rPr>
              <w:t>2018</w:t>
            </w:r>
            <w:r w:rsidR="00DD5E0F">
              <w:rPr>
                <w:rFonts w:ascii="Arial" w:eastAsia="SimSun" w:hAnsi="Arial" w:cs="Arial"/>
                <w:lang w:val="en-US" w:eastAsia="zh-CN"/>
              </w:rPr>
              <w:t xml:space="preserve"> onwards</w:t>
            </w:r>
          </w:p>
        </w:tc>
      </w:tr>
      <w:tr w:rsidR="00363A0B" w:rsidRPr="00D57C02" w14:paraId="19DE18AD" w14:textId="77777777" w:rsidTr="004311A6">
        <w:trPr>
          <w:gridAfter w:val="1"/>
          <w:wAfter w:w="34" w:type="dxa"/>
          <w:trHeight w:val="558"/>
          <w:jc w:val="center"/>
        </w:trPr>
        <w:tc>
          <w:tcPr>
            <w:tcW w:w="1838" w:type="dxa"/>
          </w:tcPr>
          <w:p w14:paraId="7EE41BF2" w14:textId="19517F39" w:rsidR="00D77595" w:rsidRDefault="00D77595" w:rsidP="00D77595">
            <w:pPr>
              <w:spacing w:after="0" w:line="240" w:lineRule="auto"/>
              <w:jc w:val="center"/>
              <w:rPr>
                <w:rFonts w:ascii="Arial" w:eastAsia="SimSun" w:hAnsi="Arial" w:cs="Arial"/>
                <w:lang w:val="en-US" w:eastAsia="zh-CN"/>
              </w:rPr>
            </w:pPr>
            <w:r w:rsidRPr="00077A3F">
              <w:rPr>
                <w:rFonts w:ascii="Arial" w:eastAsia="SimSun" w:hAnsi="Arial" w:cs="Arial"/>
                <w:lang w:val="en-US" w:eastAsia="zh-CN"/>
              </w:rPr>
              <w:t>Programmatic</w:t>
            </w:r>
            <w:r w:rsidR="00BC6AEB">
              <w:rPr>
                <w:rFonts w:ascii="Arial" w:eastAsia="SimSun" w:hAnsi="Arial" w:cs="Arial"/>
                <w:lang w:val="en-US" w:eastAsia="zh-CN"/>
              </w:rPr>
              <w:t>-</w:t>
            </w:r>
          </w:p>
          <w:p w14:paraId="162737D2" w14:textId="6A8C2A7F" w:rsidR="00C140DA" w:rsidRPr="00077A3F" w:rsidRDefault="00C140DA" w:rsidP="00D77595">
            <w:pPr>
              <w:spacing w:after="0" w:line="240" w:lineRule="auto"/>
              <w:jc w:val="center"/>
              <w:rPr>
                <w:rFonts w:ascii="Arial" w:eastAsia="SimSun" w:hAnsi="Arial" w:cs="Arial"/>
                <w:lang w:val="en-US" w:eastAsia="zh-CN"/>
              </w:rPr>
            </w:pPr>
            <w:r>
              <w:rPr>
                <w:rFonts w:ascii="Arial" w:eastAsia="SimSun" w:hAnsi="Arial" w:cs="Arial"/>
                <w:lang w:val="en-US" w:eastAsia="zh-CN"/>
              </w:rPr>
              <w:t>Referral system</w:t>
            </w:r>
          </w:p>
        </w:tc>
        <w:tc>
          <w:tcPr>
            <w:tcW w:w="2207" w:type="dxa"/>
          </w:tcPr>
          <w:p w14:paraId="799530CD" w14:textId="515885E1" w:rsidR="00D77595" w:rsidRPr="00077A3F" w:rsidRDefault="00FE66BF" w:rsidP="00D77595">
            <w:pPr>
              <w:spacing w:after="0" w:line="240" w:lineRule="auto"/>
              <w:rPr>
                <w:rFonts w:ascii="Arial" w:eastAsia="SimSun" w:hAnsi="Arial" w:cs="Arial"/>
                <w:lang w:val="en-US" w:eastAsia="zh-CN"/>
              </w:rPr>
            </w:pPr>
            <w:r>
              <w:rPr>
                <w:rFonts w:ascii="Arial" w:eastAsia="SimSun" w:hAnsi="Arial" w:cs="Arial"/>
                <w:lang w:val="en-US" w:eastAsia="zh-CN"/>
              </w:rPr>
              <w:t>‘Loss to follow up’ of d</w:t>
            </w:r>
            <w:r w:rsidR="006E5AA8">
              <w:rPr>
                <w:rFonts w:ascii="Arial" w:eastAsia="SimSun" w:hAnsi="Arial" w:cs="Arial"/>
                <w:lang w:val="en-US" w:eastAsia="zh-CN"/>
              </w:rPr>
              <w:t xml:space="preserve">iagnosed TB patients due </w:t>
            </w:r>
            <w:r w:rsidR="00325A8C">
              <w:rPr>
                <w:rFonts w:ascii="Arial" w:eastAsia="SimSun" w:hAnsi="Arial" w:cs="Arial"/>
                <w:lang w:val="en-US" w:eastAsia="zh-CN"/>
              </w:rPr>
              <w:t xml:space="preserve">to </w:t>
            </w:r>
            <w:r w:rsidR="006E5AA8">
              <w:rPr>
                <w:rFonts w:ascii="Arial" w:eastAsia="SimSun" w:hAnsi="Arial" w:cs="Arial"/>
                <w:lang w:val="en-US" w:eastAsia="zh-CN"/>
              </w:rPr>
              <w:t xml:space="preserve">lack of clear </w:t>
            </w:r>
            <w:r w:rsidR="00325A8C">
              <w:rPr>
                <w:rFonts w:ascii="Arial" w:eastAsia="SimSun" w:hAnsi="Arial" w:cs="Arial"/>
                <w:lang w:val="en-US" w:eastAsia="zh-CN"/>
              </w:rPr>
              <w:t xml:space="preserve">instructions and </w:t>
            </w:r>
            <w:r w:rsidR="006E5AA8">
              <w:rPr>
                <w:rFonts w:ascii="Arial" w:eastAsia="SimSun" w:hAnsi="Arial" w:cs="Arial"/>
                <w:lang w:val="en-US" w:eastAsia="zh-CN"/>
              </w:rPr>
              <w:t>referral mechanisms</w:t>
            </w:r>
          </w:p>
        </w:tc>
        <w:tc>
          <w:tcPr>
            <w:tcW w:w="3600" w:type="dxa"/>
          </w:tcPr>
          <w:p w14:paraId="6B7E2D8B" w14:textId="69BA498B" w:rsidR="00D77595" w:rsidRPr="00077A3F" w:rsidRDefault="00E16D14" w:rsidP="00D77595">
            <w:pPr>
              <w:spacing w:after="0" w:line="240" w:lineRule="auto"/>
              <w:rPr>
                <w:rFonts w:ascii="Arial" w:eastAsia="SimSun" w:hAnsi="Arial" w:cs="Arial"/>
                <w:lang w:val="en-US" w:eastAsia="zh-CN"/>
              </w:rPr>
            </w:pPr>
            <w:r>
              <w:rPr>
                <w:rFonts w:ascii="Arial" w:eastAsia="SimSun" w:hAnsi="Arial" w:cs="Arial"/>
                <w:lang w:val="en-US" w:eastAsia="zh-CN"/>
              </w:rPr>
              <w:t>NTP to d</w:t>
            </w:r>
            <w:r w:rsidR="006E5AA8">
              <w:rPr>
                <w:rFonts w:ascii="Arial" w:eastAsia="SimSun" w:hAnsi="Arial" w:cs="Arial"/>
                <w:lang w:val="en-US" w:eastAsia="zh-CN"/>
              </w:rPr>
              <w:t xml:space="preserve">evelop SOP and train </w:t>
            </w:r>
            <w:r w:rsidR="00BE64F8">
              <w:rPr>
                <w:rFonts w:ascii="Arial" w:eastAsia="SimSun" w:hAnsi="Arial" w:cs="Arial"/>
                <w:lang w:val="en-US" w:eastAsia="zh-CN"/>
              </w:rPr>
              <w:t xml:space="preserve">health </w:t>
            </w:r>
            <w:r w:rsidR="006E5AA8">
              <w:rPr>
                <w:rFonts w:ascii="Arial" w:eastAsia="SimSun" w:hAnsi="Arial" w:cs="Arial"/>
                <w:lang w:val="en-US" w:eastAsia="zh-CN"/>
              </w:rPr>
              <w:t xml:space="preserve">staff to track TB patients </w:t>
            </w:r>
            <w:r w:rsidR="00FE66BF">
              <w:rPr>
                <w:rFonts w:ascii="Arial" w:eastAsia="SimSun" w:hAnsi="Arial" w:cs="Arial"/>
                <w:lang w:val="en-US" w:eastAsia="zh-CN"/>
              </w:rPr>
              <w:t>to prevent ‘</w:t>
            </w:r>
            <w:r w:rsidR="006E5AA8">
              <w:rPr>
                <w:rFonts w:ascii="Arial" w:eastAsia="SimSun" w:hAnsi="Arial" w:cs="Arial"/>
                <w:lang w:val="en-US" w:eastAsia="zh-CN"/>
              </w:rPr>
              <w:t>los</w:t>
            </w:r>
            <w:r w:rsidR="00FE66BF">
              <w:rPr>
                <w:rFonts w:ascii="Arial" w:eastAsia="SimSun" w:hAnsi="Arial" w:cs="Arial"/>
                <w:lang w:val="en-US" w:eastAsia="zh-CN"/>
              </w:rPr>
              <w:t>s</w:t>
            </w:r>
            <w:r w:rsidR="006E5AA8">
              <w:rPr>
                <w:rFonts w:ascii="Arial" w:eastAsia="SimSun" w:hAnsi="Arial" w:cs="Arial"/>
                <w:lang w:val="en-US" w:eastAsia="zh-CN"/>
              </w:rPr>
              <w:t xml:space="preserve"> to follow up</w:t>
            </w:r>
            <w:r w:rsidR="00FE66BF">
              <w:rPr>
                <w:rFonts w:ascii="Arial" w:eastAsia="SimSun" w:hAnsi="Arial" w:cs="Arial"/>
                <w:lang w:val="en-US" w:eastAsia="zh-CN"/>
              </w:rPr>
              <w:t>’</w:t>
            </w:r>
            <w:r w:rsidR="006E5AA8">
              <w:rPr>
                <w:rFonts w:ascii="Arial" w:eastAsia="SimSun" w:hAnsi="Arial" w:cs="Arial"/>
                <w:lang w:val="en-US" w:eastAsia="zh-CN"/>
              </w:rPr>
              <w:t xml:space="preserve"> (</w:t>
            </w:r>
            <w:proofErr w:type="spellStart"/>
            <w:r w:rsidR="006E5AA8">
              <w:rPr>
                <w:rFonts w:ascii="Arial" w:eastAsia="SimSun" w:hAnsi="Arial" w:cs="Arial"/>
                <w:lang w:val="en-US" w:eastAsia="zh-CN"/>
              </w:rPr>
              <w:t>i</w:t>
            </w:r>
            <w:proofErr w:type="spellEnd"/>
            <w:r w:rsidR="006E5AA8">
              <w:rPr>
                <w:rFonts w:ascii="Arial" w:eastAsia="SimSun" w:hAnsi="Arial" w:cs="Arial"/>
                <w:lang w:val="en-US" w:eastAsia="zh-CN"/>
              </w:rPr>
              <w:t xml:space="preserve">) from MC to TC, (ii) when released from prisons, (iii) when referred from Army Hospital to public health care facilities; HFOMC members </w:t>
            </w:r>
            <w:r w:rsidR="00325A8C">
              <w:rPr>
                <w:rFonts w:ascii="Arial" w:eastAsia="SimSun" w:hAnsi="Arial" w:cs="Arial"/>
                <w:lang w:val="en-US" w:eastAsia="zh-CN"/>
              </w:rPr>
              <w:t xml:space="preserve">could be engaged </w:t>
            </w:r>
            <w:r w:rsidR="006E5AA8">
              <w:rPr>
                <w:rFonts w:ascii="Arial" w:eastAsia="SimSun" w:hAnsi="Arial" w:cs="Arial"/>
                <w:lang w:val="en-US" w:eastAsia="zh-CN"/>
              </w:rPr>
              <w:t xml:space="preserve">to </w:t>
            </w:r>
            <w:r w:rsidR="00325A8C">
              <w:rPr>
                <w:rFonts w:ascii="Arial" w:eastAsia="SimSun" w:hAnsi="Arial" w:cs="Arial"/>
                <w:lang w:val="en-US" w:eastAsia="zh-CN"/>
              </w:rPr>
              <w:t xml:space="preserve">develop mechanisms to assist in follow up activities. </w:t>
            </w:r>
          </w:p>
        </w:tc>
        <w:tc>
          <w:tcPr>
            <w:tcW w:w="1281" w:type="dxa"/>
          </w:tcPr>
          <w:p w14:paraId="62A61E1D" w14:textId="3899957A" w:rsidR="00D77595" w:rsidRPr="00077A3F" w:rsidRDefault="00325A8C" w:rsidP="00D77595">
            <w:pPr>
              <w:spacing w:after="0" w:line="240" w:lineRule="auto"/>
              <w:rPr>
                <w:rFonts w:ascii="Arial" w:eastAsia="SimSun" w:hAnsi="Arial" w:cs="Arial"/>
                <w:lang w:val="en-US" w:eastAsia="zh-CN"/>
              </w:rPr>
            </w:pPr>
            <w:r>
              <w:rPr>
                <w:rFonts w:ascii="Arial" w:eastAsia="SimSun" w:hAnsi="Arial" w:cs="Arial"/>
                <w:lang w:val="en-US" w:eastAsia="zh-CN"/>
              </w:rPr>
              <w:t>2018</w:t>
            </w:r>
            <w:r w:rsidR="00064CF9">
              <w:rPr>
                <w:rFonts w:ascii="Arial" w:eastAsia="SimSun" w:hAnsi="Arial" w:cs="Arial"/>
                <w:lang w:val="en-US" w:eastAsia="zh-CN"/>
              </w:rPr>
              <w:t>-20</w:t>
            </w:r>
            <w:r w:rsidR="00DD5E0F">
              <w:rPr>
                <w:rFonts w:ascii="Arial" w:eastAsia="SimSun" w:hAnsi="Arial" w:cs="Arial"/>
                <w:lang w:val="en-US" w:eastAsia="zh-CN"/>
              </w:rPr>
              <w:t>20</w:t>
            </w:r>
          </w:p>
        </w:tc>
      </w:tr>
      <w:tr w:rsidR="00363A0B" w:rsidRPr="00D57C02" w14:paraId="065B7BA1" w14:textId="77777777" w:rsidTr="00F4068D">
        <w:trPr>
          <w:gridAfter w:val="1"/>
          <w:wAfter w:w="34" w:type="dxa"/>
          <w:trHeight w:val="1547"/>
          <w:jc w:val="center"/>
        </w:trPr>
        <w:tc>
          <w:tcPr>
            <w:tcW w:w="1838" w:type="dxa"/>
          </w:tcPr>
          <w:p w14:paraId="373F7FE7" w14:textId="1E64CDCE" w:rsidR="00346119" w:rsidRDefault="00346119" w:rsidP="007C6845">
            <w:pPr>
              <w:spacing w:after="0" w:line="240" w:lineRule="auto"/>
              <w:jc w:val="center"/>
              <w:rPr>
                <w:rFonts w:ascii="Arial" w:eastAsia="SimSun" w:hAnsi="Arial" w:cs="Arial"/>
                <w:lang w:val="en-US" w:eastAsia="zh-CN"/>
              </w:rPr>
            </w:pPr>
            <w:r w:rsidRPr="00077A3F">
              <w:rPr>
                <w:rFonts w:ascii="Arial" w:eastAsia="SimSun" w:hAnsi="Arial" w:cs="Arial"/>
                <w:lang w:val="en-US" w:eastAsia="zh-CN"/>
              </w:rPr>
              <w:t>Programmatic</w:t>
            </w:r>
            <w:r w:rsidR="00BC6AEB">
              <w:rPr>
                <w:rFonts w:ascii="Arial" w:eastAsia="SimSun" w:hAnsi="Arial" w:cs="Arial"/>
                <w:lang w:val="en-US" w:eastAsia="zh-CN"/>
              </w:rPr>
              <w:t>-</w:t>
            </w:r>
          </w:p>
          <w:p w14:paraId="68810D9F" w14:textId="18F36DF8" w:rsidR="00D3543E" w:rsidRDefault="00DC5822" w:rsidP="007C6845">
            <w:pPr>
              <w:spacing w:after="0" w:line="240" w:lineRule="auto"/>
              <w:jc w:val="center"/>
              <w:rPr>
                <w:rFonts w:ascii="Arial" w:eastAsia="SimSun" w:hAnsi="Arial" w:cs="Arial"/>
                <w:lang w:val="en-US" w:eastAsia="zh-CN"/>
              </w:rPr>
            </w:pPr>
            <w:r>
              <w:rPr>
                <w:rFonts w:ascii="Arial" w:eastAsia="SimSun" w:hAnsi="Arial" w:cs="Arial"/>
                <w:lang w:val="en-US" w:eastAsia="zh-CN"/>
              </w:rPr>
              <w:t>Diagnostic services</w:t>
            </w:r>
          </w:p>
          <w:p w14:paraId="61332EA9" w14:textId="44E9F023" w:rsidR="006E6CF3" w:rsidRPr="00077A3F" w:rsidRDefault="006E6CF3" w:rsidP="007C6845">
            <w:pPr>
              <w:spacing w:after="0" w:line="240" w:lineRule="auto"/>
              <w:jc w:val="center"/>
              <w:rPr>
                <w:rFonts w:ascii="Arial" w:eastAsia="SimSun" w:hAnsi="Arial" w:cs="Arial"/>
                <w:lang w:val="en-US" w:eastAsia="zh-CN"/>
              </w:rPr>
            </w:pPr>
          </w:p>
        </w:tc>
        <w:tc>
          <w:tcPr>
            <w:tcW w:w="2207" w:type="dxa"/>
          </w:tcPr>
          <w:p w14:paraId="0391F4EC" w14:textId="5AFBECCD" w:rsidR="00346119" w:rsidRPr="00077A3F" w:rsidRDefault="0044256E" w:rsidP="00346119">
            <w:pPr>
              <w:spacing w:after="0" w:line="240" w:lineRule="auto"/>
              <w:rPr>
                <w:rFonts w:ascii="Arial" w:eastAsia="SimSun" w:hAnsi="Arial" w:cs="Arial"/>
                <w:lang w:val="en-US" w:eastAsia="zh-CN"/>
              </w:rPr>
            </w:pPr>
            <w:r>
              <w:rPr>
                <w:rFonts w:ascii="Arial" w:eastAsia="SimSun" w:hAnsi="Arial" w:cs="Arial"/>
                <w:lang w:val="en-US" w:eastAsia="zh-CN"/>
              </w:rPr>
              <w:t>Lab staff l</w:t>
            </w:r>
            <w:r w:rsidR="002871B0">
              <w:rPr>
                <w:rFonts w:ascii="Arial" w:eastAsia="SimSun" w:hAnsi="Arial" w:cs="Arial"/>
                <w:lang w:val="en-US" w:eastAsia="zh-CN"/>
              </w:rPr>
              <w:t xml:space="preserve">ack skills </w:t>
            </w:r>
            <w:r w:rsidR="00363A0B">
              <w:rPr>
                <w:rFonts w:ascii="Arial" w:eastAsia="SimSun" w:hAnsi="Arial" w:cs="Arial"/>
                <w:lang w:val="en-US" w:eastAsia="zh-CN"/>
              </w:rPr>
              <w:t>for calibration</w:t>
            </w:r>
            <w:r w:rsidR="00DC186E">
              <w:rPr>
                <w:rFonts w:ascii="Arial" w:eastAsia="SimSun" w:hAnsi="Arial" w:cs="Arial"/>
                <w:lang w:val="en-US" w:eastAsia="zh-CN"/>
              </w:rPr>
              <w:t xml:space="preserve"> and </w:t>
            </w:r>
            <w:r w:rsidR="002871B0">
              <w:rPr>
                <w:rFonts w:ascii="Arial" w:eastAsia="SimSun" w:hAnsi="Arial" w:cs="Arial"/>
                <w:lang w:val="en-US" w:eastAsia="zh-CN"/>
              </w:rPr>
              <w:t xml:space="preserve">maintenance of </w:t>
            </w:r>
            <w:r w:rsidR="00C8079D">
              <w:rPr>
                <w:rFonts w:ascii="Arial" w:eastAsia="SimSun" w:hAnsi="Arial" w:cs="Arial"/>
                <w:lang w:val="en-US" w:eastAsia="zh-CN"/>
              </w:rPr>
              <w:t>GX machines</w:t>
            </w:r>
            <w:r w:rsidR="007C6845">
              <w:rPr>
                <w:rFonts w:ascii="Arial" w:eastAsia="SimSun" w:hAnsi="Arial" w:cs="Arial"/>
                <w:lang w:val="en-US" w:eastAsia="zh-CN"/>
              </w:rPr>
              <w:t xml:space="preserve"> </w:t>
            </w:r>
            <w:r>
              <w:rPr>
                <w:rFonts w:ascii="Arial" w:eastAsia="SimSun" w:hAnsi="Arial" w:cs="Arial"/>
                <w:lang w:val="en-US" w:eastAsia="zh-CN"/>
              </w:rPr>
              <w:t xml:space="preserve">presently, </w:t>
            </w:r>
            <w:r w:rsidR="00A84568">
              <w:rPr>
                <w:rFonts w:ascii="Arial" w:eastAsia="SimSun" w:hAnsi="Arial" w:cs="Arial"/>
                <w:lang w:val="en-US" w:eastAsia="zh-CN"/>
              </w:rPr>
              <w:t>2</w:t>
            </w:r>
            <w:r w:rsidR="00FF1329">
              <w:rPr>
                <w:rFonts w:ascii="Arial" w:eastAsia="SimSun" w:hAnsi="Arial" w:cs="Arial"/>
                <w:lang w:val="en-US" w:eastAsia="zh-CN"/>
              </w:rPr>
              <w:t>5</w:t>
            </w:r>
            <w:r w:rsidR="00363A0B">
              <w:rPr>
                <w:rFonts w:ascii="Arial" w:eastAsia="SimSun" w:hAnsi="Arial" w:cs="Arial"/>
                <w:lang w:val="en-US" w:eastAsia="zh-CN"/>
              </w:rPr>
              <w:t xml:space="preserve">% of modules </w:t>
            </w:r>
            <w:r w:rsidR="007C6845">
              <w:rPr>
                <w:rFonts w:ascii="Arial" w:eastAsia="SimSun" w:hAnsi="Arial" w:cs="Arial"/>
                <w:lang w:val="en-US" w:eastAsia="zh-CN"/>
              </w:rPr>
              <w:t>not functioning</w:t>
            </w:r>
          </w:p>
        </w:tc>
        <w:tc>
          <w:tcPr>
            <w:tcW w:w="3600" w:type="dxa"/>
          </w:tcPr>
          <w:p w14:paraId="116DA7F3" w14:textId="1C534638" w:rsidR="00346119" w:rsidRPr="00077A3F" w:rsidRDefault="00F4068D" w:rsidP="00346119">
            <w:pPr>
              <w:spacing w:after="0" w:line="240" w:lineRule="auto"/>
              <w:rPr>
                <w:rFonts w:ascii="Arial" w:eastAsia="SimSun" w:hAnsi="Arial" w:cs="Arial"/>
                <w:lang w:val="en-US" w:eastAsia="zh-CN"/>
              </w:rPr>
            </w:pPr>
            <w:r>
              <w:rPr>
                <w:rFonts w:ascii="Arial" w:eastAsia="SimSun" w:hAnsi="Arial" w:cs="Arial"/>
                <w:lang w:val="en-US" w:eastAsia="zh-CN"/>
              </w:rPr>
              <w:t>NTP would o</w:t>
            </w:r>
            <w:r w:rsidR="007C6845">
              <w:rPr>
                <w:rFonts w:ascii="Arial" w:eastAsia="SimSun" w:hAnsi="Arial" w:cs="Arial"/>
                <w:lang w:val="en-US" w:eastAsia="zh-CN"/>
              </w:rPr>
              <w:t>utsourc</w:t>
            </w:r>
            <w:r>
              <w:rPr>
                <w:rFonts w:ascii="Arial" w:eastAsia="SimSun" w:hAnsi="Arial" w:cs="Arial"/>
                <w:lang w:val="en-US" w:eastAsia="zh-CN"/>
              </w:rPr>
              <w:t>e</w:t>
            </w:r>
            <w:r w:rsidR="007C6845">
              <w:rPr>
                <w:rFonts w:ascii="Arial" w:eastAsia="SimSun" w:hAnsi="Arial" w:cs="Arial"/>
                <w:lang w:val="en-US" w:eastAsia="zh-CN"/>
              </w:rPr>
              <w:t xml:space="preserve"> to an agency for maintenance </w:t>
            </w:r>
            <w:r w:rsidR="00E11241">
              <w:rPr>
                <w:rFonts w:ascii="Arial" w:eastAsia="SimSun" w:hAnsi="Arial" w:cs="Arial"/>
                <w:lang w:val="en-US" w:eastAsia="zh-CN"/>
              </w:rPr>
              <w:t>to maximize the utilization of GX machines</w:t>
            </w:r>
            <w:r w:rsidR="007C6845">
              <w:rPr>
                <w:rFonts w:ascii="Arial" w:eastAsia="SimSun" w:hAnsi="Arial" w:cs="Arial"/>
                <w:lang w:val="en-US" w:eastAsia="zh-CN"/>
              </w:rPr>
              <w:t xml:space="preserve"> with simultaneous capacity building of </w:t>
            </w:r>
            <w:r w:rsidR="00F32831">
              <w:rPr>
                <w:rFonts w:ascii="Arial" w:eastAsia="SimSun" w:hAnsi="Arial" w:cs="Arial"/>
                <w:lang w:val="en-US" w:eastAsia="zh-CN"/>
              </w:rPr>
              <w:t xml:space="preserve">the </w:t>
            </w:r>
            <w:r w:rsidR="00F14D70">
              <w:rPr>
                <w:rFonts w:ascii="Arial" w:eastAsia="SimSun" w:hAnsi="Arial" w:cs="Arial"/>
                <w:lang w:val="en-US" w:eastAsia="zh-CN"/>
              </w:rPr>
              <w:t xml:space="preserve">national </w:t>
            </w:r>
            <w:r w:rsidR="007C6845">
              <w:rPr>
                <w:rFonts w:ascii="Arial" w:eastAsia="SimSun" w:hAnsi="Arial" w:cs="Arial"/>
                <w:lang w:val="en-US" w:eastAsia="zh-CN"/>
              </w:rPr>
              <w:t>laboratory staff</w:t>
            </w:r>
          </w:p>
        </w:tc>
        <w:tc>
          <w:tcPr>
            <w:tcW w:w="1281" w:type="dxa"/>
          </w:tcPr>
          <w:p w14:paraId="36D0E12E" w14:textId="308E0A6A" w:rsidR="00346119" w:rsidRPr="00077A3F" w:rsidRDefault="007C6845" w:rsidP="00346119">
            <w:pPr>
              <w:spacing w:after="0" w:line="240" w:lineRule="auto"/>
              <w:rPr>
                <w:rFonts w:ascii="Arial" w:eastAsia="SimSun" w:hAnsi="Arial" w:cs="Arial"/>
                <w:lang w:val="en-US" w:eastAsia="zh-CN"/>
              </w:rPr>
            </w:pPr>
            <w:r>
              <w:rPr>
                <w:rFonts w:ascii="Arial" w:eastAsia="SimSun" w:hAnsi="Arial" w:cs="Arial"/>
                <w:lang w:val="en-US" w:eastAsia="zh-CN"/>
              </w:rPr>
              <w:t>2018</w:t>
            </w:r>
            <w:r w:rsidR="00D26EC7">
              <w:rPr>
                <w:rFonts w:ascii="Arial" w:eastAsia="SimSun" w:hAnsi="Arial" w:cs="Arial"/>
                <w:lang w:val="en-US" w:eastAsia="zh-CN"/>
              </w:rPr>
              <w:t>-20</w:t>
            </w:r>
            <w:r w:rsidR="00DD5E0F">
              <w:rPr>
                <w:rFonts w:ascii="Arial" w:eastAsia="SimSun" w:hAnsi="Arial" w:cs="Arial"/>
                <w:lang w:val="en-US" w:eastAsia="zh-CN"/>
              </w:rPr>
              <w:t>20</w:t>
            </w:r>
          </w:p>
        </w:tc>
      </w:tr>
      <w:tr w:rsidR="00363A0B" w:rsidRPr="00D57C02" w14:paraId="5A91F93A" w14:textId="77777777" w:rsidTr="004311A6">
        <w:trPr>
          <w:gridAfter w:val="1"/>
          <w:wAfter w:w="34" w:type="dxa"/>
          <w:trHeight w:val="558"/>
          <w:jc w:val="center"/>
        </w:trPr>
        <w:tc>
          <w:tcPr>
            <w:tcW w:w="1838" w:type="dxa"/>
          </w:tcPr>
          <w:p w14:paraId="206E6B0D" w14:textId="625961E9" w:rsidR="00346119" w:rsidRDefault="00527B28" w:rsidP="00F16C30">
            <w:pPr>
              <w:spacing w:after="0" w:line="240" w:lineRule="auto"/>
              <w:jc w:val="center"/>
              <w:rPr>
                <w:rFonts w:ascii="Arial" w:eastAsia="SimSun" w:hAnsi="Arial" w:cs="Arial"/>
                <w:lang w:val="en-US" w:eastAsia="zh-CN"/>
              </w:rPr>
            </w:pPr>
            <w:r w:rsidRPr="00077A3F">
              <w:rPr>
                <w:rFonts w:ascii="Arial" w:eastAsia="SimSun" w:hAnsi="Arial" w:cs="Arial"/>
                <w:lang w:val="en-US" w:eastAsia="zh-CN"/>
              </w:rPr>
              <w:t>Programmatic</w:t>
            </w:r>
            <w:r w:rsidR="00BC6AEB">
              <w:rPr>
                <w:rFonts w:ascii="Arial" w:eastAsia="SimSun" w:hAnsi="Arial" w:cs="Arial"/>
                <w:lang w:val="en-US" w:eastAsia="zh-CN"/>
              </w:rPr>
              <w:t>-</w:t>
            </w:r>
          </w:p>
          <w:p w14:paraId="7EA281C3" w14:textId="6A18B1EA" w:rsidR="00DC5822" w:rsidRPr="00077A3F" w:rsidRDefault="00DC5822" w:rsidP="00F16C30">
            <w:pPr>
              <w:spacing w:after="0" w:line="240" w:lineRule="auto"/>
              <w:jc w:val="center"/>
              <w:rPr>
                <w:rFonts w:ascii="Arial" w:eastAsia="SimSun" w:hAnsi="Arial" w:cs="Arial"/>
                <w:lang w:val="en-US" w:eastAsia="zh-CN"/>
              </w:rPr>
            </w:pPr>
            <w:r>
              <w:rPr>
                <w:rFonts w:ascii="Arial" w:eastAsia="SimSun" w:hAnsi="Arial" w:cs="Arial"/>
                <w:lang w:val="en-US" w:eastAsia="zh-CN"/>
              </w:rPr>
              <w:t>HMIS</w:t>
            </w:r>
          </w:p>
        </w:tc>
        <w:tc>
          <w:tcPr>
            <w:tcW w:w="2207" w:type="dxa"/>
          </w:tcPr>
          <w:p w14:paraId="3B591179" w14:textId="1A86B555" w:rsidR="00346119" w:rsidRPr="00077A3F" w:rsidRDefault="00A83DE5" w:rsidP="002837AC">
            <w:pPr>
              <w:spacing w:after="0" w:line="240" w:lineRule="auto"/>
              <w:rPr>
                <w:rFonts w:ascii="Arial" w:eastAsia="SimSun" w:hAnsi="Arial" w:cs="Arial"/>
                <w:lang w:val="en-US" w:eastAsia="zh-CN"/>
              </w:rPr>
            </w:pPr>
            <w:r>
              <w:rPr>
                <w:rFonts w:ascii="Arial" w:eastAsia="SimSun" w:hAnsi="Arial" w:cs="Arial"/>
                <w:lang w:val="en-US" w:eastAsia="zh-CN"/>
              </w:rPr>
              <w:t>Gaps between NTP data and h</w:t>
            </w:r>
            <w:r w:rsidR="002837AC" w:rsidRPr="002837AC">
              <w:rPr>
                <w:rFonts w:ascii="Arial" w:eastAsia="SimSun" w:hAnsi="Arial" w:cs="Arial"/>
                <w:lang w:val="en-US" w:eastAsia="zh-CN"/>
              </w:rPr>
              <w:t>ealth management infor</w:t>
            </w:r>
            <w:r w:rsidR="002837AC">
              <w:rPr>
                <w:rFonts w:ascii="Arial" w:eastAsia="SimSun" w:hAnsi="Arial" w:cs="Arial"/>
                <w:lang w:val="en-US" w:eastAsia="zh-CN"/>
              </w:rPr>
              <w:t>mation system and data quality.</w:t>
            </w:r>
          </w:p>
        </w:tc>
        <w:tc>
          <w:tcPr>
            <w:tcW w:w="3600" w:type="dxa"/>
          </w:tcPr>
          <w:p w14:paraId="63001DB4" w14:textId="3A6A5ED0" w:rsidR="00346119" w:rsidRPr="00077A3F" w:rsidRDefault="00F4068D" w:rsidP="00F4068D">
            <w:pPr>
              <w:spacing w:after="0" w:line="240" w:lineRule="auto"/>
              <w:rPr>
                <w:rFonts w:ascii="Arial" w:eastAsia="SimSun" w:hAnsi="Arial" w:cs="Arial"/>
                <w:lang w:val="en-US" w:eastAsia="zh-CN"/>
              </w:rPr>
            </w:pPr>
            <w:r>
              <w:rPr>
                <w:rFonts w:ascii="Arial" w:hAnsi="Arial" w:cs="Arial"/>
                <w:bCs/>
                <w:lang w:val="en-US"/>
              </w:rPr>
              <w:t xml:space="preserve">NTP </w:t>
            </w:r>
            <w:r w:rsidR="007F4837">
              <w:rPr>
                <w:rFonts w:ascii="Arial" w:hAnsi="Arial" w:cs="Arial"/>
                <w:bCs/>
                <w:lang w:val="en-US"/>
              </w:rPr>
              <w:t>will</w:t>
            </w:r>
            <w:r>
              <w:rPr>
                <w:rFonts w:ascii="Arial" w:hAnsi="Arial" w:cs="Arial"/>
                <w:bCs/>
                <w:lang w:val="en-US"/>
              </w:rPr>
              <w:t xml:space="preserve"> do c</w:t>
            </w:r>
            <w:r w:rsidR="00463351">
              <w:rPr>
                <w:rFonts w:ascii="Arial" w:hAnsi="Arial" w:cs="Arial"/>
                <w:bCs/>
                <w:lang w:val="en-US"/>
              </w:rPr>
              <w:t>apacity building</w:t>
            </w:r>
            <w:r w:rsidR="00E35251">
              <w:rPr>
                <w:rFonts w:ascii="Arial" w:hAnsi="Arial" w:cs="Arial"/>
                <w:bCs/>
                <w:lang w:val="en-US"/>
              </w:rPr>
              <w:t xml:space="preserve"> of staff </w:t>
            </w:r>
            <w:r w:rsidR="00A83DE5">
              <w:rPr>
                <w:rFonts w:ascii="Arial" w:hAnsi="Arial" w:cs="Arial"/>
                <w:bCs/>
                <w:lang w:val="en-US"/>
              </w:rPr>
              <w:t xml:space="preserve">to improve data quality </w:t>
            </w:r>
            <w:r w:rsidR="00E35251">
              <w:rPr>
                <w:rFonts w:ascii="Arial" w:hAnsi="Arial" w:cs="Arial"/>
                <w:bCs/>
                <w:lang w:val="en-US"/>
              </w:rPr>
              <w:t>and</w:t>
            </w:r>
            <w:r w:rsidR="00A83DE5">
              <w:rPr>
                <w:rFonts w:ascii="Arial" w:hAnsi="Arial" w:cs="Arial"/>
                <w:bCs/>
                <w:lang w:val="en-US"/>
              </w:rPr>
              <w:t xml:space="preserve"> need</w:t>
            </w:r>
            <w:r w:rsidR="00E35251">
              <w:rPr>
                <w:rFonts w:ascii="Arial" w:hAnsi="Arial" w:cs="Arial"/>
                <w:bCs/>
                <w:lang w:val="en-US"/>
              </w:rPr>
              <w:t xml:space="preserve"> </w:t>
            </w:r>
            <w:r w:rsidR="00463351" w:rsidRPr="00463351">
              <w:rPr>
                <w:rFonts w:ascii="Arial" w:hAnsi="Arial" w:cs="Arial"/>
                <w:bCs/>
                <w:lang w:val="en-US"/>
              </w:rPr>
              <w:t>to evaluate the HMIS against the NTC data for accuracy, timeliness and consistency</w:t>
            </w:r>
          </w:p>
        </w:tc>
        <w:tc>
          <w:tcPr>
            <w:tcW w:w="1281" w:type="dxa"/>
          </w:tcPr>
          <w:p w14:paraId="16807EED" w14:textId="0819A3B0" w:rsidR="00346119" w:rsidRPr="00077A3F" w:rsidRDefault="00BC6AEB" w:rsidP="00346119">
            <w:pPr>
              <w:spacing w:after="0" w:line="240" w:lineRule="auto"/>
              <w:rPr>
                <w:rFonts w:ascii="Arial" w:eastAsia="SimSun" w:hAnsi="Arial" w:cs="Arial"/>
                <w:lang w:val="en-US" w:eastAsia="zh-CN"/>
              </w:rPr>
            </w:pPr>
            <w:r>
              <w:rPr>
                <w:rFonts w:ascii="Arial" w:eastAsia="SimSun" w:hAnsi="Arial" w:cs="Arial"/>
                <w:lang w:val="en-US" w:eastAsia="zh-CN"/>
              </w:rPr>
              <w:t>2018</w:t>
            </w:r>
            <w:r w:rsidR="00DD5E0F">
              <w:rPr>
                <w:rFonts w:ascii="Arial" w:eastAsia="SimSun" w:hAnsi="Arial" w:cs="Arial"/>
                <w:lang w:val="en-US" w:eastAsia="zh-CN"/>
              </w:rPr>
              <w:t xml:space="preserve"> onwards</w:t>
            </w:r>
          </w:p>
        </w:tc>
      </w:tr>
      <w:tr w:rsidR="00B25008" w:rsidRPr="00D57C02" w14:paraId="13193D17" w14:textId="77777777" w:rsidTr="004311A6">
        <w:trPr>
          <w:gridAfter w:val="1"/>
          <w:wAfter w:w="34" w:type="dxa"/>
          <w:trHeight w:val="558"/>
          <w:jc w:val="center"/>
        </w:trPr>
        <w:tc>
          <w:tcPr>
            <w:tcW w:w="1838" w:type="dxa"/>
          </w:tcPr>
          <w:p w14:paraId="2D8DFC74" w14:textId="688FA066" w:rsidR="00B25008" w:rsidRDefault="00B25008" w:rsidP="0095580A">
            <w:pPr>
              <w:spacing w:after="0" w:line="240" w:lineRule="auto"/>
              <w:jc w:val="center"/>
              <w:rPr>
                <w:rFonts w:ascii="Arial" w:eastAsia="SimSun" w:hAnsi="Arial" w:cs="Arial"/>
                <w:lang w:val="en-US" w:eastAsia="zh-CN"/>
              </w:rPr>
            </w:pPr>
            <w:r>
              <w:rPr>
                <w:rFonts w:ascii="Arial" w:eastAsia="SimSun" w:hAnsi="Arial" w:cs="Arial"/>
                <w:lang w:val="en-US" w:eastAsia="zh-CN"/>
              </w:rPr>
              <w:t>Political</w:t>
            </w:r>
            <w:r w:rsidR="00801179">
              <w:rPr>
                <w:rFonts w:ascii="Arial" w:eastAsia="SimSun" w:hAnsi="Arial" w:cs="Arial"/>
                <w:lang w:val="en-US" w:eastAsia="zh-CN"/>
              </w:rPr>
              <w:t xml:space="preserve"> restructuring of the country</w:t>
            </w:r>
          </w:p>
        </w:tc>
        <w:tc>
          <w:tcPr>
            <w:tcW w:w="2207" w:type="dxa"/>
          </w:tcPr>
          <w:p w14:paraId="3B1ABCBE" w14:textId="2680039D" w:rsidR="00B25008" w:rsidRDefault="0095580A" w:rsidP="00346119">
            <w:pPr>
              <w:spacing w:after="0" w:line="240" w:lineRule="auto"/>
              <w:rPr>
                <w:rFonts w:ascii="Arial" w:hAnsi="Arial" w:cs="Arial"/>
              </w:rPr>
            </w:pPr>
            <w:r>
              <w:rPr>
                <w:rFonts w:ascii="Arial" w:hAnsi="Arial" w:cs="Arial"/>
              </w:rPr>
              <w:t>Integration of the health system into the new federal structure will pose operational challenges during the implementation phase</w:t>
            </w:r>
          </w:p>
        </w:tc>
        <w:tc>
          <w:tcPr>
            <w:tcW w:w="3600" w:type="dxa"/>
          </w:tcPr>
          <w:p w14:paraId="0BC78D42" w14:textId="2B32A886" w:rsidR="00B25008" w:rsidRPr="00077A3F" w:rsidRDefault="0095580A" w:rsidP="00346119">
            <w:pPr>
              <w:spacing w:after="0" w:line="240" w:lineRule="auto"/>
              <w:rPr>
                <w:rFonts w:ascii="Arial" w:eastAsia="SimSun" w:hAnsi="Arial" w:cs="Arial"/>
                <w:lang w:val="en-US" w:eastAsia="zh-CN"/>
              </w:rPr>
            </w:pPr>
            <w:r>
              <w:rPr>
                <w:rFonts w:ascii="Arial" w:eastAsia="SimSun" w:hAnsi="Arial" w:cs="Arial"/>
                <w:lang w:val="en-US" w:eastAsia="zh-CN"/>
              </w:rPr>
              <w:t xml:space="preserve">The </w:t>
            </w:r>
            <w:proofErr w:type="spellStart"/>
            <w:r>
              <w:rPr>
                <w:rFonts w:ascii="Arial" w:eastAsia="SimSun" w:hAnsi="Arial" w:cs="Arial"/>
                <w:lang w:val="en-US" w:eastAsia="zh-CN"/>
              </w:rPr>
              <w:t>MoH</w:t>
            </w:r>
            <w:proofErr w:type="spellEnd"/>
            <w:r>
              <w:rPr>
                <w:rFonts w:ascii="Arial" w:eastAsia="SimSun" w:hAnsi="Arial" w:cs="Arial"/>
                <w:lang w:val="en-US" w:eastAsia="zh-CN"/>
              </w:rPr>
              <w:t xml:space="preserve"> </w:t>
            </w:r>
            <w:r w:rsidR="00F4068D">
              <w:rPr>
                <w:rFonts w:ascii="Arial" w:eastAsia="SimSun" w:hAnsi="Arial" w:cs="Arial"/>
                <w:lang w:val="en-US" w:eastAsia="zh-CN"/>
              </w:rPr>
              <w:t>has been</w:t>
            </w:r>
            <w:r w:rsidR="005E44A7">
              <w:rPr>
                <w:rFonts w:ascii="Arial" w:eastAsia="SimSun" w:hAnsi="Arial" w:cs="Arial"/>
                <w:lang w:val="en-US" w:eastAsia="zh-CN"/>
              </w:rPr>
              <w:t xml:space="preserve"> engaged in</w:t>
            </w:r>
            <w:r>
              <w:rPr>
                <w:rFonts w:ascii="Arial" w:eastAsia="SimSun" w:hAnsi="Arial" w:cs="Arial"/>
                <w:lang w:val="en-US" w:eastAsia="zh-CN"/>
              </w:rPr>
              <w:t xml:space="preserve"> develop</w:t>
            </w:r>
            <w:r w:rsidR="005E44A7">
              <w:rPr>
                <w:rFonts w:ascii="Arial" w:eastAsia="SimSun" w:hAnsi="Arial" w:cs="Arial"/>
                <w:lang w:val="en-US" w:eastAsia="zh-CN"/>
              </w:rPr>
              <w:t>ing</w:t>
            </w:r>
            <w:r>
              <w:rPr>
                <w:rFonts w:ascii="Arial" w:eastAsia="SimSun" w:hAnsi="Arial" w:cs="Arial"/>
                <w:lang w:val="en-US" w:eastAsia="zh-CN"/>
              </w:rPr>
              <w:t xml:space="preserve"> federal policy guidelines </w:t>
            </w:r>
            <w:r w:rsidR="005E44A7">
              <w:rPr>
                <w:rFonts w:ascii="Arial" w:eastAsia="SimSun" w:hAnsi="Arial" w:cs="Arial"/>
                <w:lang w:val="en-US" w:eastAsia="zh-CN"/>
              </w:rPr>
              <w:t>for the smooth transition</w:t>
            </w:r>
            <w:r>
              <w:rPr>
                <w:rFonts w:ascii="Arial" w:eastAsia="SimSun" w:hAnsi="Arial" w:cs="Arial"/>
                <w:lang w:val="en-US" w:eastAsia="zh-CN"/>
              </w:rPr>
              <w:t xml:space="preserve"> of the health system into the federal structure up</w:t>
            </w:r>
            <w:r w:rsidR="005E44A7">
              <w:rPr>
                <w:rFonts w:ascii="Arial" w:eastAsia="SimSun" w:hAnsi="Arial" w:cs="Arial"/>
                <w:lang w:val="en-US" w:eastAsia="zh-CN"/>
              </w:rPr>
              <w:t xml:space="preserve"> </w:t>
            </w:r>
            <w:r>
              <w:rPr>
                <w:rFonts w:ascii="Arial" w:eastAsia="SimSun" w:hAnsi="Arial" w:cs="Arial"/>
                <w:lang w:val="en-US" w:eastAsia="zh-CN"/>
              </w:rPr>
              <w:t>to the community level.</w:t>
            </w:r>
          </w:p>
        </w:tc>
        <w:tc>
          <w:tcPr>
            <w:tcW w:w="1281" w:type="dxa"/>
          </w:tcPr>
          <w:p w14:paraId="0182D45A" w14:textId="6002F4A9" w:rsidR="00B25008" w:rsidRDefault="00B75016" w:rsidP="00346119">
            <w:pPr>
              <w:spacing w:after="0" w:line="240" w:lineRule="auto"/>
              <w:rPr>
                <w:rFonts w:ascii="Arial" w:eastAsia="SimSun" w:hAnsi="Arial" w:cs="Arial"/>
                <w:lang w:val="en-US" w:eastAsia="zh-CN"/>
              </w:rPr>
            </w:pPr>
            <w:r>
              <w:rPr>
                <w:rFonts w:ascii="Arial" w:eastAsia="SimSun" w:hAnsi="Arial" w:cs="Arial"/>
                <w:lang w:val="en-US" w:eastAsia="zh-CN"/>
              </w:rPr>
              <w:t>201</w:t>
            </w:r>
            <w:r w:rsidR="0026159D">
              <w:rPr>
                <w:rFonts w:ascii="Arial" w:eastAsia="SimSun" w:hAnsi="Arial" w:cs="Arial"/>
                <w:lang w:val="en-US" w:eastAsia="zh-CN"/>
              </w:rPr>
              <w:t>7 onwards</w:t>
            </w:r>
          </w:p>
        </w:tc>
      </w:tr>
      <w:tr w:rsidR="00346119" w:rsidRPr="00D57C02" w14:paraId="549116C5" w14:textId="77777777" w:rsidTr="004311A6">
        <w:trPr>
          <w:gridAfter w:val="1"/>
          <w:wAfter w:w="34" w:type="dxa"/>
          <w:trHeight w:val="558"/>
          <w:jc w:val="center"/>
        </w:trPr>
        <w:tc>
          <w:tcPr>
            <w:tcW w:w="1838" w:type="dxa"/>
          </w:tcPr>
          <w:p w14:paraId="5B4C7B7F" w14:textId="1AEE51CE" w:rsidR="00346119" w:rsidRPr="00077A3F" w:rsidRDefault="00801179" w:rsidP="00346119">
            <w:pPr>
              <w:spacing w:after="0" w:line="240" w:lineRule="auto"/>
              <w:rPr>
                <w:rFonts w:ascii="Arial" w:eastAsia="SimSun" w:hAnsi="Arial" w:cs="Arial"/>
                <w:lang w:val="en-US" w:eastAsia="zh-CN"/>
              </w:rPr>
            </w:pPr>
            <w:r>
              <w:rPr>
                <w:rFonts w:ascii="Arial" w:eastAsia="SimSun" w:hAnsi="Arial" w:cs="Arial"/>
                <w:lang w:val="en-US" w:eastAsia="zh-CN"/>
              </w:rPr>
              <w:lastRenderedPageBreak/>
              <w:t>N</w:t>
            </w:r>
            <w:r w:rsidR="001D217D">
              <w:rPr>
                <w:rFonts w:ascii="Arial" w:eastAsia="SimSun" w:hAnsi="Arial" w:cs="Arial"/>
                <w:lang w:val="en-US" w:eastAsia="zh-CN"/>
              </w:rPr>
              <w:t>atural hazards</w:t>
            </w:r>
            <w:r>
              <w:rPr>
                <w:rFonts w:ascii="Arial" w:eastAsia="SimSun" w:hAnsi="Arial" w:cs="Arial"/>
                <w:lang w:val="en-US" w:eastAsia="zh-CN"/>
              </w:rPr>
              <w:t xml:space="preserve"> and calamities</w:t>
            </w:r>
          </w:p>
        </w:tc>
        <w:tc>
          <w:tcPr>
            <w:tcW w:w="2207" w:type="dxa"/>
          </w:tcPr>
          <w:p w14:paraId="202A934D" w14:textId="333E6495" w:rsidR="00346119" w:rsidRPr="00077A3F" w:rsidRDefault="00A25DAB" w:rsidP="00346119">
            <w:pPr>
              <w:spacing w:after="0" w:line="240" w:lineRule="auto"/>
              <w:rPr>
                <w:rFonts w:ascii="Arial" w:eastAsia="SimSun" w:hAnsi="Arial" w:cs="Arial"/>
                <w:lang w:val="en-US" w:eastAsia="zh-CN"/>
              </w:rPr>
            </w:pPr>
            <w:r>
              <w:rPr>
                <w:rFonts w:ascii="Arial" w:hAnsi="Arial" w:cs="Arial"/>
              </w:rPr>
              <w:t>Country</w:t>
            </w:r>
            <w:r w:rsidRPr="00D57C02">
              <w:rPr>
                <w:rFonts w:ascii="Arial" w:hAnsi="Arial" w:cs="Arial"/>
              </w:rPr>
              <w:t xml:space="preserve"> highly susceptible to climate change risks and ranks 11th in the world in terms of vulnerability to earthquakes</w:t>
            </w:r>
          </w:p>
        </w:tc>
        <w:tc>
          <w:tcPr>
            <w:tcW w:w="3600" w:type="dxa"/>
          </w:tcPr>
          <w:p w14:paraId="1C61B47C" w14:textId="3C582037" w:rsidR="00346119" w:rsidRPr="00077A3F" w:rsidRDefault="00A25DAB" w:rsidP="00346119">
            <w:pPr>
              <w:spacing w:after="0" w:line="240" w:lineRule="auto"/>
              <w:rPr>
                <w:rFonts w:ascii="Arial" w:eastAsia="SimSun" w:hAnsi="Arial" w:cs="Arial"/>
                <w:lang w:val="en-US" w:eastAsia="zh-CN"/>
              </w:rPr>
            </w:pPr>
            <w:r>
              <w:rPr>
                <w:rFonts w:ascii="Arial" w:eastAsia="SimSun" w:hAnsi="Arial" w:cs="Arial"/>
                <w:lang w:val="en-US" w:eastAsia="zh-CN"/>
              </w:rPr>
              <w:t>Although v</w:t>
            </w:r>
            <w:r w:rsidR="0078092F">
              <w:rPr>
                <w:rFonts w:ascii="Arial" w:eastAsia="SimSun" w:hAnsi="Arial" w:cs="Arial"/>
                <w:lang w:val="en-US" w:eastAsia="zh-CN"/>
              </w:rPr>
              <w:t xml:space="preserve">ulnerability to climate change </w:t>
            </w:r>
            <w:r>
              <w:rPr>
                <w:rFonts w:ascii="Arial" w:eastAsia="SimSun" w:hAnsi="Arial" w:cs="Arial"/>
                <w:lang w:val="en-US" w:eastAsia="zh-CN"/>
              </w:rPr>
              <w:t xml:space="preserve">and other </w:t>
            </w:r>
            <w:r w:rsidR="0022192B">
              <w:rPr>
                <w:rFonts w:ascii="Arial" w:eastAsia="SimSun" w:hAnsi="Arial" w:cs="Arial"/>
                <w:lang w:val="en-US" w:eastAsia="zh-CN"/>
              </w:rPr>
              <w:t xml:space="preserve">natural </w:t>
            </w:r>
            <w:r>
              <w:rPr>
                <w:rFonts w:ascii="Arial" w:eastAsia="SimSun" w:hAnsi="Arial" w:cs="Arial"/>
                <w:lang w:val="en-US" w:eastAsia="zh-CN"/>
              </w:rPr>
              <w:t xml:space="preserve">hazards </w:t>
            </w:r>
            <w:r w:rsidR="0078092F">
              <w:rPr>
                <w:rFonts w:ascii="Arial" w:eastAsia="SimSun" w:hAnsi="Arial" w:cs="Arial"/>
                <w:lang w:val="en-US" w:eastAsia="zh-CN"/>
              </w:rPr>
              <w:t xml:space="preserve">is </w:t>
            </w:r>
            <w:r>
              <w:rPr>
                <w:rFonts w:ascii="Arial" w:eastAsia="SimSun" w:hAnsi="Arial" w:cs="Arial"/>
                <w:lang w:val="en-US" w:eastAsia="zh-CN"/>
              </w:rPr>
              <w:t xml:space="preserve">a </w:t>
            </w:r>
            <w:r w:rsidR="0078092F">
              <w:rPr>
                <w:rFonts w:ascii="Arial" w:eastAsia="SimSun" w:hAnsi="Arial" w:cs="Arial"/>
                <w:lang w:val="en-US" w:eastAsia="zh-CN"/>
              </w:rPr>
              <w:t xml:space="preserve">big challenge, </w:t>
            </w:r>
            <w:r>
              <w:rPr>
                <w:rFonts w:ascii="Arial" w:eastAsia="SimSun" w:hAnsi="Arial" w:cs="Arial"/>
                <w:lang w:val="en-US" w:eastAsia="zh-CN"/>
              </w:rPr>
              <w:t xml:space="preserve">the </w:t>
            </w:r>
            <w:proofErr w:type="spellStart"/>
            <w:r w:rsidR="00F4068D">
              <w:rPr>
                <w:rFonts w:ascii="Arial" w:eastAsia="SimSun" w:hAnsi="Arial" w:cs="Arial"/>
                <w:lang w:val="en-US" w:eastAsia="zh-CN"/>
              </w:rPr>
              <w:t>GoN</w:t>
            </w:r>
            <w:proofErr w:type="spellEnd"/>
            <w:r>
              <w:rPr>
                <w:rFonts w:ascii="Arial" w:eastAsia="SimSun" w:hAnsi="Arial" w:cs="Arial"/>
                <w:lang w:val="en-US" w:eastAsia="zh-CN"/>
              </w:rPr>
              <w:t xml:space="preserve"> </w:t>
            </w:r>
            <w:r w:rsidR="00CF651B">
              <w:rPr>
                <w:rFonts w:ascii="Arial" w:eastAsia="SimSun" w:hAnsi="Arial" w:cs="Arial"/>
                <w:lang w:val="en-US" w:eastAsia="zh-CN"/>
              </w:rPr>
              <w:t xml:space="preserve">with technical support from WHO </w:t>
            </w:r>
            <w:r>
              <w:rPr>
                <w:rFonts w:ascii="Arial" w:eastAsia="SimSun" w:hAnsi="Arial" w:cs="Arial"/>
                <w:lang w:val="en-US" w:eastAsia="zh-CN"/>
              </w:rPr>
              <w:t xml:space="preserve">is </w:t>
            </w:r>
            <w:r w:rsidR="006532EF">
              <w:rPr>
                <w:rFonts w:ascii="Arial" w:eastAsia="SimSun" w:hAnsi="Arial" w:cs="Arial"/>
                <w:lang w:val="en-US" w:eastAsia="zh-CN"/>
              </w:rPr>
              <w:t xml:space="preserve">engaged in </w:t>
            </w:r>
            <w:r>
              <w:rPr>
                <w:rFonts w:ascii="Arial" w:eastAsia="SimSun" w:hAnsi="Arial" w:cs="Arial"/>
                <w:lang w:val="en-US" w:eastAsia="zh-CN"/>
              </w:rPr>
              <w:t>strengthening the disaster preparedness and management capacity at national and sub-national levels.</w:t>
            </w:r>
          </w:p>
        </w:tc>
        <w:tc>
          <w:tcPr>
            <w:tcW w:w="1281" w:type="dxa"/>
          </w:tcPr>
          <w:p w14:paraId="6B55C5C5" w14:textId="6A6F4268" w:rsidR="00346119" w:rsidRPr="00077A3F" w:rsidRDefault="0026159D" w:rsidP="00346119">
            <w:pPr>
              <w:spacing w:after="0" w:line="240" w:lineRule="auto"/>
              <w:rPr>
                <w:rFonts w:ascii="Arial" w:eastAsia="SimSun" w:hAnsi="Arial" w:cs="Arial"/>
                <w:lang w:val="en-US" w:eastAsia="zh-CN"/>
              </w:rPr>
            </w:pPr>
            <w:r>
              <w:rPr>
                <w:rFonts w:ascii="Arial" w:eastAsia="SimSun" w:hAnsi="Arial" w:cs="Arial"/>
                <w:lang w:val="en-US" w:eastAsia="zh-CN"/>
              </w:rPr>
              <w:t>2017 onwards</w:t>
            </w:r>
          </w:p>
        </w:tc>
      </w:tr>
      <w:tr w:rsidR="00363A0B" w:rsidRPr="00613665" w14:paraId="4C04D8FF" w14:textId="77777777" w:rsidTr="004311A6">
        <w:trPr>
          <w:gridAfter w:val="1"/>
          <w:wAfter w:w="34" w:type="dxa"/>
          <w:trHeight w:val="558"/>
          <w:jc w:val="center"/>
        </w:trPr>
        <w:tc>
          <w:tcPr>
            <w:tcW w:w="1838" w:type="dxa"/>
          </w:tcPr>
          <w:p w14:paraId="7B88B2CA" w14:textId="77777777" w:rsidR="00445ACB" w:rsidRDefault="00346119" w:rsidP="00346119">
            <w:pPr>
              <w:spacing w:after="0" w:line="240" w:lineRule="auto"/>
              <w:rPr>
                <w:rFonts w:ascii="Arial" w:eastAsia="SimSun" w:hAnsi="Arial" w:cs="Arial"/>
                <w:lang w:val="en-US" w:eastAsia="zh-CN"/>
              </w:rPr>
            </w:pPr>
            <w:r w:rsidRPr="00077A3F">
              <w:rPr>
                <w:rFonts w:ascii="Arial" w:eastAsia="SimSun" w:hAnsi="Arial" w:cs="Arial"/>
                <w:lang w:val="en-US" w:eastAsia="zh-CN"/>
              </w:rPr>
              <w:t>Other</w:t>
            </w:r>
            <w:r w:rsidR="00F16C30">
              <w:rPr>
                <w:rFonts w:ascii="Arial" w:eastAsia="SimSun" w:hAnsi="Arial" w:cs="Arial"/>
                <w:lang w:val="en-US" w:eastAsia="zh-CN"/>
              </w:rPr>
              <w:t>-</w:t>
            </w:r>
          </w:p>
          <w:p w14:paraId="00471127" w14:textId="77E43332" w:rsidR="00346119" w:rsidRPr="00077A3F" w:rsidRDefault="00F16C30" w:rsidP="00346119">
            <w:pPr>
              <w:spacing w:after="0" w:line="240" w:lineRule="auto"/>
              <w:rPr>
                <w:rFonts w:ascii="Arial" w:eastAsia="SimSun" w:hAnsi="Arial" w:cs="Arial"/>
                <w:lang w:val="en-US" w:eastAsia="zh-CN"/>
              </w:rPr>
            </w:pPr>
            <w:r>
              <w:rPr>
                <w:rFonts w:ascii="Arial" w:eastAsia="SimSun" w:hAnsi="Arial" w:cs="Arial"/>
                <w:lang w:val="en-US" w:eastAsia="zh-CN"/>
              </w:rPr>
              <w:t>P</w:t>
            </w:r>
            <w:r w:rsidR="00445ACB">
              <w:rPr>
                <w:rFonts w:ascii="Arial" w:eastAsia="SimSun" w:hAnsi="Arial" w:cs="Arial"/>
                <w:lang w:val="en-US" w:eastAsia="zh-CN"/>
              </w:rPr>
              <w:t>ublic-Private-</w:t>
            </w:r>
            <w:r w:rsidR="00813BD0">
              <w:rPr>
                <w:rFonts w:ascii="Arial" w:eastAsia="SimSun" w:hAnsi="Arial" w:cs="Arial"/>
                <w:lang w:val="en-US" w:eastAsia="zh-CN"/>
              </w:rPr>
              <w:t>Mix (PPM)</w:t>
            </w:r>
          </w:p>
        </w:tc>
        <w:tc>
          <w:tcPr>
            <w:tcW w:w="2207" w:type="dxa"/>
          </w:tcPr>
          <w:p w14:paraId="4169ADEE" w14:textId="12A51F11" w:rsidR="002A3DED" w:rsidRPr="00077A3F" w:rsidRDefault="002A3DED" w:rsidP="002A3DED">
            <w:pPr>
              <w:spacing w:after="0" w:line="240" w:lineRule="auto"/>
              <w:rPr>
                <w:rFonts w:ascii="Arial" w:eastAsia="SimSun" w:hAnsi="Arial" w:cs="Arial"/>
                <w:lang w:val="en-US" w:eastAsia="zh-CN"/>
              </w:rPr>
            </w:pPr>
            <w:r>
              <w:rPr>
                <w:rFonts w:ascii="Arial" w:eastAsia="SimSun" w:hAnsi="Arial" w:cs="Arial"/>
                <w:lang w:val="en-US" w:eastAsia="zh-CN"/>
              </w:rPr>
              <w:t>Weak enforcement of government regulations on the private health sector; low TB notification rate (</w:t>
            </w:r>
            <w:r w:rsidRPr="00077A3F">
              <w:rPr>
                <w:rFonts w:ascii="Arial" w:eastAsia="SimSun" w:hAnsi="Arial" w:cs="Arial"/>
                <w:lang w:val="en-US" w:eastAsia="zh-CN"/>
              </w:rPr>
              <w:t>18%</w:t>
            </w:r>
            <w:r>
              <w:rPr>
                <w:rFonts w:ascii="Arial" w:eastAsia="SimSun" w:hAnsi="Arial" w:cs="Arial"/>
                <w:lang w:val="en-US" w:eastAsia="zh-CN"/>
              </w:rPr>
              <w:t xml:space="preserve">) </w:t>
            </w:r>
            <w:r w:rsidR="00346119">
              <w:rPr>
                <w:rFonts w:ascii="Arial" w:eastAsia="SimSun" w:hAnsi="Arial" w:cs="Arial"/>
                <w:lang w:val="en-US" w:eastAsia="zh-CN"/>
              </w:rPr>
              <w:t>from</w:t>
            </w:r>
            <w:r w:rsidR="00346119" w:rsidRPr="00077A3F">
              <w:rPr>
                <w:rFonts w:ascii="Arial" w:eastAsia="SimSun" w:hAnsi="Arial" w:cs="Arial"/>
                <w:lang w:val="en-US" w:eastAsia="zh-CN"/>
              </w:rPr>
              <w:t xml:space="preserve"> private health sector</w:t>
            </w:r>
          </w:p>
        </w:tc>
        <w:tc>
          <w:tcPr>
            <w:tcW w:w="3600" w:type="dxa"/>
          </w:tcPr>
          <w:p w14:paraId="0E42561D" w14:textId="32C48718" w:rsidR="00346119" w:rsidRPr="00077A3F" w:rsidRDefault="00F4068D" w:rsidP="00346119">
            <w:pPr>
              <w:spacing w:after="0" w:line="240" w:lineRule="auto"/>
              <w:rPr>
                <w:rFonts w:ascii="Arial" w:eastAsia="SimSun" w:hAnsi="Arial" w:cs="Arial"/>
                <w:lang w:val="en-US" w:eastAsia="zh-CN"/>
              </w:rPr>
            </w:pPr>
            <w:proofErr w:type="spellStart"/>
            <w:r>
              <w:rPr>
                <w:rFonts w:ascii="Arial" w:eastAsia="SimSun" w:hAnsi="Arial" w:cs="Arial"/>
                <w:lang w:val="en-US" w:eastAsia="zh-CN"/>
              </w:rPr>
              <w:t>GoN</w:t>
            </w:r>
            <w:proofErr w:type="spellEnd"/>
            <w:r w:rsidR="00346119" w:rsidRPr="00077A3F">
              <w:rPr>
                <w:rFonts w:ascii="Arial" w:eastAsia="SimSun" w:hAnsi="Arial" w:cs="Arial"/>
                <w:lang w:val="en-US" w:eastAsia="zh-CN"/>
              </w:rPr>
              <w:t xml:space="preserve"> </w:t>
            </w:r>
            <w:r w:rsidR="00E11095">
              <w:rPr>
                <w:rFonts w:ascii="Arial" w:eastAsia="SimSun" w:hAnsi="Arial" w:cs="Arial"/>
                <w:lang w:val="en-US" w:eastAsia="zh-CN"/>
              </w:rPr>
              <w:t>would</w:t>
            </w:r>
            <w:r w:rsidR="00346119" w:rsidRPr="00077A3F">
              <w:rPr>
                <w:rFonts w:ascii="Arial" w:eastAsia="SimSun" w:hAnsi="Arial" w:cs="Arial"/>
                <w:lang w:val="en-US" w:eastAsia="zh-CN"/>
              </w:rPr>
              <w:t xml:space="preserve"> approve the TB Act under the new Health Policy </w:t>
            </w:r>
            <w:r w:rsidR="00346119">
              <w:rPr>
                <w:rFonts w:ascii="Arial" w:eastAsia="SimSun" w:hAnsi="Arial" w:cs="Arial"/>
                <w:lang w:val="en-US" w:eastAsia="zh-CN"/>
              </w:rPr>
              <w:t xml:space="preserve">and </w:t>
            </w:r>
            <w:r w:rsidR="00346119" w:rsidRPr="00077A3F">
              <w:rPr>
                <w:rFonts w:ascii="Arial" w:eastAsia="SimSun" w:hAnsi="Arial" w:cs="Arial"/>
                <w:lang w:val="en-US" w:eastAsia="zh-CN"/>
              </w:rPr>
              <w:t xml:space="preserve">enforce </w:t>
            </w:r>
            <w:r w:rsidR="00346119">
              <w:rPr>
                <w:rFonts w:ascii="Arial" w:eastAsia="SimSun" w:hAnsi="Arial" w:cs="Arial"/>
                <w:lang w:val="en-US" w:eastAsia="zh-CN"/>
              </w:rPr>
              <w:t xml:space="preserve">mandatory </w:t>
            </w:r>
            <w:r w:rsidR="00346119" w:rsidRPr="00077A3F">
              <w:rPr>
                <w:rFonts w:ascii="Arial" w:eastAsia="SimSun" w:hAnsi="Arial" w:cs="Arial"/>
                <w:lang w:val="en-US" w:eastAsia="zh-CN"/>
              </w:rPr>
              <w:t xml:space="preserve">notification of TB from </w:t>
            </w:r>
            <w:r w:rsidR="00346119">
              <w:rPr>
                <w:rFonts w:ascii="Arial" w:eastAsia="SimSun" w:hAnsi="Arial" w:cs="Arial"/>
                <w:lang w:val="en-US" w:eastAsia="zh-CN"/>
              </w:rPr>
              <w:t xml:space="preserve">the </w:t>
            </w:r>
            <w:r w:rsidR="00346119" w:rsidRPr="00077A3F">
              <w:rPr>
                <w:rFonts w:ascii="Arial" w:eastAsia="SimSun" w:hAnsi="Arial" w:cs="Arial"/>
                <w:lang w:val="en-US" w:eastAsia="zh-CN"/>
              </w:rPr>
              <w:t>private health sector</w:t>
            </w:r>
            <w:r w:rsidR="00C22D57">
              <w:rPr>
                <w:rFonts w:ascii="Arial" w:eastAsia="SimSun" w:hAnsi="Arial" w:cs="Arial"/>
                <w:lang w:val="en-US" w:eastAsia="zh-CN"/>
              </w:rPr>
              <w:t xml:space="preserve">; </w:t>
            </w:r>
            <w:r w:rsidR="001B5774">
              <w:rPr>
                <w:rFonts w:ascii="Arial" w:eastAsia="SimSun" w:hAnsi="Arial" w:cs="Arial"/>
                <w:lang w:val="en-US" w:eastAsia="zh-CN"/>
              </w:rPr>
              <w:t>PPM</w:t>
            </w:r>
            <w:r w:rsidR="004F4039">
              <w:rPr>
                <w:rFonts w:ascii="Arial" w:eastAsia="SimSun" w:hAnsi="Arial" w:cs="Arial"/>
                <w:lang w:val="en-US" w:eastAsia="zh-CN"/>
              </w:rPr>
              <w:t xml:space="preserve"> guidelines </w:t>
            </w:r>
            <w:r>
              <w:rPr>
                <w:rFonts w:ascii="Arial" w:eastAsia="SimSun" w:hAnsi="Arial" w:cs="Arial"/>
                <w:lang w:val="en-US" w:eastAsia="zh-CN"/>
              </w:rPr>
              <w:t xml:space="preserve">will be </w:t>
            </w:r>
            <w:r w:rsidR="004F4039">
              <w:rPr>
                <w:rFonts w:ascii="Arial" w:eastAsia="SimSun" w:hAnsi="Arial" w:cs="Arial"/>
                <w:lang w:val="en-US" w:eastAsia="zh-CN"/>
              </w:rPr>
              <w:t>approved and implementation</w:t>
            </w:r>
            <w:r w:rsidR="001B5774">
              <w:rPr>
                <w:rFonts w:ascii="Arial" w:eastAsia="SimSun" w:hAnsi="Arial" w:cs="Arial"/>
                <w:lang w:val="en-US" w:eastAsia="zh-CN"/>
              </w:rPr>
              <w:t xml:space="preserve"> initiated</w:t>
            </w:r>
            <w:r w:rsidR="004F4039">
              <w:rPr>
                <w:rFonts w:ascii="Arial" w:eastAsia="SimSun" w:hAnsi="Arial" w:cs="Arial"/>
                <w:lang w:val="en-US" w:eastAsia="zh-CN"/>
              </w:rPr>
              <w:t>.</w:t>
            </w:r>
          </w:p>
        </w:tc>
        <w:tc>
          <w:tcPr>
            <w:tcW w:w="1281" w:type="dxa"/>
          </w:tcPr>
          <w:p w14:paraId="21EE3F73" w14:textId="3C69BFCF" w:rsidR="00346119" w:rsidRPr="00077A3F" w:rsidRDefault="00A25DAB" w:rsidP="00346119">
            <w:pPr>
              <w:spacing w:after="0" w:line="240" w:lineRule="auto"/>
              <w:rPr>
                <w:rFonts w:ascii="Arial" w:eastAsia="SimSun" w:hAnsi="Arial" w:cs="Arial"/>
                <w:lang w:val="en-US" w:eastAsia="zh-CN"/>
              </w:rPr>
            </w:pPr>
            <w:r>
              <w:rPr>
                <w:rFonts w:ascii="Arial" w:eastAsia="SimSun" w:hAnsi="Arial" w:cs="Arial"/>
                <w:lang w:val="en-US" w:eastAsia="zh-CN"/>
              </w:rPr>
              <w:t>2017-2018</w:t>
            </w:r>
          </w:p>
        </w:tc>
      </w:tr>
      <w:tr w:rsidR="00346119" w:rsidRPr="00D57C02" w14:paraId="10766306" w14:textId="77777777" w:rsidTr="00FE411C">
        <w:trPr>
          <w:gridAfter w:val="1"/>
          <w:wAfter w:w="34" w:type="dxa"/>
          <w:trHeight w:val="351"/>
          <w:jc w:val="center"/>
        </w:trPr>
        <w:tc>
          <w:tcPr>
            <w:tcW w:w="8926" w:type="dxa"/>
            <w:gridSpan w:val="4"/>
          </w:tcPr>
          <w:p w14:paraId="78EBFDD9" w14:textId="0A30633F" w:rsidR="00346119" w:rsidRPr="00D57C02" w:rsidRDefault="00346119" w:rsidP="00346119">
            <w:pPr>
              <w:spacing w:before="120" w:after="120" w:line="240" w:lineRule="auto"/>
              <w:rPr>
                <w:rFonts w:ascii="Arial" w:eastAsia="SimSun" w:hAnsi="Arial" w:cs="Arial"/>
                <w:sz w:val="20"/>
                <w:szCs w:val="20"/>
                <w:lang w:val="en-US" w:eastAsia="zh-CN"/>
              </w:rPr>
            </w:pPr>
            <w:r w:rsidRPr="00D57C02">
              <w:rPr>
                <w:rFonts w:ascii="Arial" w:eastAsia="Calibri" w:hAnsi="Arial" w:cs="Arial"/>
                <w:bCs/>
                <w:i/>
                <w:iCs/>
                <w:sz w:val="20"/>
                <w:szCs w:val="20"/>
                <w:lang w:val="en-US"/>
              </w:rPr>
              <w:t>Add rows for additional key risks as necessary</w:t>
            </w:r>
          </w:p>
        </w:tc>
      </w:tr>
    </w:tbl>
    <w:p w14:paraId="66B5F441" w14:textId="3710F164" w:rsidR="00B75016" w:rsidRDefault="00B75016" w:rsidP="00E21FC2">
      <w:pPr>
        <w:jc w:val="center"/>
        <w:rPr>
          <w:rFonts w:ascii="Arial" w:hAnsi="Arial" w:cs="Arial"/>
          <w:sz w:val="20"/>
          <w:szCs w:val="20"/>
        </w:rPr>
      </w:pPr>
    </w:p>
    <w:p w14:paraId="1488EE73" w14:textId="77777777" w:rsidR="008F13F5" w:rsidRDefault="008F13F5" w:rsidP="00E21FC2">
      <w:pPr>
        <w:jc w:val="center"/>
        <w:rPr>
          <w:rFonts w:ascii="Arial" w:hAnsi="Arial" w:cs="Arial"/>
          <w:sz w:val="20"/>
          <w:szCs w:val="20"/>
        </w:rPr>
        <w:sectPr w:rsidR="008F13F5" w:rsidSect="009E6D97">
          <w:pgSz w:w="11906" w:h="16838"/>
          <w:pgMar w:top="1440" w:right="1440" w:bottom="1440" w:left="1440" w:header="706" w:footer="706" w:gutter="0"/>
          <w:cols w:space="708"/>
          <w:docGrid w:linePitch="360"/>
        </w:sect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926"/>
      </w:tblGrid>
      <w:tr w:rsidR="0058162E" w:rsidRPr="0058162E" w14:paraId="5D0B8B52" w14:textId="77777777" w:rsidTr="00FE411C">
        <w:trPr>
          <w:trHeight w:val="409"/>
          <w:jc w:val="center"/>
        </w:trPr>
        <w:tc>
          <w:tcPr>
            <w:tcW w:w="8926" w:type="dxa"/>
            <w:shd w:val="clear" w:color="auto" w:fill="1F497D"/>
            <w:vAlign w:val="center"/>
          </w:tcPr>
          <w:p w14:paraId="5D0B8B51" w14:textId="5953277E" w:rsidR="00FC77AC" w:rsidRPr="0058162E" w:rsidRDefault="00FE411C" w:rsidP="00E73F26">
            <w:pPr>
              <w:pStyle w:val="Heading2"/>
              <w:rPr>
                <w:rFonts w:ascii="Arial" w:eastAsia="Calibri" w:hAnsi="Arial" w:cs="Arial"/>
                <w:b/>
                <w:bCs/>
                <w:color w:val="FFFFFF" w:themeColor="background1"/>
                <w:sz w:val="22"/>
                <w:szCs w:val="22"/>
                <w:lang w:val="en-US"/>
              </w:rPr>
            </w:pPr>
            <w:r w:rsidRPr="0058162E">
              <w:rPr>
                <w:rFonts w:ascii="Arial" w:hAnsi="Arial" w:cs="Arial"/>
                <w:b/>
                <w:color w:val="FFFFFF" w:themeColor="background1"/>
                <w:sz w:val="22"/>
                <w:szCs w:val="22"/>
              </w:rPr>
              <w:lastRenderedPageBreak/>
              <w:br w:type="page"/>
            </w:r>
            <w:r w:rsidR="007011B2" w:rsidRPr="0058162E">
              <w:rPr>
                <w:rFonts w:ascii="Arial" w:hAnsi="Arial" w:cs="Arial"/>
                <w:b/>
                <w:color w:val="FFFFFF" w:themeColor="background1"/>
                <w:sz w:val="22"/>
                <w:szCs w:val="22"/>
              </w:rPr>
              <w:t>S</w:t>
            </w:r>
            <w:r w:rsidR="00FC77AC" w:rsidRPr="0058162E">
              <w:rPr>
                <w:rFonts w:ascii="Arial" w:eastAsia="SimSun" w:hAnsi="Arial" w:cs="Arial"/>
                <w:b/>
                <w:color w:val="FFFFFF" w:themeColor="background1"/>
                <w:sz w:val="22"/>
                <w:szCs w:val="22"/>
                <w:lang w:val="en-US" w:eastAsia="zh-CN"/>
              </w:rPr>
              <w:t>ECTION 4: FUNDING LANDSCAPE, CO-FINANCING AND SUSTAINABILITY</w:t>
            </w:r>
          </w:p>
        </w:tc>
      </w:tr>
      <w:tr w:rsidR="00FC77AC" w:rsidRPr="00D57C02" w14:paraId="5D0B8B56" w14:textId="77777777" w:rsidTr="00FE411C">
        <w:trPr>
          <w:trHeight w:val="1272"/>
          <w:jc w:val="center"/>
        </w:trPr>
        <w:tc>
          <w:tcPr>
            <w:tcW w:w="8926" w:type="dxa"/>
            <w:shd w:val="clear" w:color="auto" w:fill="F2F2F2" w:themeFill="background1" w:themeFillShade="F2"/>
            <w:vAlign w:val="center"/>
          </w:tcPr>
          <w:p w14:paraId="5D0B8B55" w14:textId="5CD2C64C" w:rsidR="00FC77AC" w:rsidRPr="00D57C02" w:rsidRDefault="00972638" w:rsidP="005614E5">
            <w:pPr>
              <w:spacing w:after="0" w:line="240" w:lineRule="auto"/>
              <w:jc w:val="both"/>
              <w:rPr>
                <w:rFonts w:ascii="Arial" w:eastAsia="Calibri" w:hAnsi="Arial" w:cs="Arial"/>
                <w:bCs/>
                <w:iCs/>
                <w:sz w:val="20"/>
                <w:szCs w:val="20"/>
                <w:lang w:val="en-US"/>
              </w:rPr>
            </w:pPr>
            <w:r w:rsidRPr="00D57C02">
              <w:rPr>
                <w:rFonts w:ascii="Arial" w:eastAsia="Calibri" w:hAnsi="Arial" w:cs="Arial"/>
                <w:bCs/>
                <w:iCs/>
                <w:sz w:val="20"/>
                <w:szCs w:val="20"/>
                <w:lang w:val="en-US"/>
              </w:rPr>
              <w:t xml:space="preserve">This section details trends in overall health financing, government commitments to co-financing, and key plans for sustainability. </w:t>
            </w:r>
            <w:r w:rsidR="0020041F" w:rsidRPr="00D57C02">
              <w:rPr>
                <w:rFonts w:ascii="Arial" w:eastAsia="Calibri" w:hAnsi="Arial" w:cs="Arial"/>
                <w:sz w:val="20"/>
                <w:szCs w:val="20"/>
                <w:lang w:val="en-US"/>
              </w:rPr>
              <w:t>R</w:t>
            </w:r>
            <w:r w:rsidR="00A676C4" w:rsidRPr="00D57C02">
              <w:rPr>
                <w:rFonts w:ascii="Arial" w:eastAsia="Calibri" w:hAnsi="Arial" w:cs="Arial"/>
                <w:sz w:val="20"/>
                <w:szCs w:val="20"/>
                <w:lang w:val="en-US"/>
              </w:rPr>
              <w:t>efer</w:t>
            </w:r>
            <w:r w:rsidR="00A676C4" w:rsidRPr="00D57C02">
              <w:rPr>
                <w:rFonts w:ascii="Arial" w:eastAsia="Calibri" w:hAnsi="Arial" w:cs="Arial"/>
                <w:bCs/>
                <w:iCs/>
                <w:sz w:val="20"/>
                <w:szCs w:val="20"/>
                <w:lang w:val="en-US"/>
              </w:rPr>
              <w:t xml:space="preserve"> </w:t>
            </w:r>
            <w:r w:rsidR="00996FDF" w:rsidRPr="00D57C02">
              <w:rPr>
                <w:rFonts w:ascii="Arial" w:eastAsia="Calibri" w:hAnsi="Arial" w:cs="Arial"/>
                <w:bCs/>
                <w:iCs/>
                <w:sz w:val="20"/>
                <w:szCs w:val="20"/>
                <w:lang w:val="en-US"/>
              </w:rPr>
              <w:t>to</w:t>
            </w:r>
            <w:r w:rsidR="00A676C4" w:rsidRPr="00D57C02">
              <w:rPr>
                <w:rFonts w:ascii="Arial" w:eastAsia="Calibri" w:hAnsi="Arial" w:cs="Arial"/>
                <w:sz w:val="20"/>
                <w:szCs w:val="20"/>
                <w:lang w:val="en-US"/>
              </w:rPr>
              <w:t xml:space="preserve"> </w:t>
            </w:r>
            <w:r w:rsidR="00FC77AC" w:rsidRPr="00D57C02">
              <w:rPr>
                <w:rFonts w:ascii="Arial" w:eastAsia="Calibri" w:hAnsi="Arial" w:cs="Arial"/>
                <w:sz w:val="20"/>
                <w:szCs w:val="20"/>
                <w:lang w:val="en-US"/>
              </w:rPr>
              <w:t>the</w:t>
            </w:r>
            <w:r w:rsidR="00FC77AC" w:rsidRPr="00D57C02">
              <w:rPr>
                <w:rFonts w:ascii="Arial" w:eastAsia="Calibri" w:hAnsi="Arial" w:cs="Arial"/>
                <w:b/>
                <w:bCs/>
                <w:iCs/>
                <w:sz w:val="20"/>
                <w:szCs w:val="20"/>
                <w:lang w:val="en-US"/>
              </w:rPr>
              <w:t xml:space="preserve"> Funding Landscape Table</w:t>
            </w:r>
            <w:r w:rsidR="00B72573" w:rsidRPr="00D57C02">
              <w:rPr>
                <w:rFonts w:ascii="Arial" w:eastAsia="Calibri" w:hAnsi="Arial" w:cs="Arial"/>
                <w:b/>
                <w:bCs/>
                <w:iCs/>
                <w:sz w:val="20"/>
                <w:szCs w:val="20"/>
                <w:lang w:val="en-US"/>
              </w:rPr>
              <w:t>(s)</w:t>
            </w:r>
            <w:r w:rsidR="008F0B4F" w:rsidRPr="00D57C02">
              <w:rPr>
                <w:rFonts w:ascii="Arial" w:eastAsia="Calibri" w:hAnsi="Arial" w:cs="Arial"/>
                <w:b/>
                <w:bCs/>
                <w:iCs/>
                <w:sz w:val="20"/>
                <w:szCs w:val="20"/>
                <w:lang w:val="en-US"/>
              </w:rPr>
              <w:t xml:space="preserve"> </w:t>
            </w:r>
            <w:r w:rsidR="008F0B4F" w:rsidRPr="00D57C02">
              <w:rPr>
                <w:rFonts w:ascii="Arial" w:eastAsia="Calibri" w:hAnsi="Arial" w:cs="Arial"/>
                <w:bCs/>
                <w:iCs/>
                <w:sz w:val="20"/>
                <w:szCs w:val="20"/>
                <w:lang w:val="en-US"/>
              </w:rPr>
              <w:t xml:space="preserve">and supporting </w:t>
            </w:r>
            <w:r w:rsidR="001F2969" w:rsidRPr="00D57C02">
              <w:rPr>
                <w:rFonts w:ascii="Arial" w:eastAsia="Calibri" w:hAnsi="Arial" w:cs="Arial"/>
                <w:bCs/>
                <w:iCs/>
                <w:sz w:val="20"/>
                <w:szCs w:val="20"/>
                <w:lang w:val="en-US"/>
              </w:rPr>
              <w:t>documents as applicable</w:t>
            </w:r>
            <w:r w:rsidR="00FC77AC" w:rsidRPr="00D57C02">
              <w:rPr>
                <w:rFonts w:ascii="Arial" w:eastAsia="Calibri" w:hAnsi="Arial" w:cs="Arial"/>
                <w:bCs/>
                <w:iCs/>
                <w:sz w:val="20"/>
                <w:szCs w:val="20"/>
                <w:lang w:val="en-US"/>
              </w:rPr>
              <w:t>.</w:t>
            </w:r>
            <w:r w:rsidR="00996FDF" w:rsidRPr="00D57C02">
              <w:rPr>
                <w:rFonts w:ascii="Arial" w:eastAsia="Calibri" w:hAnsi="Arial" w:cs="Arial"/>
                <w:bCs/>
                <w:iCs/>
                <w:sz w:val="20"/>
                <w:szCs w:val="20"/>
                <w:lang w:val="en-US"/>
              </w:rPr>
              <w:t xml:space="preserve"> </w:t>
            </w:r>
            <w:r w:rsidR="001F2969" w:rsidRPr="00D57C02">
              <w:rPr>
                <w:rFonts w:ascii="Arial" w:eastAsia="Calibri" w:hAnsi="Arial" w:cs="Arial"/>
                <w:bCs/>
                <w:iCs/>
                <w:sz w:val="20"/>
                <w:szCs w:val="20"/>
                <w:lang w:val="en-US"/>
              </w:rPr>
              <w:t xml:space="preserve">To respond, refer to </w:t>
            </w:r>
            <w:r w:rsidR="006E048B" w:rsidRPr="00D57C02">
              <w:rPr>
                <w:rFonts w:ascii="Arial" w:eastAsia="Calibri" w:hAnsi="Arial" w:cs="Arial"/>
                <w:sz w:val="20"/>
                <w:szCs w:val="20"/>
                <w:lang w:val="en-US"/>
              </w:rPr>
              <w:t>additional</w:t>
            </w:r>
            <w:r w:rsidR="006E048B" w:rsidRPr="00D57C02">
              <w:rPr>
                <w:rFonts w:ascii="Arial" w:eastAsia="Calibri" w:hAnsi="Arial" w:cs="Arial"/>
                <w:bCs/>
                <w:iCs/>
                <w:sz w:val="20"/>
                <w:szCs w:val="20"/>
                <w:lang w:val="en-US"/>
              </w:rPr>
              <w:t xml:space="preserve"> </w:t>
            </w:r>
            <w:r w:rsidR="00761057" w:rsidRPr="00D57C02">
              <w:rPr>
                <w:rFonts w:ascii="Arial" w:eastAsia="Calibri" w:hAnsi="Arial" w:cs="Arial"/>
                <w:bCs/>
                <w:iCs/>
                <w:sz w:val="20"/>
                <w:szCs w:val="20"/>
                <w:lang w:val="en-US"/>
              </w:rPr>
              <w:t xml:space="preserve">guidance </w:t>
            </w:r>
            <w:r w:rsidR="00B72573" w:rsidRPr="00D57C02">
              <w:rPr>
                <w:rFonts w:ascii="Arial" w:eastAsia="Calibri" w:hAnsi="Arial" w:cs="Arial"/>
                <w:bCs/>
                <w:iCs/>
                <w:sz w:val="20"/>
                <w:szCs w:val="20"/>
                <w:lang w:val="en-US"/>
              </w:rPr>
              <w:t xml:space="preserve">provided </w:t>
            </w:r>
            <w:r w:rsidR="00761057" w:rsidRPr="00D57C02">
              <w:rPr>
                <w:rFonts w:ascii="Arial" w:eastAsia="Calibri" w:hAnsi="Arial" w:cs="Arial"/>
                <w:bCs/>
                <w:iCs/>
                <w:sz w:val="20"/>
                <w:szCs w:val="20"/>
                <w:lang w:val="en-US"/>
              </w:rPr>
              <w:t xml:space="preserve">in the </w:t>
            </w:r>
            <w:r w:rsidR="0020041F" w:rsidRPr="00D57C02">
              <w:rPr>
                <w:rFonts w:ascii="Arial" w:hAnsi="Arial" w:cs="Arial"/>
                <w:bCs/>
                <w:i/>
                <w:iCs/>
                <w:sz w:val="20"/>
                <w:szCs w:val="20"/>
              </w:rPr>
              <w:t>Instructions</w:t>
            </w:r>
            <w:r w:rsidR="00485F5B" w:rsidRPr="00D57C02">
              <w:rPr>
                <w:rFonts w:ascii="Arial" w:hAnsi="Arial" w:cs="Arial"/>
                <w:bCs/>
                <w:i/>
                <w:iCs/>
                <w:sz w:val="20"/>
                <w:szCs w:val="20"/>
              </w:rPr>
              <w:t>.</w:t>
            </w:r>
          </w:p>
        </w:tc>
      </w:tr>
    </w:tbl>
    <w:p w14:paraId="5D0B8B57" w14:textId="77777777" w:rsidR="00FC77AC" w:rsidRPr="00D57C02" w:rsidRDefault="00FC77AC">
      <w:pPr>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42" w:type="dxa"/>
          <w:right w:w="142" w:type="dxa"/>
        </w:tblCellMar>
        <w:tblLook w:val="01E0" w:firstRow="1" w:lastRow="1" w:firstColumn="1" w:lastColumn="1" w:noHBand="0" w:noVBand="0"/>
      </w:tblPr>
      <w:tblGrid>
        <w:gridCol w:w="6796"/>
        <w:gridCol w:w="2096"/>
      </w:tblGrid>
      <w:tr w:rsidR="00FC77AC" w:rsidRPr="00D57C02" w14:paraId="5D0B8B59" w14:textId="77777777" w:rsidTr="00FE411C">
        <w:trPr>
          <w:trHeight w:val="256"/>
          <w:jc w:val="center"/>
        </w:trPr>
        <w:tc>
          <w:tcPr>
            <w:tcW w:w="8892" w:type="dxa"/>
            <w:gridSpan w:val="2"/>
            <w:shd w:val="clear" w:color="auto" w:fill="C6D9F1"/>
            <w:vAlign w:val="center"/>
          </w:tcPr>
          <w:p w14:paraId="5D0B8B58" w14:textId="77777777" w:rsidR="00FC77AC" w:rsidRPr="00D57C02" w:rsidRDefault="00FC77AC" w:rsidP="00FC77AC">
            <w:pPr>
              <w:spacing w:before="120" w:after="120" w:line="240" w:lineRule="auto"/>
              <w:jc w:val="both"/>
              <w:rPr>
                <w:rFonts w:ascii="Arial" w:eastAsia="SimSun" w:hAnsi="Arial" w:cs="Arial"/>
                <w:b/>
                <w:sz w:val="20"/>
                <w:szCs w:val="20"/>
                <w:lang w:val="en-US" w:eastAsia="zh-CN"/>
              </w:rPr>
            </w:pPr>
            <w:r w:rsidRPr="00D57C02">
              <w:rPr>
                <w:rFonts w:ascii="Arial" w:eastAsia="SimSun" w:hAnsi="Arial" w:cs="Arial"/>
                <w:b/>
                <w:sz w:val="20"/>
                <w:szCs w:val="20"/>
                <w:lang w:val="en-US" w:eastAsia="zh-CN"/>
              </w:rPr>
              <w:t xml:space="preserve">4.1 Funding Landscape and Co-financing </w:t>
            </w:r>
          </w:p>
        </w:tc>
      </w:tr>
      <w:tr w:rsidR="00FC77AC" w:rsidRPr="00D57C02" w14:paraId="5D0B8B5C" w14:textId="77777777" w:rsidTr="00FE411C">
        <w:trPr>
          <w:trHeight w:val="423"/>
          <w:jc w:val="center"/>
        </w:trPr>
        <w:tc>
          <w:tcPr>
            <w:tcW w:w="6796" w:type="dxa"/>
            <w:shd w:val="clear" w:color="auto" w:fill="F2F2F2" w:themeFill="background1" w:themeFillShade="F2"/>
            <w:vAlign w:val="center"/>
          </w:tcPr>
          <w:p w14:paraId="5D0B8B5A" w14:textId="65D621AE" w:rsidR="00FC77AC" w:rsidRPr="00D57C02" w:rsidRDefault="00FC77AC" w:rsidP="007D5FAE">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D57C02">
              <w:rPr>
                <w:rFonts w:ascii="Arial" w:eastAsia="SimSun" w:hAnsi="Arial" w:cs="Arial"/>
                <w:sz w:val="20"/>
                <w:szCs w:val="20"/>
                <w:lang w:val="en-US" w:eastAsia="zh-CN"/>
              </w:rPr>
              <w:t xml:space="preserve">Are there </w:t>
            </w:r>
            <w:r w:rsidR="003457BF" w:rsidRPr="00D57C02">
              <w:rPr>
                <w:rFonts w:ascii="Arial" w:eastAsia="SimSun" w:hAnsi="Arial" w:cs="Arial"/>
                <w:sz w:val="20"/>
                <w:szCs w:val="20"/>
                <w:lang w:val="en-US" w:eastAsia="zh-CN"/>
              </w:rPr>
              <w:t xml:space="preserve">any </w:t>
            </w:r>
            <w:r w:rsidRPr="00D57C02">
              <w:rPr>
                <w:rFonts w:ascii="Arial" w:eastAsia="Calibri" w:hAnsi="Arial" w:cs="Arial"/>
                <w:sz w:val="20"/>
                <w:szCs w:val="20"/>
                <w:lang w:val="en-US"/>
              </w:rPr>
              <w:t>current and</w:t>
            </w:r>
            <w:r w:rsidR="003457BF" w:rsidRPr="00D57C02">
              <w:rPr>
                <w:rFonts w:ascii="Arial" w:eastAsia="Calibri" w:hAnsi="Arial" w:cs="Arial"/>
                <w:sz w:val="20"/>
                <w:szCs w:val="20"/>
                <w:lang w:val="en-US"/>
              </w:rPr>
              <w:t>/or</w:t>
            </w:r>
            <w:r w:rsidRPr="00D57C02">
              <w:rPr>
                <w:rFonts w:ascii="Arial" w:eastAsia="Calibri" w:hAnsi="Arial" w:cs="Arial"/>
                <w:sz w:val="20"/>
                <w:szCs w:val="20"/>
                <w:lang w:val="en-US"/>
              </w:rPr>
              <w:t xml:space="preserve"> planned actions</w:t>
            </w:r>
            <w:r w:rsidR="003457BF" w:rsidRPr="00D57C02">
              <w:rPr>
                <w:rFonts w:ascii="Arial" w:eastAsia="Calibri" w:hAnsi="Arial" w:cs="Arial"/>
                <w:sz w:val="20"/>
                <w:szCs w:val="20"/>
                <w:lang w:val="en-US"/>
              </w:rPr>
              <w:t xml:space="preserve"> or </w:t>
            </w:r>
            <w:r w:rsidRPr="00D57C02">
              <w:rPr>
                <w:rFonts w:ascii="Arial" w:eastAsia="Calibri" w:hAnsi="Arial" w:cs="Arial"/>
                <w:sz w:val="20"/>
                <w:szCs w:val="20"/>
                <w:lang w:val="en-US"/>
              </w:rPr>
              <w:t>reforms to increase domestic resources for health</w:t>
            </w:r>
            <w:r w:rsidR="003E27D3" w:rsidRPr="00D57C02">
              <w:rPr>
                <w:rFonts w:ascii="Arial" w:eastAsia="Calibri" w:hAnsi="Arial" w:cs="Arial"/>
                <w:sz w:val="20"/>
                <w:szCs w:val="20"/>
                <w:lang w:val="en-US"/>
              </w:rPr>
              <w:t xml:space="preserve"> </w:t>
            </w:r>
            <w:r w:rsidR="003E27D3" w:rsidRPr="00D57C02">
              <w:rPr>
                <w:rFonts w:ascii="Arial" w:hAnsi="Arial" w:cs="Arial"/>
                <w:sz w:val="20"/>
                <w:szCs w:val="20"/>
              </w:rPr>
              <w:t>as well as to enable greater efficiency and effectiveness of health spending</w:t>
            </w:r>
            <w:r w:rsidRPr="00D57C02">
              <w:rPr>
                <w:rFonts w:ascii="Arial" w:eastAsia="Calibri" w:hAnsi="Arial" w:cs="Arial"/>
                <w:sz w:val="20"/>
                <w:szCs w:val="20"/>
                <w:lang w:val="en-US"/>
              </w:rPr>
              <w:t>?</w:t>
            </w:r>
            <w:r w:rsidR="008F0B4F" w:rsidRPr="00D57C02">
              <w:rPr>
                <w:rFonts w:ascii="Arial" w:eastAsia="Calibri" w:hAnsi="Arial" w:cs="Arial"/>
                <w:sz w:val="20"/>
                <w:szCs w:val="20"/>
                <w:lang w:val="en-US"/>
              </w:rPr>
              <w:t xml:space="preserve"> </w:t>
            </w:r>
            <w:r w:rsidR="008F0B4F" w:rsidRPr="00D57C02">
              <w:rPr>
                <w:rFonts w:ascii="Arial" w:eastAsia="Calibri" w:hAnsi="Arial" w:cs="Arial"/>
                <w:b/>
                <w:sz w:val="20"/>
                <w:szCs w:val="20"/>
                <w:lang w:val="en-US"/>
              </w:rPr>
              <w:t xml:space="preserve">If yes, </w:t>
            </w:r>
            <w:r w:rsidR="008F0B4F" w:rsidRPr="00D57C02">
              <w:rPr>
                <w:rFonts w:ascii="Arial" w:eastAsia="Calibri" w:hAnsi="Arial" w:cs="Arial"/>
                <w:sz w:val="20"/>
                <w:szCs w:val="20"/>
                <w:lang w:val="en-US"/>
              </w:rPr>
              <w:t xml:space="preserve">provide details below. </w:t>
            </w:r>
          </w:p>
        </w:tc>
        <w:tc>
          <w:tcPr>
            <w:tcW w:w="2096" w:type="dxa"/>
            <w:shd w:val="clear" w:color="auto" w:fill="auto"/>
            <w:vAlign w:val="center"/>
          </w:tcPr>
          <w:p w14:paraId="5D0B8B5B" w14:textId="110B6D99" w:rsidR="00FC77AC" w:rsidRPr="00D57C02" w:rsidRDefault="00EB1D26" w:rsidP="00FC77AC">
            <w:pPr>
              <w:spacing w:before="120" w:after="120" w:line="240" w:lineRule="auto"/>
              <w:jc w:val="both"/>
              <w:rPr>
                <w:rFonts w:ascii="Arial" w:eastAsia="SimSun" w:hAnsi="Arial" w:cs="Arial"/>
                <w:b/>
                <w:sz w:val="20"/>
                <w:szCs w:val="20"/>
                <w:lang w:val="en-US" w:eastAsia="zh-CN"/>
              </w:rPr>
            </w:pPr>
            <w:sdt>
              <w:sdtPr>
                <w:rPr>
                  <w:rFonts w:ascii="Arial" w:eastAsia="Calibri" w:hAnsi="Arial" w:cs="Arial"/>
                  <w:bCs/>
                  <w:iCs/>
                  <w:sz w:val="20"/>
                  <w:szCs w:val="20"/>
                  <w:lang w:val="en-US"/>
                </w:rPr>
                <w:id w:val="-824042536"/>
                <w14:checkbox>
                  <w14:checked w14:val="1"/>
                  <w14:checkedState w14:val="2612" w14:font="MS Gothic"/>
                  <w14:uncheckedState w14:val="2610" w14:font="MS Gothic"/>
                </w14:checkbox>
              </w:sdtPr>
              <w:sdtEndPr/>
              <w:sdtContent>
                <w:r w:rsidR="005A2DB7" w:rsidRPr="00D57C02">
                  <w:rPr>
                    <w:rFonts w:ascii="MS Gothic" w:eastAsia="MS Gothic" w:hAnsi="MS Gothic" w:cs="Arial" w:hint="eastAsia"/>
                    <w:bCs/>
                    <w:iCs/>
                    <w:sz w:val="20"/>
                    <w:szCs w:val="20"/>
                    <w:lang w:val="en-US"/>
                  </w:rPr>
                  <w:t>☒</w:t>
                </w:r>
              </w:sdtContent>
            </w:sdt>
            <w:r w:rsidR="00FC77AC"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2037491241"/>
                <w14:checkbox>
                  <w14:checked w14:val="0"/>
                  <w14:checkedState w14:val="2612" w14:font="MS Gothic"/>
                  <w14:uncheckedState w14:val="2610" w14:font="MS Gothic"/>
                </w14:checkbox>
              </w:sdtPr>
              <w:sdtEndPr/>
              <w:sdtContent>
                <w:r w:rsidR="00FC77AC" w:rsidRPr="00D57C02">
                  <w:rPr>
                    <w:rFonts w:ascii="Segoe UI Symbol" w:eastAsia="Calibri" w:hAnsi="Segoe UI Symbol" w:cs="Segoe UI Symbol"/>
                    <w:bCs/>
                    <w:iCs/>
                    <w:sz w:val="20"/>
                    <w:szCs w:val="20"/>
                    <w:lang w:val="en-US"/>
                  </w:rPr>
                  <w:t>☐</w:t>
                </w:r>
              </w:sdtContent>
            </w:sdt>
            <w:r w:rsidR="00FC77AC" w:rsidRPr="00D57C02">
              <w:rPr>
                <w:rFonts w:ascii="Arial" w:eastAsia="Calibri" w:hAnsi="Arial" w:cs="Arial"/>
                <w:bCs/>
                <w:iCs/>
                <w:sz w:val="20"/>
                <w:szCs w:val="20"/>
                <w:lang w:val="en-US"/>
              </w:rPr>
              <w:t xml:space="preserve"> No</w:t>
            </w:r>
          </w:p>
        </w:tc>
      </w:tr>
      <w:tr w:rsidR="00FC77AC" w:rsidRPr="00D57C02" w14:paraId="5D0B8B5F" w14:textId="77777777" w:rsidTr="00FE411C">
        <w:trPr>
          <w:trHeight w:val="423"/>
          <w:jc w:val="center"/>
        </w:trPr>
        <w:tc>
          <w:tcPr>
            <w:tcW w:w="6796" w:type="dxa"/>
            <w:shd w:val="clear" w:color="auto" w:fill="F2F2F2" w:themeFill="background1" w:themeFillShade="F2"/>
            <w:vAlign w:val="center"/>
          </w:tcPr>
          <w:p w14:paraId="5D0B8B5D" w14:textId="5FC199A4" w:rsidR="00FC77AC" w:rsidRPr="00D57C02" w:rsidRDefault="00FC77AC" w:rsidP="007D5FAE">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D57C02">
              <w:rPr>
                <w:rFonts w:ascii="Arial" w:eastAsia="SimSun" w:hAnsi="Arial" w:cs="Arial"/>
                <w:sz w:val="20"/>
                <w:szCs w:val="20"/>
                <w:lang w:val="en-US" w:eastAsia="zh-CN"/>
              </w:rPr>
              <w:t>Is t</w:t>
            </w:r>
            <w:r w:rsidRPr="00D57C02">
              <w:rPr>
                <w:rFonts w:ascii="Arial" w:eastAsia="Calibri" w:hAnsi="Arial" w:cs="Arial"/>
                <w:bCs/>
                <w:sz w:val="20"/>
                <w:szCs w:val="20"/>
                <w:lang w:val="en-US"/>
              </w:rPr>
              <w:t>h</w:t>
            </w:r>
            <w:r w:rsidR="003457BF" w:rsidRPr="00D57C02">
              <w:rPr>
                <w:rFonts w:ascii="Arial" w:eastAsia="Calibri" w:hAnsi="Arial" w:cs="Arial"/>
                <w:bCs/>
                <w:sz w:val="20"/>
                <w:szCs w:val="20"/>
                <w:lang w:val="en-US"/>
              </w:rPr>
              <w:t>is</w:t>
            </w:r>
            <w:r w:rsidRPr="00D57C02">
              <w:rPr>
                <w:rFonts w:ascii="Arial" w:eastAsia="Calibri" w:hAnsi="Arial" w:cs="Arial"/>
                <w:bCs/>
                <w:sz w:val="20"/>
                <w:szCs w:val="20"/>
                <w:lang w:val="en-US"/>
              </w:rPr>
              <w:t xml:space="preserve"> current application requesting Global Fund support for developing a health financing strategy and/or implementing health-financing reforms?</w:t>
            </w:r>
            <w:r w:rsidR="008F0B4F" w:rsidRPr="00D57C02">
              <w:rPr>
                <w:rFonts w:ascii="Arial" w:eastAsia="Calibri" w:hAnsi="Arial" w:cs="Arial"/>
                <w:bCs/>
                <w:sz w:val="20"/>
                <w:szCs w:val="20"/>
                <w:lang w:val="en-US"/>
              </w:rPr>
              <w:t xml:space="preserve"> </w:t>
            </w:r>
            <w:r w:rsidR="008F0B4F" w:rsidRPr="00D57C02">
              <w:rPr>
                <w:rFonts w:ascii="Arial" w:eastAsia="Calibri" w:hAnsi="Arial" w:cs="Arial"/>
                <w:b/>
                <w:bCs/>
                <w:sz w:val="20"/>
                <w:szCs w:val="20"/>
                <w:lang w:val="en-US"/>
              </w:rPr>
              <w:t xml:space="preserve">If yes, </w:t>
            </w:r>
            <w:r w:rsidR="008F0B4F" w:rsidRPr="00D57C02">
              <w:rPr>
                <w:rFonts w:ascii="Arial" w:eastAsia="Calibri" w:hAnsi="Arial" w:cs="Arial"/>
                <w:bCs/>
                <w:sz w:val="20"/>
                <w:szCs w:val="20"/>
                <w:lang w:val="en-US"/>
              </w:rPr>
              <w:t xml:space="preserve">provide a brief </w:t>
            </w:r>
            <w:r w:rsidR="00E93BBE" w:rsidRPr="00D57C02">
              <w:rPr>
                <w:rFonts w:ascii="Arial" w:eastAsia="Calibri" w:hAnsi="Arial" w:cs="Arial"/>
                <w:bCs/>
                <w:sz w:val="20"/>
                <w:szCs w:val="20"/>
                <w:lang w:val="en-US"/>
              </w:rPr>
              <w:t>description</w:t>
            </w:r>
            <w:r w:rsidR="008F0B4F" w:rsidRPr="00D57C02">
              <w:rPr>
                <w:rFonts w:ascii="Arial" w:eastAsia="Calibri" w:hAnsi="Arial" w:cs="Arial"/>
                <w:bCs/>
                <w:sz w:val="20"/>
                <w:szCs w:val="20"/>
                <w:lang w:val="en-US"/>
              </w:rPr>
              <w:t xml:space="preserve"> below. </w:t>
            </w:r>
          </w:p>
        </w:tc>
        <w:tc>
          <w:tcPr>
            <w:tcW w:w="2096" w:type="dxa"/>
            <w:shd w:val="clear" w:color="auto" w:fill="auto"/>
            <w:vAlign w:val="center"/>
          </w:tcPr>
          <w:p w14:paraId="5D0B8B5E" w14:textId="330918AB" w:rsidR="00FC77AC" w:rsidRPr="00D57C02" w:rsidRDefault="00EB1D26"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791858774"/>
                <w14:checkbox>
                  <w14:checked w14:val="0"/>
                  <w14:checkedState w14:val="2612" w14:font="MS Gothic"/>
                  <w14:uncheckedState w14:val="2610" w14:font="MS Gothic"/>
                </w14:checkbox>
              </w:sdtPr>
              <w:sdtEndPr/>
              <w:sdtContent>
                <w:r w:rsidR="00FC77AC" w:rsidRPr="00D57C02">
                  <w:rPr>
                    <w:rFonts w:ascii="Segoe UI Symbol" w:eastAsia="Calibri" w:hAnsi="Segoe UI Symbol" w:cs="Segoe UI Symbol"/>
                    <w:bCs/>
                    <w:iCs/>
                    <w:sz w:val="20"/>
                    <w:szCs w:val="20"/>
                    <w:lang w:val="en-US"/>
                  </w:rPr>
                  <w:t>☐</w:t>
                </w:r>
              </w:sdtContent>
            </w:sdt>
            <w:r w:rsidR="00FC77AC"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509962073"/>
                <w14:checkbox>
                  <w14:checked w14:val="1"/>
                  <w14:checkedState w14:val="2612" w14:font="MS Gothic"/>
                  <w14:uncheckedState w14:val="2610" w14:font="MS Gothic"/>
                </w14:checkbox>
              </w:sdtPr>
              <w:sdtEndPr/>
              <w:sdtContent>
                <w:r w:rsidR="00B37D10" w:rsidRPr="00D57C02">
                  <w:rPr>
                    <w:rFonts w:ascii="MS Gothic" w:eastAsia="MS Gothic" w:hAnsi="MS Gothic" w:cs="Arial" w:hint="eastAsia"/>
                    <w:bCs/>
                    <w:iCs/>
                    <w:sz w:val="20"/>
                    <w:szCs w:val="20"/>
                    <w:lang w:val="en-US"/>
                  </w:rPr>
                  <w:t>☒</w:t>
                </w:r>
              </w:sdtContent>
            </w:sdt>
            <w:r w:rsidR="00FC77AC" w:rsidRPr="00D57C02">
              <w:rPr>
                <w:rFonts w:ascii="Arial" w:eastAsia="Calibri" w:hAnsi="Arial" w:cs="Arial"/>
                <w:bCs/>
                <w:iCs/>
                <w:sz w:val="20"/>
                <w:szCs w:val="20"/>
                <w:lang w:val="en-US"/>
              </w:rPr>
              <w:t xml:space="preserve"> No</w:t>
            </w:r>
          </w:p>
        </w:tc>
      </w:tr>
      <w:tr w:rsidR="00FC77AC" w:rsidRPr="00D57C02" w14:paraId="5D0B8B62" w14:textId="77777777" w:rsidTr="00FE411C">
        <w:trPr>
          <w:trHeight w:val="423"/>
          <w:jc w:val="center"/>
        </w:trPr>
        <w:tc>
          <w:tcPr>
            <w:tcW w:w="6796" w:type="dxa"/>
            <w:shd w:val="clear" w:color="auto" w:fill="F2F2F2" w:themeFill="background1" w:themeFillShade="F2"/>
            <w:vAlign w:val="center"/>
          </w:tcPr>
          <w:p w14:paraId="5D0B8B60" w14:textId="6AA523B5" w:rsidR="00FC77AC" w:rsidRPr="00D57C02" w:rsidRDefault="00FC77AC" w:rsidP="007D5FAE">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D57C02">
              <w:rPr>
                <w:rFonts w:ascii="Arial" w:eastAsia="SimSun" w:hAnsi="Arial" w:cs="Arial"/>
                <w:sz w:val="20"/>
                <w:szCs w:val="20"/>
                <w:lang w:val="en-US" w:eastAsia="zh-CN"/>
              </w:rPr>
              <w:t xml:space="preserve">Have previous </w:t>
            </w:r>
            <w:r w:rsidR="00C106F2" w:rsidRPr="00D57C02">
              <w:rPr>
                <w:rFonts w:ascii="Arial" w:eastAsia="SimSun" w:hAnsi="Arial" w:cs="Arial"/>
                <w:sz w:val="20"/>
                <w:szCs w:val="20"/>
                <w:lang w:val="en-US" w:eastAsia="zh-CN"/>
              </w:rPr>
              <w:t>g</w:t>
            </w:r>
            <w:r w:rsidRPr="00D57C02">
              <w:rPr>
                <w:rFonts w:ascii="Arial" w:eastAsia="SimSun" w:hAnsi="Arial" w:cs="Arial"/>
                <w:sz w:val="20"/>
                <w:szCs w:val="20"/>
                <w:lang w:val="en-US" w:eastAsia="zh-CN"/>
              </w:rPr>
              <w:t>overnment commitments for the 2014-</w:t>
            </w:r>
            <w:r w:rsidR="003457BF" w:rsidRPr="00D57C02">
              <w:rPr>
                <w:rFonts w:ascii="Arial" w:eastAsia="SimSun" w:hAnsi="Arial" w:cs="Arial"/>
                <w:sz w:val="20"/>
                <w:szCs w:val="20"/>
                <w:lang w:val="en-US" w:eastAsia="zh-CN"/>
              </w:rPr>
              <w:t>1</w:t>
            </w:r>
            <w:r w:rsidRPr="00D57C02">
              <w:rPr>
                <w:rFonts w:ascii="Arial" w:eastAsia="SimSun" w:hAnsi="Arial" w:cs="Arial"/>
                <w:sz w:val="20"/>
                <w:szCs w:val="20"/>
                <w:lang w:val="en-US" w:eastAsia="zh-CN"/>
              </w:rPr>
              <w:t xml:space="preserve">6 allocation been realized? </w:t>
            </w:r>
            <w:r w:rsidRPr="00D57C02">
              <w:rPr>
                <w:rFonts w:ascii="Arial" w:eastAsia="SimSun" w:hAnsi="Arial" w:cs="Arial"/>
                <w:b/>
                <w:sz w:val="20"/>
                <w:szCs w:val="20"/>
                <w:lang w:val="en-US" w:eastAsia="zh-CN"/>
              </w:rPr>
              <w:t>If not</w:t>
            </w:r>
            <w:r w:rsidRPr="00D57C02">
              <w:rPr>
                <w:rFonts w:ascii="Arial" w:eastAsia="SimSun" w:hAnsi="Arial" w:cs="Arial"/>
                <w:sz w:val="20"/>
                <w:szCs w:val="20"/>
                <w:lang w:val="en-US" w:eastAsia="zh-CN"/>
              </w:rPr>
              <w:t>, provide reasons below.</w:t>
            </w:r>
          </w:p>
        </w:tc>
        <w:tc>
          <w:tcPr>
            <w:tcW w:w="2096" w:type="dxa"/>
            <w:shd w:val="clear" w:color="auto" w:fill="auto"/>
            <w:vAlign w:val="center"/>
          </w:tcPr>
          <w:p w14:paraId="5D0B8B61" w14:textId="6C4B43B9" w:rsidR="00FC77AC" w:rsidRPr="00D57C02" w:rsidRDefault="00EB1D26"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888803521"/>
                <w14:checkbox>
                  <w14:checked w14:val="0"/>
                  <w14:checkedState w14:val="2612" w14:font="MS Gothic"/>
                  <w14:uncheckedState w14:val="2610" w14:font="MS Gothic"/>
                </w14:checkbox>
              </w:sdtPr>
              <w:sdtEndPr/>
              <w:sdtContent>
                <w:r w:rsidR="00FC77AC" w:rsidRPr="00D57C02">
                  <w:rPr>
                    <w:rFonts w:ascii="Segoe UI Symbol" w:eastAsia="Calibri" w:hAnsi="Segoe UI Symbol" w:cs="Segoe UI Symbol"/>
                    <w:bCs/>
                    <w:iCs/>
                    <w:sz w:val="20"/>
                    <w:szCs w:val="20"/>
                    <w:lang w:val="en-US"/>
                  </w:rPr>
                  <w:t>☐</w:t>
                </w:r>
              </w:sdtContent>
            </w:sdt>
            <w:r w:rsidR="00FC77AC"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580206460"/>
                <w14:checkbox>
                  <w14:checked w14:val="1"/>
                  <w14:checkedState w14:val="2612" w14:font="MS Gothic"/>
                  <w14:uncheckedState w14:val="2610" w14:font="MS Gothic"/>
                </w14:checkbox>
              </w:sdtPr>
              <w:sdtEndPr/>
              <w:sdtContent>
                <w:r w:rsidR="00251AAD" w:rsidRPr="00D57C02">
                  <w:rPr>
                    <w:rFonts w:ascii="MS Gothic" w:eastAsia="MS Gothic" w:hAnsi="MS Gothic" w:cs="Arial" w:hint="eastAsia"/>
                    <w:bCs/>
                    <w:iCs/>
                    <w:sz w:val="20"/>
                    <w:szCs w:val="20"/>
                    <w:lang w:val="en-US"/>
                  </w:rPr>
                  <w:t>☒</w:t>
                </w:r>
              </w:sdtContent>
            </w:sdt>
            <w:r w:rsidR="00FC77AC" w:rsidRPr="00D57C02">
              <w:rPr>
                <w:rFonts w:ascii="Arial" w:eastAsia="Calibri" w:hAnsi="Arial" w:cs="Arial"/>
                <w:bCs/>
                <w:iCs/>
                <w:sz w:val="20"/>
                <w:szCs w:val="20"/>
                <w:lang w:val="en-US"/>
              </w:rPr>
              <w:t xml:space="preserve"> No</w:t>
            </w:r>
          </w:p>
        </w:tc>
      </w:tr>
      <w:tr w:rsidR="00FC77AC" w:rsidRPr="00D57C02" w14:paraId="5D0B8B68" w14:textId="77777777" w:rsidTr="00FE411C">
        <w:trPr>
          <w:trHeight w:val="423"/>
          <w:jc w:val="center"/>
        </w:trPr>
        <w:tc>
          <w:tcPr>
            <w:tcW w:w="6796" w:type="dxa"/>
            <w:shd w:val="clear" w:color="auto" w:fill="F2F2F2" w:themeFill="background1" w:themeFillShade="F2"/>
            <w:vAlign w:val="center"/>
          </w:tcPr>
          <w:p w14:paraId="5D0B8B66" w14:textId="4FCB40F7" w:rsidR="00FC77AC" w:rsidRPr="00D57C02" w:rsidRDefault="00FC77AC" w:rsidP="007D5FAE">
            <w:pPr>
              <w:pStyle w:val="ListParagraph"/>
              <w:numPr>
                <w:ilvl w:val="0"/>
                <w:numId w:val="2"/>
              </w:numPr>
              <w:spacing w:before="120" w:after="120" w:line="240" w:lineRule="auto"/>
              <w:ind w:left="276" w:hanging="284"/>
              <w:jc w:val="both"/>
              <w:rPr>
                <w:rFonts w:ascii="Arial" w:eastAsia="SimSun" w:hAnsi="Arial" w:cs="Arial"/>
                <w:b/>
                <w:sz w:val="20"/>
                <w:szCs w:val="20"/>
                <w:lang w:val="en-US" w:eastAsia="zh-CN"/>
              </w:rPr>
            </w:pPr>
            <w:r w:rsidRPr="000F5E2A">
              <w:rPr>
                <w:rFonts w:ascii="Arial" w:eastAsia="SimSun" w:hAnsi="Arial" w:cs="Arial"/>
                <w:sz w:val="20"/>
                <w:szCs w:val="20"/>
                <w:lang w:val="en-US" w:eastAsia="zh-CN"/>
              </w:rPr>
              <w:t xml:space="preserve">Do current </w:t>
            </w:r>
            <w:r w:rsidRPr="000F5E2A">
              <w:rPr>
                <w:rFonts w:ascii="Arial" w:eastAsia="Calibri" w:hAnsi="Arial" w:cs="Arial"/>
                <w:sz w:val="20"/>
                <w:szCs w:val="20"/>
                <w:lang w:val="en-US"/>
              </w:rPr>
              <w:t>co-financing commitments for the 2017-19 allocation meet minimum requirements to fully access the co-financing incentive, as set forth in the Sustainability, Transition and Co-financing Policy</w:t>
            </w:r>
            <w:r w:rsidR="00972638" w:rsidRPr="000F5E2A">
              <w:rPr>
                <w:rFonts w:ascii="Arial" w:eastAsia="Calibri" w:hAnsi="Arial" w:cs="Arial"/>
                <w:sz w:val="20"/>
                <w:szCs w:val="20"/>
                <w:lang w:val="en-US"/>
              </w:rPr>
              <w:t>?</w:t>
            </w:r>
            <w:r w:rsidRPr="000F5E2A">
              <w:rPr>
                <w:rFonts w:ascii="Arial" w:hAnsi="Arial" w:cs="Arial"/>
                <w:sz w:val="20"/>
                <w:szCs w:val="20"/>
                <w:vertAlign w:val="superscript"/>
                <w:lang w:val="en-US"/>
              </w:rPr>
              <w:footnoteReference w:id="3"/>
            </w:r>
            <w:r w:rsidRPr="000F5E2A">
              <w:rPr>
                <w:rFonts w:ascii="Arial" w:eastAsia="Calibri" w:hAnsi="Arial" w:cs="Arial"/>
                <w:sz w:val="20"/>
                <w:szCs w:val="20"/>
                <w:lang w:val="en-US"/>
              </w:rPr>
              <w:t xml:space="preserve"> </w:t>
            </w:r>
            <w:r w:rsidRPr="000F5E2A">
              <w:rPr>
                <w:rFonts w:ascii="Arial" w:eastAsia="Calibri" w:hAnsi="Arial" w:cs="Arial"/>
                <w:b/>
                <w:sz w:val="20"/>
                <w:szCs w:val="20"/>
                <w:lang w:val="en-US"/>
              </w:rPr>
              <w:t>If not</w:t>
            </w:r>
            <w:r w:rsidRPr="000F5E2A">
              <w:rPr>
                <w:rFonts w:ascii="Arial" w:eastAsia="Calibri" w:hAnsi="Arial" w:cs="Arial"/>
                <w:sz w:val="20"/>
                <w:szCs w:val="20"/>
                <w:lang w:val="en-US"/>
              </w:rPr>
              <w:t>, provide reasons below.</w:t>
            </w:r>
          </w:p>
        </w:tc>
        <w:tc>
          <w:tcPr>
            <w:tcW w:w="2096" w:type="dxa"/>
            <w:shd w:val="clear" w:color="auto" w:fill="auto"/>
            <w:vAlign w:val="center"/>
          </w:tcPr>
          <w:p w14:paraId="5D0B8B67" w14:textId="13FC3985" w:rsidR="00FC77AC" w:rsidRPr="00D57C02" w:rsidRDefault="00EB1D26"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471215684"/>
                <w14:checkbox>
                  <w14:checked w14:val="1"/>
                  <w14:checkedState w14:val="2612" w14:font="MS Gothic"/>
                  <w14:uncheckedState w14:val="2610" w14:font="MS Gothic"/>
                </w14:checkbox>
              </w:sdtPr>
              <w:sdtEndPr/>
              <w:sdtContent>
                <w:r w:rsidR="002252F6">
                  <w:rPr>
                    <w:rFonts w:ascii="MS Gothic" w:eastAsia="MS Gothic" w:hAnsi="MS Gothic" w:cs="Arial" w:hint="eastAsia"/>
                    <w:bCs/>
                    <w:iCs/>
                    <w:sz w:val="20"/>
                    <w:szCs w:val="20"/>
                    <w:lang w:val="en-US"/>
                  </w:rPr>
                  <w:t>☒</w:t>
                </w:r>
              </w:sdtContent>
            </w:sdt>
            <w:r w:rsidR="00FC77AC"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2063142126"/>
                <w14:checkbox>
                  <w14:checked w14:val="0"/>
                  <w14:checkedState w14:val="2612" w14:font="MS Gothic"/>
                  <w14:uncheckedState w14:val="2610" w14:font="MS Gothic"/>
                </w14:checkbox>
              </w:sdtPr>
              <w:sdtEndPr/>
              <w:sdtContent>
                <w:r w:rsidR="00FC77AC" w:rsidRPr="00D57C02">
                  <w:rPr>
                    <w:rFonts w:ascii="Segoe UI Symbol" w:eastAsia="Calibri" w:hAnsi="Segoe UI Symbol" w:cs="Segoe UI Symbol"/>
                    <w:bCs/>
                    <w:iCs/>
                    <w:sz w:val="20"/>
                    <w:szCs w:val="20"/>
                    <w:lang w:val="en-US"/>
                  </w:rPr>
                  <w:t>☐</w:t>
                </w:r>
              </w:sdtContent>
            </w:sdt>
            <w:r w:rsidR="00FC77AC" w:rsidRPr="00D57C02">
              <w:rPr>
                <w:rFonts w:ascii="Arial" w:eastAsia="Calibri" w:hAnsi="Arial" w:cs="Arial"/>
                <w:bCs/>
                <w:iCs/>
                <w:sz w:val="20"/>
                <w:szCs w:val="20"/>
                <w:lang w:val="en-US"/>
              </w:rPr>
              <w:t xml:space="preserve"> No</w:t>
            </w:r>
          </w:p>
        </w:tc>
      </w:tr>
      <w:tr w:rsidR="00FC77AC" w:rsidRPr="00D57C02" w14:paraId="5D0B8B6B" w14:textId="77777777" w:rsidTr="00FE411C">
        <w:trPr>
          <w:trHeight w:val="423"/>
          <w:jc w:val="center"/>
        </w:trPr>
        <w:tc>
          <w:tcPr>
            <w:tcW w:w="6796" w:type="dxa"/>
            <w:shd w:val="clear" w:color="auto" w:fill="F2F2F2" w:themeFill="background1" w:themeFillShade="F2"/>
            <w:vAlign w:val="center"/>
          </w:tcPr>
          <w:p w14:paraId="5D0B8B69" w14:textId="3106DFAC" w:rsidR="00FC77AC" w:rsidRPr="00A4569E" w:rsidRDefault="00FC77AC" w:rsidP="007D5FAE">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A4569E">
              <w:rPr>
                <w:rFonts w:ascii="Arial" w:eastAsia="SimSun" w:hAnsi="Arial" w:cs="Arial"/>
                <w:sz w:val="20"/>
                <w:szCs w:val="20"/>
                <w:lang w:val="en-US" w:eastAsia="zh-CN"/>
              </w:rPr>
              <w:t xml:space="preserve">Does this application request Global Fund support for </w:t>
            </w:r>
            <w:r w:rsidR="003457BF" w:rsidRPr="00A4569E">
              <w:rPr>
                <w:rFonts w:ascii="Arial" w:eastAsia="SimSun" w:hAnsi="Arial" w:cs="Arial"/>
                <w:sz w:val="20"/>
                <w:szCs w:val="20"/>
                <w:lang w:val="en-US" w:eastAsia="zh-CN"/>
              </w:rPr>
              <w:t xml:space="preserve">the </w:t>
            </w:r>
            <w:r w:rsidRPr="00A4569E">
              <w:rPr>
                <w:rFonts w:ascii="Arial" w:eastAsia="SimSun" w:hAnsi="Arial" w:cs="Arial"/>
                <w:sz w:val="20"/>
                <w:szCs w:val="20"/>
                <w:lang w:val="en-US" w:eastAsia="zh-CN"/>
              </w:rPr>
              <w:t xml:space="preserve">institutionalization of expenditure tracking mechanisms such as National Health Accounts? </w:t>
            </w:r>
            <w:r w:rsidR="00256EAA" w:rsidRPr="00A4569E">
              <w:rPr>
                <w:rFonts w:ascii="Arial" w:eastAsia="SimSun" w:hAnsi="Arial" w:cs="Arial"/>
                <w:sz w:val="20"/>
                <w:szCs w:val="20"/>
                <w:lang w:val="en-US" w:eastAsia="zh-CN"/>
              </w:rPr>
              <w:t xml:space="preserve">If yes or no, </w:t>
            </w:r>
            <w:r w:rsidR="00256EAA" w:rsidRPr="00A4569E">
              <w:rPr>
                <w:rFonts w:ascii="Arial" w:eastAsia="Calibri" w:hAnsi="Arial" w:cs="Arial"/>
                <w:b/>
                <w:sz w:val="20"/>
                <w:szCs w:val="20"/>
                <w:lang w:val="en-US"/>
              </w:rPr>
              <w:t>sp</w:t>
            </w:r>
            <w:r w:rsidRPr="00A4569E">
              <w:rPr>
                <w:rFonts w:ascii="Arial" w:eastAsia="Calibri" w:hAnsi="Arial" w:cs="Arial"/>
                <w:b/>
                <w:sz w:val="20"/>
                <w:szCs w:val="20"/>
                <w:lang w:val="en-US"/>
              </w:rPr>
              <w:t>ecify</w:t>
            </w:r>
            <w:r w:rsidRPr="00A4569E">
              <w:rPr>
                <w:rFonts w:ascii="Arial" w:eastAsia="Calibri" w:hAnsi="Arial" w:cs="Arial"/>
                <w:sz w:val="20"/>
                <w:szCs w:val="20"/>
                <w:lang w:val="en-US"/>
              </w:rPr>
              <w:t xml:space="preserve"> </w:t>
            </w:r>
            <w:r w:rsidR="00C77493" w:rsidRPr="00A4569E">
              <w:rPr>
                <w:rFonts w:ascii="Arial" w:eastAsia="Calibri" w:hAnsi="Arial" w:cs="Arial"/>
                <w:sz w:val="20"/>
                <w:szCs w:val="20"/>
                <w:lang w:val="en-US"/>
              </w:rPr>
              <w:t xml:space="preserve">below </w:t>
            </w:r>
            <w:r w:rsidRPr="00A4569E">
              <w:rPr>
                <w:rFonts w:ascii="Arial" w:eastAsia="Calibri" w:hAnsi="Arial" w:cs="Arial"/>
                <w:sz w:val="20"/>
                <w:szCs w:val="20"/>
                <w:lang w:val="en-US"/>
              </w:rPr>
              <w:t>how realization of co-financing commitments will be tracked and reported.</w:t>
            </w:r>
          </w:p>
        </w:tc>
        <w:tc>
          <w:tcPr>
            <w:tcW w:w="2096" w:type="dxa"/>
            <w:shd w:val="clear" w:color="auto" w:fill="auto"/>
            <w:vAlign w:val="center"/>
          </w:tcPr>
          <w:p w14:paraId="5D0B8B6A" w14:textId="6FE49081" w:rsidR="00FC77AC" w:rsidRPr="00D57C02" w:rsidRDefault="00EB1D26"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1547263907"/>
                <w14:checkbox>
                  <w14:checked w14:val="0"/>
                  <w14:checkedState w14:val="2612" w14:font="MS Gothic"/>
                  <w14:uncheckedState w14:val="2610" w14:font="MS Gothic"/>
                </w14:checkbox>
              </w:sdtPr>
              <w:sdtEndPr/>
              <w:sdtContent>
                <w:r w:rsidR="00FC77AC" w:rsidRPr="00D57C02">
                  <w:rPr>
                    <w:rFonts w:ascii="Segoe UI Symbol" w:eastAsia="Calibri" w:hAnsi="Segoe UI Symbol" w:cs="Segoe UI Symbol"/>
                    <w:bCs/>
                    <w:iCs/>
                    <w:sz w:val="20"/>
                    <w:szCs w:val="20"/>
                    <w:lang w:val="en-US"/>
                  </w:rPr>
                  <w:t>☐</w:t>
                </w:r>
              </w:sdtContent>
            </w:sdt>
            <w:r w:rsidR="00FC77AC" w:rsidRPr="00D57C0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301727380"/>
                <w14:checkbox>
                  <w14:checked w14:val="1"/>
                  <w14:checkedState w14:val="2612" w14:font="MS Gothic"/>
                  <w14:uncheckedState w14:val="2610" w14:font="MS Gothic"/>
                </w14:checkbox>
              </w:sdtPr>
              <w:sdtEndPr/>
              <w:sdtContent>
                <w:r w:rsidR="00FD47F1" w:rsidRPr="00D57C02">
                  <w:rPr>
                    <w:rFonts w:ascii="MS Gothic" w:eastAsia="MS Gothic" w:hAnsi="MS Gothic" w:cs="Arial" w:hint="eastAsia"/>
                    <w:bCs/>
                    <w:iCs/>
                    <w:sz w:val="20"/>
                    <w:szCs w:val="20"/>
                    <w:lang w:val="en-US"/>
                  </w:rPr>
                  <w:t>☒</w:t>
                </w:r>
              </w:sdtContent>
            </w:sdt>
            <w:r w:rsidR="00FC77AC" w:rsidRPr="00D57C02">
              <w:rPr>
                <w:rFonts w:ascii="Arial" w:eastAsia="Calibri" w:hAnsi="Arial" w:cs="Arial"/>
                <w:bCs/>
                <w:iCs/>
                <w:sz w:val="20"/>
                <w:szCs w:val="20"/>
                <w:lang w:val="en-US"/>
              </w:rPr>
              <w:t xml:space="preserve"> No</w:t>
            </w:r>
          </w:p>
        </w:tc>
      </w:tr>
      <w:tr w:rsidR="00FC77AC" w:rsidRPr="00D57C02" w14:paraId="5D0B8B6D" w14:textId="77777777" w:rsidTr="00FE411C">
        <w:trPr>
          <w:trHeight w:val="423"/>
          <w:jc w:val="center"/>
        </w:trPr>
        <w:tc>
          <w:tcPr>
            <w:tcW w:w="8892" w:type="dxa"/>
            <w:gridSpan w:val="2"/>
            <w:shd w:val="clear" w:color="auto" w:fill="F2F2F2" w:themeFill="background1" w:themeFillShade="F2"/>
            <w:vAlign w:val="center"/>
          </w:tcPr>
          <w:p w14:paraId="5D0B8B6C" w14:textId="36EE5751" w:rsidR="00FC77AC" w:rsidRPr="00D57C02" w:rsidRDefault="001631BD" w:rsidP="00FC77AC">
            <w:pPr>
              <w:spacing w:before="120" w:after="120" w:line="240" w:lineRule="auto"/>
              <w:rPr>
                <w:rFonts w:ascii="Arial" w:eastAsia="Calibri" w:hAnsi="Arial" w:cs="Arial"/>
                <w:b/>
                <w:bCs/>
                <w:iCs/>
                <w:sz w:val="20"/>
                <w:szCs w:val="20"/>
                <w:lang w:val="en-US"/>
              </w:rPr>
            </w:pPr>
            <w:r w:rsidRPr="00D57C02">
              <w:rPr>
                <w:rFonts w:ascii="Arial" w:eastAsia="Calibri" w:hAnsi="Arial" w:cs="Arial"/>
                <w:b/>
                <w:bCs/>
                <w:iCs/>
                <w:sz w:val="20"/>
                <w:szCs w:val="20"/>
                <w:lang w:val="en-US"/>
              </w:rPr>
              <w:t>(maximum</w:t>
            </w:r>
            <w:r w:rsidR="00B2556B" w:rsidRPr="00D57C02">
              <w:rPr>
                <w:rFonts w:ascii="Arial" w:eastAsia="Calibri" w:hAnsi="Arial" w:cs="Arial"/>
                <w:b/>
                <w:bCs/>
                <w:iCs/>
                <w:sz w:val="20"/>
                <w:szCs w:val="20"/>
                <w:lang w:val="en-US"/>
              </w:rPr>
              <w:t xml:space="preserve"> 2 </w:t>
            </w:r>
            <w:r w:rsidR="00FC77AC" w:rsidRPr="00D57C02">
              <w:rPr>
                <w:rFonts w:ascii="Arial" w:eastAsia="Calibri" w:hAnsi="Arial" w:cs="Arial"/>
                <w:b/>
                <w:bCs/>
                <w:iCs/>
                <w:sz w:val="20"/>
                <w:szCs w:val="20"/>
                <w:lang w:val="en-US"/>
              </w:rPr>
              <w:t>page</w:t>
            </w:r>
            <w:r w:rsidR="00B2556B" w:rsidRPr="00D57C02">
              <w:rPr>
                <w:rFonts w:ascii="Arial" w:eastAsia="Calibri" w:hAnsi="Arial" w:cs="Arial"/>
                <w:b/>
                <w:bCs/>
                <w:iCs/>
                <w:sz w:val="20"/>
                <w:szCs w:val="20"/>
                <w:lang w:val="en-US"/>
              </w:rPr>
              <w:t>s</w:t>
            </w:r>
            <w:r w:rsidR="00FC77AC" w:rsidRPr="00D57C02">
              <w:rPr>
                <w:rFonts w:ascii="Arial" w:eastAsia="Calibri" w:hAnsi="Arial" w:cs="Arial"/>
                <w:b/>
                <w:bCs/>
                <w:iCs/>
                <w:sz w:val="20"/>
                <w:szCs w:val="20"/>
                <w:lang w:val="en-US"/>
              </w:rPr>
              <w:t>)</w:t>
            </w:r>
          </w:p>
        </w:tc>
      </w:tr>
    </w:tbl>
    <w:p w14:paraId="3DF06804" w14:textId="1ED9CA58" w:rsidR="00044BA0" w:rsidRDefault="007E2152" w:rsidP="0041630D">
      <w:pPr>
        <w:spacing w:line="240" w:lineRule="auto"/>
        <w:jc w:val="both"/>
        <w:rPr>
          <w:rFonts w:ascii="Arial" w:hAnsi="Arial" w:cs="Arial"/>
        </w:rPr>
      </w:pPr>
      <w:r w:rsidRPr="006E1B00">
        <w:rPr>
          <w:rFonts w:ascii="Arial" w:hAnsi="Arial" w:cs="Arial"/>
          <w:b/>
        </w:rPr>
        <w:t>a)</w:t>
      </w:r>
      <w:r w:rsidR="005E0906" w:rsidRPr="00D57C02">
        <w:rPr>
          <w:rFonts w:ascii="Arial" w:hAnsi="Arial" w:cs="Arial"/>
        </w:rPr>
        <w:t xml:space="preserve"> </w:t>
      </w:r>
      <w:r w:rsidR="00664E40" w:rsidRPr="00D57C02">
        <w:rPr>
          <w:rFonts w:ascii="Arial" w:hAnsi="Arial" w:cs="Arial"/>
          <w:b/>
        </w:rPr>
        <w:t>Yes</w:t>
      </w:r>
      <w:r w:rsidR="00664E40" w:rsidRPr="00D57C02">
        <w:rPr>
          <w:rFonts w:ascii="Arial" w:hAnsi="Arial" w:cs="Arial"/>
        </w:rPr>
        <w:t xml:space="preserve">. </w:t>
      </w:r>
      <w:r w:rsidR="002C3880">
        <w:rPr>
          <w:rFonts w:ascii="Arial" w:hAnsi="Arial" w:cs="Arial"/>
        </w:rPr>
        <w:t xml:space="preserve">- </w:t>
      </w:r>
      <w:r w:rsidR="004D482A" w:rsidRPr="00D57C02">
        <w:rPr>
          <w:rFonts w:ascii="Arial" w:hAnsi="Arial" w:cs="Arial"/>
        </w:rPr>
        <w:t>The National Planning Commission (NPC), the Ministry of Finance (</w:t>
      </w:r>
      <w:proofErr w:type="spellStart"/>
      <w:r w:rsidR="004D482A" w:rsidRPr="00D57C02">
        <w:rPr>
          <w:rFonts w:ascii="Arial" w:hAnsi="Arial" w:cs="Arial"/>
        </w:rPr>
        <w:t>MoF</w:t>
      </w:r>
      <w:proofErr w:type="spellEnd"/>
      <w:r w:rsidR="004D482A" w:rsidRPr="00D57C02">
        <w:rPr>
          <w:rFonts w:ascii="Arial" w:hAnsi="Arial" w:cs="Arial"/>
        </w:rPr>
        <w:t>), Ministry of Health (</w:t>
      </w:r>
      <w:proofErr w:type="spellStart"/>
      <w:r w:rsidR="004D482A" w:rsidRPr="00D57C02">
        <w:rPr>
          <w:rFonts w:ascii="Arial" w:hAnsi="Arial" w:cs="Arial"/>
        </w:rPr>
        <w:t>MoH</w:t>
      </w:r>
      <w:proofErr w:type="spellEnd"/>
      <w:r w:rsidR="004D482A" w:rsidRPr="00D57C02">
        <w:rPr>
          <w:rFonts w:ascii="Arial" w:hAnsi="Arial" w:cs="Arial"/>
        </w:rPr>
        <w:t xml:space="preserve">) and the various departments and programme units are responsible for </w:t>
      </w:r>
      <w:proofErr w:type="spellStart"/>
      <w:r w:rsidR="004D482A" w:rsidRPr="00D57C02">
        <w:rPr>
          <w:rFonts w:ascii="Arial" w:hAnsi="Arial" w:cs="Arial"/>
        </w:rPr>
        <w:t>MoH’s</w:t>
      </w:r>
      <w:proofErr w:type="spellEnd"/>
      <w:r w:rsidR="004D482A" w:rsidRPr="00D57C02">
        <w:rPr>
          <w:rFonts w:ascii="Arial" w:hAnsi="Arial" w:cs="Arial"/>
        </w:rPr>
        <w:t xml:space="preserve"> annual planning and budgeting process</w:t>
      </w:r>
      <w:r w:rsidR="004D482A" w:rsidRPr="00D57C02">
        <w:t xml:space="preserve">. </w:t>
      </w:r>
      <w:r w:rsidR="004D482A" w:rsidRPr="00D57C02">
        <w:rPr>
          <w:rFonts w:ascii="Arial" w:hAnsi="Arial" w:cs="Arial"/>
        </w:rPr>
        <w:t xml:space="preserve">Guided by the lessons learned from the implementation of the Nepal Health Sector Programme </w:t>
      </w:r>
      <w:r w:rsidR="004D482A">
        <w:rPr>
          <w:rFonts w:ascii="Arial" w:hAnsi="Arial" w:cs="Arial"/>
        </w:rPr>
        <w:t>(NHSP</w:t>
      </w:r>
      <w:r w:rsidR="004D482A" w:rsidRPr="00D57C02">
        <w:rPr>
          <w:rFonts w:ascii="Arial" w:hAnsi="Arial" w:cs="Arial"/>
        </w:rPr>
        <w:t>1 and 2</w:t>
      </w:r>
      <w:r w:rsidR="004D482A">
        <w:rPr>
          <w:rFonts w:ascii="Arial" w:hAnsi="Arial" w:cs="Arial"/>
        </w:rPr>
        <w:t>)</w:t>
      </w:r>
      <w:r w:rsidR="004D482A" w:rsidRPr="00D57C02">
        <w:rPr>
          <w:rFonts w:ascii="Arial" w:hAnsi="Arial" w:cs="Arial"/>
        </w:rPr>
        <w:t xml:space="preserve">, the </w:t>
      </w:r>
      <w:proofErr w:type="spellStart"/>
      <w:r w:rsidR="004D482A" w:rsidRPr="00D57C02">
        <w:rPr>
          <w:rFonts w:ascii="Arial" w:hAnsi="Arial" w:cs="Arial"/>
        </w:rPr>
        <w:t>MoH</w:t>
      </w:r>
      <w:proofErr w:type="spellEnd"/>
      <w:r w:rsidR="004D482A" w:rsidRPr="00D57C02">
        <w:rPr>
          <w:rFonts w:ascii="Arial" w:hAnsi="Arial" w:cs="Arial"/>
        </w:rPr>
        <w:t xml:space="preserve"> will move forward to improve its planning and budgeting practices and its capacity to absorb its annual budget </w:t>
      </w:r>
      <w:r w:rsidR="004D482A">
        <w:rPr>
          <w:rFonts w:ascii="Arial" w:hAnsi="Arial" w:cs="Arial"/>
        </w:rPr>
        <w:t xml:space="preserve">by </w:t>
      </w:r>
      <w:r w:rsidR="004D482A" w:rsidRPr="00D57C02">
        <w:rPr>
          <w:rFonts w:ascii="Arial" w:hAnsi="Arial" w:cs="Arial"/>
        </w:rPr>
        <w:t>formally involv</w:t>
      </w:r>
      <w:r w:rsidR="004D482A">
        <w:rPr>
          <w:rFonts w:ascii="Arial" w:hAnsi="Arial" w:cs="Arial"/>
        </w:rPr>
        <w:t>ing</w:t>
      </w:r>
      <w:r w:rsidR="004D482A" w:rsidRPr="00D57C02">
        <w:rPr>
          <w:rFonts w:ascii="Arial" w:hAnsi="Arial" w:cs="Arial"/>
        </w:rPr>
        <w:t xml:space="preserve"> finance sections of the </w:t>
      </w:r>
      <w:proofErr w:type="spellStart"/>
      <w:r w:rsidR="004D482A" w:rsidRPr="00D57C02">
        <w:rPr>
          <w:rFonts w:ascii="Arial" w:hAnsi="Arial" w:cs="Arial"/>
        </w:rPr>
        <w:t>MoH</w:t>
      </w:r>
      <w:proofErr w:type="spellEnd"/>
      <w:r w:rsidR="004D482A" w:rsidRPr="00D57C02">
        <w:rPr>
          <w:rFonts w:ascii="Arial" w:hAnsi="Arial" w:cs="Arial"/>
        </w:rPr>
        <w:t xml:space="preserve"> and </w:t>
      </w:r>
      <w:proofErr w:type="spellStart"/>
      <w:r w:rsidR="004D482A" w:rsidRPr="00D57C02">
        <w:rPr>
          <w:rFonts w:ascii="Arial" w:hAnsi="Arial" w:cs="Arial"/>
        </w:rPr>
        <w:t>DoHS</w:t>
      </w:r>
      <w:proofErr w:type="spellEnd"/>
      <w:r w:rsidR="004D482A" w:rsidRPr="00D57C02">
        <w:rPr>
          <w:rFonts w:ascii="Arial" w:hAnsi="Arial" w:cs="Arial"/>
        </w:rPr>
        <w:t xml:space="preserve"> in budget preparation and progress monitoring</w:t>
      </w:r>
      <w:r w:rsidR="00734F95">
        <w:rPr>
          <w:rFonts w:ascii="Arial" w:hAnsi="Arial" w:cs="Arial"/>
        </w:rPr>
        <w:t xml:space="preserve"> (</w:t>
      </w:r>
      <w:r w:rsidR="00734F95" w:rsidRPr="00734F95">
        <w:rPr>
          <w:rFonts w:ascii="Arial" w:hAnsi="Arial" w:cs="Arial"/>
          <w:i/>
        </w:rPr>
        <w:t>Annex-2</w:t>
      </w:r>
      <w:r w:rsidR="00734F95">
        <w:rPr>
          <w:rFonts w:ascii="Arial" w:hAnsi="Arial" w:cs="Arial"/>
          <w:i/>
        </w:rPr>
        <w:t>8</w:t>
      </w:r>
      <w:r w:rsidR="00734F95" w:rsidRPr="00734F95">
        <w:rPr>
          <w:rFonts w:ascii="Arial" w:hAnsi="Arial" w:cs="Arial"/>
          <w:i/>
        </w:rPr>
        <w:t>, p</w:t>
      </w:r>
      <w:r w:rsidR="00506021">
        <w:rPr>
          <w:rFonts w:ascii="Arial" w:hAnsi="Arial" w:cs="Arial"/>
          <w:i/>
        </w:rPr>
        <w:t>25-27</w:t>
      </w:r>
      <w:r w:rsidR="00734F95">
        <w:rPr>
          <w:rFonts w:ascii="Arial" w:hAnsi="Arial" w:cs="Arial"/>
        </w:rPr>
        <w:t>)</w:t>
      </w:r>
      <w:r w:rsidR="004D482A" w:rsidRPr="00D57C02">
        <w:rPr>
          <w:rFonts w:ascii="Arial" w:hAnsi="Arial" w:cs="Arial"/>
        </w:rPr>
        <w:t xml:space="preserve">. </w:t>
      </w:r>
      <w:r w:rsidR="002B411B" w:rsidRPr="0041630D">
        <w:rPr>
          <w:rFonts w:ascii="Arial" w:hAnsi="Arial" w:cs="Arial"/>
        </w:rPr>
        <w:t xml:space="preserve">In 2010, the </w:t>
      </w:r>
      <w:proofErr w:type="spellStart"/>
      <w:r w:rsidR="002B411B" w:rsidRPr="0041630D">
        <w:rPr>
          <w:rFonts w:ascii="Arial" w:hAnsi="Arial" w:cs="Arial"/>
        </w:rPr>
        <w:t>MoH</w:t>
      </w:r>
      <w:proofErr w:type="spellEnd"/>
      <w:r w:rsidR="002B411B" w:rsidRPr="0041630D">
        <w:rPr>
          <w:rFonts w:ascii="Arial" w:hAnsi="Arial" w:cs="Arial"/>
        </w:rPr>
        <w:t xml:space="preserve"> introduced its Health Gender Equality and Social Inclusion (GESI) Strategy. In 2012, the institutional mechanism for mainstreaming GESI in the health sector was developed (</w:t>
      </w:r>
      <w:r w:rsidR="002B411B" w:rsidRPr="0041630D">
        <w:rPr>
          <w:rFonts w:ascii="Arial" w:hAnsi="Arial" w:cs="Arial"/>
          <w:i/>
        </w:rPr>
        <w:t>Annex-5, p9</w:t>
      </w:r>
      <w:r w:rsidR="002B411B" w:rsidRPr="0041630D">
        <w:rPr>
          <w:rFonts w:ascii="Arial" w:hAnsi="Arial" w:cs="Arial"/>
        </w:rPr>
        <w:t>).</w:t>
      </w:r>
      <w:r w:rsidR="0041630D" w:rsidRPr="0041630D">
        <w:rPr>
          <w:rFonts w:ascii="Arial" w:hAnsi="Arial" w:cs="Arial"/>
        </w:rPr>
        <w:t xml:space="preserve"> </w:t>
      </w:r>
    </w:p>
    <w:p w14:paraId="2F23EA2C" w14:textId="61B488CB" w:rsidR="00044BA0" w:rsidRDefault="00044BA0" w:rsidP="00044BA0">
      <w:pPr>
        <w:spacing w:line="240" w:lineRule="auto"/>
        <w:jc w:val="both"/>
        <w:rPr>
          <w:rFonts w:ascii="Arial" w:hAnsi="Arial" w:cs="Arial"/>
        </w:rPr>
      </w:pPr>
      <w:r w:rsidRPr="00D57C02">
        <w:rPr>
          <w:rFonts w:ascii="Arial" w:hAnsi="Arial" w:cs="Arial"/>
        </w:rPr>
        <w:t>During the last ten years (NHSP-1 and NHSP-2), the budget allocated for capital expenditure increased by just under three times (from NPR 1.6 billion to NPR 4.5 billion) while the amount allocated for recurrent expenditure increased almost five times (from NPR 5.9 billion to NPR 29 billion</w:t>
      </w:r>
      <w:r w:rsidR="0088526E">
        <w:rPr>
          <w:rFonts w:ascii="Arial" w:hAnsi="Arial" w:cs="Arial"/>
        </w:rPr>
        <w:t xml:space="preserve"> </w:t>
      </w:r>
      <w:r w:rsidRPr="00BA5BF5">
        <w:rPr>
          <w:rFonts w:ascii="Arial" w:hAnsi="Arial" w:cs="Arial"/>
        </w:rPr>
        <w:t>(</w:t>
      </w:r>
      <w:r w:rsidRPr="003D553C">
        <w:rPr>
          <w:rFonts w:ascii="Arial" w:hAnsi="Arial" w:cs="Arial"/>
          <w:i/>
        </w:rPr>
        <w:t>Annex-28, pages iii-iv</w:t>
      </w:r>
      <w:r w:rsidRPr="00BA5BF5">
        <w:rPr>
          <w:rFonts w:ascii="Arial" w:hAnsi="Arial" w:cs="Arial"/>
        </w:rPr>
        <w:t>).</w:t>
      </w:r>
      <w:r w:rsidRPr="00DF0A74">
        <w:rPr>
          <w:rFonts w:ascii="Arial" w:hAnsi="Arial" w:cs="Arial"/>
        </w:rPr>
        <w:t xml:space="preserve"> </w:t>
      </w:r>
    </w:p>
    <w:p w14:paraId="500732BE" w14:textId="3A42EB16" w:rsidR="009B7CCB" w:rsidRDefault="009B7CCB" w:rsidP="009B7CCB">
      <w:pPr>
        <w:spacing w:line="240" w:lineRule="auto"/>
        <w:jc w:val="both"/>
        <w:rPr>
          <w:rFonts w:ascii="Arial" w:hAnsi="Arial" w:cs="Arial"/>
        </w:rPr>
      </w:pPr>
      <w:r w:rsidRPr="00D57C02">
        <w:rPr>
          <w:rFonts w:ascii="Arial" w:hAnsi="Arial" w:cs="Arial"/>
        </w:rPr>
        <w:t xml:space="preserve">The </w:t>
      </w:r>
      <w:proofErr w:type="spellStart"/>
      <w:r w:rsidRPr="00D57C02">
        <w:rPr>
          <w:rFonts w:ascii="Arial" w:hAnsi="Arial" w:cs="Arial"/>
        </w:rPr>
        <w:t>MoH</w:t>
      </w:r>
      <w:proofErr w:type="spellEnd"/>
      <w:r w:rsidRPr="00D57C02">
        <w:rPr>
          <w:rFonts w:ascii="Arial" w:hAnsi="Arial" w:cs="Arial"/>
        </w:rPr>
        <w:t xml:space="preserve"> </w:t>
      </w:r>
      <w:r w:rsidR="00B81CF8">
        <w:rPr>
          <w:rFonts w:ascii="Arial" w:hAnsi="Arial" w:cs="Arial"/>
        </w:rPr>
        <w:t>was able to</w:t>
      </w:r>
      <w:r w:rsidRPr="00D57C02">
        <w:rPr>
          <w:rFonts w:ascii="Arial" w:hAnsi="Arial" w:cs="Arial"/>
        </w:rPr>
        <w:t xml:space="preserve"> secure more than 7% of the national budget in NHSP-1 and NHSP-2 periods and would develop and implement a </w:t>
      </w:r>
      <w:r w:rsidRPr="00302B91">
        <w:rPr>
          <w:rFonts w:ascii="Arial" w:hAnsi="Arial" w:cs="Arial"/>
          <w:u w:val="single"/>
        </w:rPr>
        <w:t>National Health Financing Strategy</w:t>
      </w:r>
      <w:r w:rsidRPr="00D57C02">
        <w:rPr>
          <w:rFonts w:ascii="Arial" w:hAnsi="Arial" w:cs="Arial"/>
        </w:rPr>
        <w:t xml:space="preserve"> to identify and prioritize the </w:t>
      </w:r>
      <w:r>
        <w:rPr>
          <w:rFonts w:ascii="Arial" w:hAnsi="Arial" w:cs="Arial"/>
        </w:rPr>
        <w:t xml:space="preserve">resource mobilization </w:t>
      </w:r>
      <w:r w:rsidRPr="00D57C02">
        <w:rPr>
          <w:rFonts w:ascii="Arial" w:hAnsi="Arial" w:cs="Arial"/>
        </w:rPr>
        <w:t xml:space="preserve">required to deliver universal health coverage. </w:t>
      </w:r>
      <w:r>
        <w:rPr>
          <w:rFonts w:ascii="Arial" w:hAnsi="Arial" w:cs="Arial"/>
        </w:rPr>
        <w:t>To improve a</w:t>
      </w:r>
      <w:r w:rsidRPr="00D57C02">
        <w:rPr>
          <w:rFonts w:ascii="Arial" w:hAnsi="Arial" w:cs="Arial"/>
        </w:rPr>
        <w:t xml:space="preserve">bsorption of contributions from </w:t>
      </w:r>
      <w:r>
        <w:rPr>
          <w:rFonts w:ascii="Arial" w:hAnsi="Arial" w:cs="Arial"/>
        </w:rPr>
        <w:t>External Donor Partners (</w:t>
      </w:r>
      <w:r w:rsidRPr="00D57C02">
        <w:rPr>
          <w:rFonts w:ascii="Arial" w:hAnsi="Arial" w:cs="Arial"/>
        </w:rPr>
        <w:t>EDP</w:t>
      </w:r>
      <w:r>
        <w:rPr>
          <w:rFonts w:ascii="Arial" w:hAnsi="Arial" w:cs="Arial"/>
        </w:rPr>
        <w:t>)</w:t>
      </w:r>
      <w:r w:rsidRPr="00D57C02">
        <w:rPr>
          <w:rFonts w:ascii="Arial" w:hAnsi="Arial" w:cs="Arial"/>
        </w:rPr>
        <w:t xml:space="preserve"> the </w:t>
      </w:r>
      <w:proofErr w:type="spellStart"/>
      <w:r w:rsidRPr="00D57C02">
        <w:rPr>
          <w:rFonts w:ascii="Arial" w:hAnsi="Arial" w:cs="Arial"/>
        </w:rPr>
        <w:t>MoH</w:t>
      </w:r>
      <w:proofErr w:type="spellEnd"/>
      <w:r w:rsidRPr="00D57C02">
        <w:rPr>
          <w:rFonts w:ascii="Arial" w:hAnsi="Arial" w:cs="Arial"/>
        </w:rPr>
        <w:t xml:space="preserve"> to incorporate the reporting of direct funds from External Development Partners (EDP) in the Transaction Accounting and Budget Control System (TABUCS) based on the agreements </w:t>
      </w:r>
      <w:r w:rsidRPr="00D57C02">
        <w:rPr>
          <w:rFonts w:ascii="Arial" w:hAnsi="Arial" w:cs="Arial"/>
        </w:rPr>
        <w:lastRenderedPageBreak/>
        <w:t xml:space="preserve">between the </w:t>
      </w:r>
      <w:proofErr w:type="spellStart"/>
      <w:r w:rsidRPr="00D57C02">
        <w:rPr>
          <w:rFonts w:ascii="Arial" w:hAnsi="Arial" w:cs="Arial"/>
        </w:rPr>
        <w:t>MoH</w:t>
      </w:r>
      <w:proofErr w:type="spellEnd"/>
      <w:r w:rsidRPr="00D57C02">
        <w:rPr>
          <w:rFonts w:ascii="Arial" w:hAnsi="Arial" w:cs="Arial"/>
        </w:rPr>
        <w:t xml:space="preserve"> and the EDP under the Joint Financing Arrangement. </w:t>
      </w:r>
      <w:r>
        <w:rPr>
          <w:rFonts w:ascii="Arial" w:hAnsi="Arial" w:cs="Arial"/>
        </w:rPr>
        <w:t>As t</w:t>
      </w:r>
      <w:r w:rsidRPr="00D57C02">
        <w:rPr>
          <w:rFonts w:ascii="Arial" w:hAnsi="Arial" w:cs="Arial"/>
        </w:rPr>
        <w:t>here is no national mechanism to capture local revenues and expenditures that occur in health facilities</w:t>
      </w:r>
      <w:r>
        <w:rPr>
          <w:rFonts w:ascii="Arial" w:hAnsi="Arial" w:cs="Arial"/>
        </w:rPr>
        <w:t>,</w:t>
      </w:r>
      <w:r w:rsidRPr="00D57C02">
        <w:rPr>
          <w:rFonts w:ascii="Arial" w:hAnsi="Arial" w:cs="Arial"/>
        </w:rPr>
        <w:t xml:space="preserve"> hence capacity building of hospitals is required to capture local revenues and local resources in the TABUCs to give a more comprehensive picture of income and expenditure. The </w:t>
      </w:r>
      <w:proofErr w:type="spellStart"/>
      <w:r w:rsidRPr="00D57C02">
        <w:rPr>
          <w:rFonts w:ascii="Arial" w:hAnsi="Arial" w:cs="Arial"/>
        </w:rPr>
        <w:t>MoH</w:t>
      </w:r>
      <w:proofErr w:type="spellEnd"/>
      <w:r w:rsidRPr="00D57C02">
        <w:rPr>
          <w:rFonts w:ascii="Arial" w:hAnsi="Arial" w:cs="Arial"/>
        </w:rPr>
        <w:t xml:space="preserve"> would develop a standard budget allocation policy for the allocation of resources to districts by central units</w:t>
      </w:r>
      <w:r w:rsidRPr="00D57C02">
        <w:rPr>
          <w:rStyle w:val="EndnoteReference"/>
          <w:rFonts w:ascii="Arial" w:hAnsi="Arial" w:cs="Arial"/>
        </w:rPr>
        <w:endnoteReference w:id="16"/>
      </w:r>
      <w:r w:rsidRPr="00D57C02">
        <w:rPr>
          <w:rFonts w:ascii="Arial" w:hAnsi="Arial" w:cs="Arial"/>
        </w:rPr>
        <w:t>.</w:t>
      </w:r>
    </w:p>
    <w:p w14:paraId="75BA1700" w14:textId="77777777" w:rsidR="00CD274F" w:rsidRPr="00075DB9" w:rsidRDefault="00CD274F" w:rsidP="00CD274F">
      <w:pPr>
        <w:spacing w:line="240" w:lineRule="auto"/>
        <w:jc w:val="center"/>
        <w:rPr>
          <w:rFonts w:ascii="Arial" w:hAnsi="Arial" w:cs="Arial"/>
          <w:b/>
          <w:sz w:val="20"/>
          <w:szCs w:val="20"/>
        </w:rPr>
      </w:pPr>
      <w:r w:rsidRPr="00075DB9">
        <w:rPr>
          <w:rFonts w:ascii="Arial" w:hAnsi="Arial" w:cs="Arial"/>
          <w:b/>
          <w:sz w:val="20"/>
          <w:szCs w:val="20"/>
        </w:rPr>
        <w:t>Figure-4: Funding trend (</w:t>
      </w:r>
      <w:proofErr w:type="spellStart"/>
      <w:r w:rsidRPr="00075DB9">
        <w:rPr>
          <w:rFonts w:ascii="Arial" w:hAnsi="Arial" w:cs="Arial"/>
          <w:b/>
          <w:sz w:val="20"/>
          <w:szCs w:val="20"/>
        </w:rPr>
        <w:t>GoN</w:t>
      </w:r>
      <w:proofErr w:type="spellEnd"/>
      <w:r w:rsidRPr="00075DB9">
        <w:rPr>
          <w:rFonts w:ascii="Arial" w:hAnsi="Arial" w:cs="Arial"/>
          <w:b/>
          <w:sz w:val="20"/>
          <w:szCs w:val="20"/>
        </w:rPr>
        <w:t xml:space="preserve"> vs EDP) from 2005-06 to 2016/17 (NPR in billions) </w:t>
      </w:r>
    </w:p>
    <w:p w14:paraId="022041DF" w14:textId="19E69413" w:rsidR="00CD274F" w:rsidRDefault="00CD274F" w:rsidP="00CD274F">
      <w:pPr>
        <w:spacing w:line="240" w:lineRule="auto"/>
        <w:jc w:val="center"/>
        <w:rPr>
          <w:rFonts w:ascii="Arial" w:hAnsi="Arial" w:cs="Arial"/>
        </w:rPr>
      </w:pPr>
      <w:r w:rsidRPr="00D57C02">
        <w:rPr>
          <w:noProof/>
          <w:lang w:eastAsia="en-GB"/>
        </w:rPr>
        <w:drawing>
          <wp:inline distT="0" distB="0" distL="0" distR="0" wp14:anchorId="3DCB595F" wp14:editId="3D305B64">
            <wp:extent cx="4502609" cy="2310447"/>
            <wp:effectExtent l="19050" t="19050" r="12700" b="13970"/>
            <wp:docPr id="4" name="Picture 4" descr="C:\Users\Pratap\AppData\Local\Microsoft\Windows\INetCache\Content.Word\Funding in Bill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ap\AppData\Local\Microsoft\Windows\INetCache\Content.Word\Funding in Billion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15726" cy="2317178"/>
                    </a:xfrm>
                    <a:prstGeom prst="rect">
                      <a:avLst/>
                    </a:prstGeom>
                    <a:noFill/>
                    <a:ln w="9525">
                      <a:solidFill>
                        <a:schemeClr val="tx1"/>
                      </a:solidFill>
                    </a:ln>
                  </pic:spPr>
                </pic:pic>
              </a:graphicData>
            </a:graphic>
          </wp:inline>
        </w:drawing>
      </w:r>
    </w:p>
    <w:p w14:paraId="623EE175" w14:textId="77777777" w:rsidR="00CD274F" w:rsidRDefault="00CD274F" w:rsidP="00CD274F">
      <w:pPr>
        <w:spacing w:after="0" w:line="240" w:lineRule="auto"/>
        <w:jc w:val="both"/>
        <w:rPr>
          <w:rFonts w:ascii="Arial" w:hAnsi="Arial" w:cs="Arial"/>
        </w:rPr>
      </w:pPr>
      <w:r w:rsidRPr="0041630D">
        <w:rPr>
          <w:rFonts w:ascii="Arial" w:hAnsi="Arial" w:cs="Arial"/>
        </w:rPr>
        <w:t>There was a regular increase of the EDPs’ budgets over the NHSP-1 period, while under NHSP-2 there was a decrease in 2012/13 (Figure-4). The absorption of EDP funding was relatively better in NHSP-1 than NHSP-2. This could be due to weak or no reporting of EDP direct funding, which is reflected in the Red Book but is not captured in government expenditure records (</w:t>
      </w:r>
      <w:r w:rsidRPr="0041630D">
        <w:rPr>
          <w:rFonts w:ascii="Arial" w:hAnsi="Arial" w:cs="Arial"/>
          <w:i/>
        </w:rPr>
        <w:t>Annex-28, page 11</w:t>
      </w:r>
      <w:r w:rsidRPr="0041630D">
        <w:rPr>
          <w:rFonts w:ascii="Arial" w:hAnsi="Arial" w:cs="Arial"/>
        </w:rPr>
        <w:t xml:space="preserve">). In NHSP-1 and NHSP-2 period the government’s budget allocation for </w:t>
      </w:r>
      <w:proofErr w:type="spellStart"/>
      <w:r w:rsidRPr="0041630D">
        <w:rPr>
          <w:rFonts w:ascii="Arial" w:hAnsi="Arial" w:cs="Arial"/>
        </w:rPr>
        <w:t>MoH</w:t>
      </w:r>
      <w:proofErr w:type="spellEnd"/>
      <w:r w:rsidRPr="0041630D">
        <w:rPr>
          <w:rFonts w:ascii="Arial" w:hAnsi="Arial" w:cs="Arial"/>
        </w:rPr>
        <w:t xml:space="preserve"> increased more</w:t>
      </w:r>
      <w:r w:rsidRPr="00772777">
        <w:rPr>
          <w:rFonts w:ascii="Arial" w:hAnsi="Arial" w:cs="Arial"/>
        </w:rPr>
        <w:t xml:space="preserve"> than five times while the amount allocated by EDPs increased by less than four times. </w:t>
      </w:r>
    </w:p>
    <w:p w14:paraId="23B663D9" w14:textId="77777777" w:rsidR="0041630D" w:rsidRDefault="0041630D" w:rsidP="00D91F77">
      <w:pPr>
        <w:spacing w:after="0" w:line="240" w:lineRule="auto"/>
        <w:rPr>
          <w:rFonts w:ascii="Arial" w:hAnsi="Arial" w:cs="Arial"/>
          <w:b/>
        </w:rPr>
      </w:pPr>
    </w:p>
    <w:p w14:paraId="4A25CF51" w14:textId="28F6EB87" w:rsidR="00D91F77" w:rsidRDefault="007E2152" w:rsidP="00D91F77">
      <w:pPr>
        <w:spacing w:after="0" w:line="240" w:lineRule="auto"/>
        <w:rPr>
          <w:rFonts w:ascii="Arial" w:hAnsi="Arial" w:cs="Arial"/>
        </w:rPr>
      </w:pPr>
      <w:r w:rsidRPr="006E1B00">
        <w:rPr>
          <w:rFonts w:ascii="Arial" w:hAnsi="Arial" w:cs="Arial"/>
          <w:b/>
        </w:rPr>
        <w:t>b)</w:t>
      </w:r>
      <w:r w:rsidR="00664E40" w:rsidRPr="00D57C02">
        <w:rPr>
          <w:rFonts w:ascii="Arial" w:hAnsi="Arial" w:cs="Arial"/>
        </w:rPr>
        <w:t xml:space="preserve"> </w:t>
      </w:r>
      <w:r w:rsidR="00664E40" w:rsidRPr="00D57C02">
        <w:rPr>
          <w:rFonts w:ascii="Arial" w:hAnsi="Arial" w:cs="Arial"/>
          <w:b/>
        </w:rPr>
        <w:t>No</w:t>
      </w:r>
      <w:r w:rsidR="00664E40" w:rsidRPr="00D57C02">
        <w:rPr>
          <w:rFonts w:ascii="Arial" w:hAnsi="Arial" w:cs="Arial"/>
        </w:rPr>
        <w:t>.</w:t>
      </w:r>
    </w:p>
    <w:p w14:paraId="2C6FF46F" w14:textId="77777777" w:rsidR="002E0175" w:rsidRDefault="002E0175" w:rsidP="00D91F77">
      <w:pPr>
        <w:spacing w:after="0" w:line="240" w:lineRule="auto"/>
        <w:rPr>
          <w:rFonts w:ascii="Arial" w:hAnsi="Arial" w:cs="Arial"/>
        </w:rPr>
      </w:pPr>
    </w:p>
    <w:p w14:paraId="7023C490" w14:textId="38E4BE8B" w:rsidR="00127A64" w:rsidRDefault="00A70994" w:rsidP="00D91F77">
      <w:pPr>
        <w:spacing w:after="0" w:line="240" w:lineRule="auto"/>
        <w:jc w:val="both"/>
        <w:rPr>
          <w:rFonts w:ascii="Arial" w:hAnsi="Arial" w:cs="Arial"/>
        </w:rPr>
      </w:pPr>
      <w:r w:rsidRPr="006E1B00">
        <w:rPr>
          <w:rFonts w:ascii="Arial" w:hAnsi="Arial" w:cs="Arial"/>
          <w:b/>
        </w:rPr>
        <w:t>c)</w:t>
      </w:r>
      <w:r w:rsidRPr="00D57C02">
        <w:rPr>
          <w:rFonts w:ascii="Arial" w:hAnsi="Arial" w:cs="Arial"/>
        </w:rPr>
        <w:t xml:space="preserve"> </w:t>
      </w:r>
      <w:r w:rsidR="00664E40" w:rsidRPr="00D57C02">
        <w:rPr>
          <w:rFonts w:ascii="Arial" w:hAnsi="Arial" w:cs="Arial"/>
          <w:b/>
        </w:rPr>
        <w:t>No</w:t>
      </w:r>
      <w:r w:rsidR="00664E40" w:rsidRPr="00D57C02">
        <w:rPr>
          <w:rFonts w:ascii="Arial" w:hAnsi="Arial" w:cs="Arial"/>
        </w:rPr>
        <w:t xml:space="preserve">. </w:t>
      </w:r>
      <w:r w:rsidR="002C3880">
        <w:rPr>
          <w:rFonts w:ascii="Arial" w:hAnsi="Arial" w:cs="Arial"/>
        </w:rPr>
        <w:t xml:space="preserve">- </w:t>
      </w:r>
      <w:r w:rsidR="00B677C7" w:rsidRPr="00D57C02">
        <w:rPr>
          <w:rFonts w:ascii="Arial" w:hAnsi="Arial" w:cs="Arial"/>
        </w:rPr>
        <w:t xml:space="preserve">During </w:t>
      </w:r>
      <w:r w:rsidRPr="00D57C02">
        <w:rPr>
          <w:rFonts w:ascii="Arial" w:hAnsi="Arial" w:cs="Arial"/>
        </w:rPr>
        <w:t xml:space="preserve">2014-2016, the government </w:t>
      </w:r>
      <w:r w:rsidR="00B677C7" w:rsidRPr="00D57C02">
        <w:rPr>
          <w:rFonts w:ascii="Arial" w:hAnsi="Arial" w:cs="Arial"/>
        </w:rPr>
        <w:t xml:space="preserve">faced a several challenges, </w:t>
      </w:r>
      <w:r w:rsidR="0009058F">
        <w:rPr>
          <w:rFonts w:ascii="Arial" w:hAnsi="Arial" w:cs="Arial"/>
        </w:rPr>
        <w:t>including</w:t>
      </w:r>
      <w:r w:rsidR="00B677C7" w:rsidRPr="00D57C02">
        <w:rPr>
          <w:rFonts w:ascii="Arial" w:hAnsi="Arial" w:cs="Arial"/>
        </w:rPr>
        <w:t xml:space="preserve"> </w:t>
      </w:r>
      <w:r w:rsidRPr="00D57C02">
        <w:rPr>
          <w:rFonts w:ascii="Arial" w:hAnsi="Arial" w:cs="Arial"/>
        </w:rPr>
        <w:t xml:space="preserve">natural disasters, political unrest and </w:t>
      </w:r>
      <w:r w:rsidR="0009058F">
        <w:rPr>
          <w:rFonts w:ascii="Arial" w:hAnsi="Arial" w:cs="Arial"/>
        </w:rPr>
        <w:t>an embargo</w:t>
      </w:r>
      <w:r w:rsidRPr="00D57C02">
        <w:rPr>
          <w:rFonts w:ascii="Arial" w:hAnsi="Arial" w:cs="Arial"/>
        </w:rPr>
        <w:t xml:space="preserve"> </w:t>
      </w:r>
      <w:r w:rsidR="0009058F">
        <w:rPr>
          <w:rFonts w:ascii="Arial" w:hAnsi="Arial" w:cs="Arial"/>
        </w:rPr>
        <w:t xml:space="preserve">at the Indo-Nepal border, </w:t>
      </w:r>
      <w:r w:rsidRPr="00D57C02">
        <w:rPr>
          <w:rFonts w:ascii="Arial" w:hAnsi="Arial" w:cs="Arial"/>
        </w:rPr>
        <w:t>which slowed the economic progress</w:t>
      </w:r>
      <w:r w:rsidR="00410585" w:rsidRPr="00D57C02">
        <w:rPr>
          <w:rFonts w:ascii="Arial" w:hAnsi="Arial" w:cs="Arial"/>
        </w:rPr>
        <w:t xml:space="preserve">. The GDP growth crawled to 0.8% in 2016 after the devastating earthquake in previous fiscal </w:t>
      </w:r>
      <w:r w:rsidR="00B677C7" w:rsidRPr="00D57C02">
        <w:rPr>
          <w:rFonts w:ascii="Arial" w:hAnsi="Arial" w:cs="Arial"/>
        </w:rPr>
        <w:t>year</w:t>
      </w:r>
      <w:r w:rsidR="00410585" w:rsidRPr="00D57C02">
        <w:rPr>
          <w:rFonts w:ascii="Arial" w:hAnsi="Arial" w:cs="Arial"/>
        </w:rPr>
        <w:t xml:space="preserve"> (2015)</w:t>
      </w:r>
      <w:r w:rsidR="00127A64" w:rsidRPr="00D57C02">
        <w:rPr>
          <w:rFonts w:ascii="Arial" w:hAnsi="Arial" w:cs="Arial"/>
        </w:rPr>
        <w:t xml:space="preserve">. </w:t>
      </w:r>
      <w:r w:rsidR="0083047B" w:rsidRPr="00D57C02">
        <w:rPr>
          <w:rFonts w:ascii="Arial" w:hAnsi="Arial" w:cs="Arial"/>
        </w:rPr>
        <w:t>In 2012, Nepal ranked third globally for the remittances it received from abroad as a percentage of its gross domestic product (GDP)</w:t>
      </w:r>
      <w:r w:rsidR="00BB29A4">
        <w:rPr>
          <w:rFonts w:ascii="Arial" w:hAnsi="Arial" w:cs="Arial"/>
        </w:rPr>
        <w:t xml:space="preserve">, </w:t>
      </w:r>
      <w:r w:rsidR="0083047B" w:rsidRPr="00D57C02">
        <w:rPr>
          <w:rFonts w:ascii="Arial" w:hAnsi="Arial" w:cs="Arial"/>
        </w:rPr>
        <w:t xml:space="preserve"> </w:t>
      </w:r>
      <w:r w:rsidR="00BB29A4">
        <w:rPr>
          <w:rFonts w:ascii="Arial" w:hAnsi="Arial" w:cs="Arial"/>
        </w:rPr>
        <w:t>a</w:t>
      </w:r>
      <w:r w:rsidR="0083047B" w:rsidRPr="00D57C02">
        <w:rPr>
          <w:rFonts w:ascii="Arial" w:hAnsi="Arial" w:cs="Arial"/>
        </w:rPr>
        <w:t>ccounting for 24.7</w:t>
      </w:r>
      <w:r w:rsidR="00613C9F" w:rsidRPr="00D57C02">
        <w:rPr>
          <w:rFonts w:ascii="Arial" w:hAnsi="Arial" w:cs="Arial"/>
        </w:rPr>
        <w:t>%</w:t>
      </w:r>
      <w:r w:rsidR="00BB29A4">
        <w:rPr>
          <w:rFonts w:ascii="Arial" w:hAnsi="Arial" w:cs="Arial"/>
        </w:rPr>
        <w:t xml:space="preserve"> equivalent of Nepal’s GDP;</w:t>
      </w:r>
      <w:r w:rsidR="0083047B" w:rsidRPr="00D57C02">
        <w:rPr>
          <w:rFonts w:ascii="Arial" w:hAnsi="Arial" w:cs="Arial"/>
        </w:rPr>
        <w:t xml:space="preserve"> remittance earnings were estimated at more than USD 5.2 billion</w:t>
      </w:r>
      <w:r w:rsidR="00613C9F" w:rsidRPr="00D57C02">
        <w:rPr>
          <w:rStyle w:val="EndnoteReference"/>
          <w:rFonts w:ascii="Arial" w:hAnsi="Arial" w:cs="Arial"/>
        </w:rPr>
        <w:endnoteReference w:id="17"/>
      </w:r>
      <w:r w:rsidR="00613C9F" w:rsidRPr="00D57C02">
        <w:rPr>
          <w:rFonts w:ascii="Arial" w:hAnsi="Arial" w:cs="Arial"/>
        </w:rPr>
        <w:t xml:space="preserve">. However, </w:t>
      </w:r>
      <w:r w:rsidR="00BB29A4" w:rsidRPr="00D57C02">
        <w:rPr>
          <w:rFonts w:ascii="Arial" w:hAnsi="Arial" w:cs="Arial"/>
        </w:rPr>
        <w:t>during 2014-2015</w:t>
      </w:r>
      <w:r w:rsidR="00BB29A4">
        <w:rPr>
          <w:rFonts w:ascii="Arial" w:hAnsi="Arial" w:cs="Arial"/>
        </w:rPr>
        <w:t xml:space="preserve">, </w:t>
      </w:r>
      <w:r w:rsidR="00613C9F" w:rsidRPr="00D57C02">
        <w:rPr>
          <w:rFonts w:ascii="Arial" w:hAnsi="Arial" w:cs="Arial"/>
        </w:rPr>
        <w:t>r</w:t>
      </w:r>
      <w:r w:rsidR="00127A64" w:rsidRPr="00D57C02">
        <w:rPr>
          <w:rFonts w:ascii="Arial" w:hAnsi="Arial" w:cs="Arial"/>
        </w:rPr>
        <w:t>emittances from workers</w:t>
      </w:r>
      <w:r w:rsidR="00281242" w:rsidRPr="00D57C02">
        <w:rPr>
          <w:rFonts w:ascii="Arial" w:hAnsi="Arial" w:cs="Arial"/>
        </w:rPr>
        <w:t xml:space="preserve"> employed abroad </w:t>
      </w:r>
      <w:r w:rsidR="00127A64" w:rsidRPr="00D57C02">
        <w:rPr>
          <w:rFonts w:ascii="Arial" w:hAnsi="Arial" w:cs="Arial"/>
        </w:rPr>
        <w:t>diminished</w:t>
      </w:r>
      <w:r w:rsidR="00613C9F" w:rsidRPr="00D57C02">
        <w:rPr>
          <w:rFonts w:ascii="Arial" w:hAnsi="Arial" w:cs="Arial"/>
        </w:rPr>
        <w:t xml:space="preserve">, </w:t>
      </w:r>
      <w:r w:rsidR="00127A64" w:rsidRPr="00D57C02">
        <w:rPr>
          <w:rFonts w:ascii="Arial" w:hAnsi="Arial" w:cs="Arial"/>
        </w:rPr>
        <w:t>le</w:t>
      </w:r>
      <w:r w:rsidR="00664E40" w:rsidRPr="00D57C02">
        <w:rPr>
          <w:rFonts w:ascii="Arial" w:hAnsi="Arial" w:cs="Arial"/>
        </w:rPr>
        <w:t>ading</w:t>
      </w:r>
      <w:r w:rsidR="00127A64" w:rsidRPr="00D57C02">
        <w:rPr>
          <w:rFonts w:ascii="Arial" w:hAnsi="Arial" w:cs="Arial"/>
        </w:rPr>
        <w:t xml:space="preserve"> to further deficit</w:t>
      </w:r>
      <w:r w:rsidR="008F6A2C" w:rsidRPr="00D57C02">
        <w:rPr>
          <w:rStyle w:val="EndnoteReference"/>
          <w:rFonts w:ascii="Arial" w:hAnsi="Arial" w:cs="Arial"/>
        </w:rPr>
        <w:endnoteReference w:id="18"/>
      </w:r>
      <w:r w:rsidR="008F6A2C" w:rsidRPr="00D57C02">
        <w:rPr>
          <w:rFonts w:ascii="Arial" w:hAnsi="Arial" w:cs="Arial"/>
        </w:rPr>
        <w:t>.</w:t>
      </w:r>
      <w:r w:rsidR="00127A64" w:rsidRPr="00D57C02">
        <w:rPr>
          <w:rFonts w:ascii="Arial" w:hAnsi="Arial" w:cs="Arial"/>
        </w:rPr>
        <w:t xml:space="preserve"> In addition, a</w:t>
      </w:r>
      <w:r w:rsidR="00B677C7" w:rsidRPr="00D57C02">
        <w:rPr>
          <w:rFonts w:ascii="Arial" w:hAnsi="Arial" w:cs="Arial"/>
        </w:rPr>
        <w:t xml:space="preserve"> </w:t>
      </w:r>
      <w:r w:rsidR="00410585" w:rsidRPr="00D57C02">
        <w:rPr>
          <w:rFonts w:ascii="Arial" w:hAnsi="Arial" w:cs="Arial"/>
        </w:rPr>
        <w:t>weak monsoon</w:t>
      </w:r>
      <w:r w:rsidR="00B677C7" w:rsidRPr="00D57C02">
        <w:rPr>
          <w:rFonts w:ascii="Arial" w:hAnsi="Arial" w:cs="Arial"/>
        </w:rPr>
        <w:t xml:space="preserve"> affected agriculture which accounts for 34% of the GDP</w:t>
      </w:r>
      <w:r w:rsidR="008F6A2C" w:rsidRPr="00D57C02">
        <w:rPr>
          <w:rStyle w:val="EndnoteReference"/>
          <w:rFonts w:ascii="Arial" w:hAnsi="Arial" w:cs="Arial"/>
        </w:rPr>
        <w:endnoteReference w:id="19"/>
      </w:r>
      <w:r w:rsidR="00281242" w:rsidRPr="00D57C02">
        <w:rPr>
          <w:rFonts w:ascii="Arial" w:hAnsi="Arial" w:cs="Arial"/>
        </w:rPr>
        <w:t xml:space="preserve">. </w:t>
      </w:r>
      <w:r w:rsidR="00AF4E53" w:rsidRPr="00D57C02">
        <w:rPr>
          <w:rFonts w:ascii="Arial" w:hAnsi="Arial" w:cs="Arial"/>
        </w:rPr>
        <w:t xml:space="preserve">At the same time, </w:t>
      </w:r>
      <w:proofErr w:type="spellStart"/>
      <w:r w:rsidR="00AF4E53" w:rsidRPr="00D57C02">
        <w:rPr>
          <w:rFonts w:ascii="Arial" w:hAnsi="Arial" w:cs="Arial"/>
        </w:rPr>
        <w:t>MoH’s</w:t>
      </w:r>
      <w:proofErr w:type="spellEnd"/>
      <w:r w:rsidR="00AF4E53" w:rsidRPr="00D57C02">
        <w:rPr>
          <w:rFonts w:ascii="Arial" w:hAnsi="Arial" w:cs="Arial"/>
        </w:rPr>
        <w:t xml:space="preserve"> budget decreased from 6.29% of the national budget to 5.42% in 2014/15. This was mainly because the </w:t>
      </w:r>
      <w:proofErr w:type="spellStart"/>
      <w:r w:rsidR="002813B0" w:rsidRPr="00D57C02">
        <w:rPr>
          <w:rFonts w:ascii="Arial" w:hAnsi="Arial" w:cs="Arial"/>
        </w:rPr>
        <w:t>GoN</w:t>
      </w:r>
      <w:proofErr w:type="spellEnd"/>
      <w:r w:rsidR="00AF4E53" w:rsidRPr="00D57C02">
        <w:rPr>
          <w:rFonts w:ascii="Arial" w:hAnsi="Arial" w:cs="Arial"/>
        </w:rPr>
        <w:t xml:space="preserve"> increased the budget for other sectors, especially education and social security.</w:t>
      </w:r>
      <w:r w:rsidR="002813B0" w:rsidRPr="00D57C02">
        <w:rPr>
          <w:rFonts w:ascii="Arial" w:hAnsi="Arial" w:cs="Arial"/>
        </w:rPr>
        <w:t xml:space="preserve"> </w:t>
      </w:r>
    </w:p>
    <w:p w14:paraId="1B7CAFE2" w14:textId="77777777" w:rsidR="006E1B00" w:rsidRDefault="006E1B00" w:rsidP="00D91F77">
      <w:pPr>
        <w:spacing w:after="0" w:line="240" w:lineRule="auto"/>
        <w:jc w:val="both"/>
        <w:rPr>
          <w:rFonts w:ascii="Arial" w:hAnsi="Arial" w:cs="Arial"/>
        </w:rPr>
      </w:pPr>
    </w:p>
    <w:p w14:paraId="5317BF90" w14:textId="0F8AD4CE" w:rsidR="00BC6BBE" w:rsidRDefault="007E2152" w:rsidP="00BC6BBE">
      <w:pPr>
        <w:tabs>
          <w:tab w:val="num" w:pos="720"/>
        </w:tabs>
        <w:spacing w:after="0" w:line="240" w:lineRule="auto"/>
        <w:jc w:val="both"/>
        <w:rPr>
          <w:rFonts w:ascii="Arial" w:hAnsi="Arial" w:cs="Arial"/>
        </w:rPr>
      </w:pPr>
      <w:r w:rsidRPr="006E1B00">
        <w:rPr>
          <w:rFonts w:ascii="Arial" w:hAnsi="Arial" w:cs="Arial"/>
          <w:b/>
        </w:rPr>
        <w:t>d)</w:t>
      </w:r>
      <w:r w:rsidR="009100DD" w:rsidRPr="00D91F77">
        <w:rPr>
          <w:rFonts w:ascii="Arial" w:hAnsi="Arial" w:cs="Arial"/>
        </w:rPr>
        <w:t xml:space="preserve"> </w:t>
      </w:r>
      <w:r w:rsidR="002252F6" w:rsidRPr="00D91F77">
        <w:rPr>
          <w:rFonts w:ascii="Arial" w:hAnsi="Arial" w:cs="Arial"/>
          <w:b/>
        </w:rPr>
        <w:t>Yes</w:t>
      </w:r>
      <w:r w:rsidR="00D91F77">
        <w:rPr>
          <w:rFonts w:ascii="Arial" w:hAnsi="Arial" w:cs="Arial"/>
          <w:b/>
        </w:rPr>
        <w:t>.</w:t>
      </w:r>
      <w:r w:rsidR="006819C5" w:rsidRPr="002252F6">
        <w:rPr>
          <w:rFonts w:ascii="Arial" w:hAnsi="Arial" w:cs="Arial"/>
          <w:b/>
        </w:rPr>
        <w:t xml:space="preserve"> </w:t>
      </w:r>
    </w:p>
    <w:p w14:paraId="5333FE15" w14:textId="77777777" w:rsidR="002C3880" w:rsidRDefault="002C3880" w:rsidP="00BC6BBE">
      <w:pPr>
        <w:tabs>
          <w:tab w:val="num" w:pos="720"/>
        </w:tabs>
        <w:spacing w:after="0" w:line="240" w:lineRule="auto"/>
        <w:jc w:val="both"/>
        <w:rPr>
          <w:rFonts w:ascii="Arial" w:hAnsi="Arial" w:cs="Arial"/>
        </w:rPr>
      </w:pPr>
    </w:p>
    <w:p w14:paraId="676353BB" w14:textId="27111581" w:rsidR="005E0983" w:rsidRDefault="007E2152" w:rsidP="002D1F58">
      <w:pPr>
        <w:jc w:val="both"/>
        <w:rPr>
          <w:rFonts w:ascii="Arial" w:hAnsi="Arial" w:cs="Arial"/>
          <w:b/>
        </w:rPr>
      </w:pPr>
      <w:r w:rsidRPr="000C408C">
        <w:rPr>
          <w:rFonts w:ascii="Arial" w:hAnsi="Arial" w:cs="Arial"/>
          <w:b/>
        </w:rPr>
        <w:t>e)</w:t>
      </w:r>
      <w:r w:rsidRPr="000C408C">
        <w:rPr>
          <w:rFonts w:ascii="Arial" w:hAnsi="Arial" w:cs="Arial"/>
        </w:rPr>
        <w:t xml:space="preserve"> </w:t>
      </w:r>
      <w:r w:rsidR="009100DD" w:rsidRPr="000C408C">
        <w:rPr>
          <w:rFonts w:ascii="Arial" w:hAnsi="Arial" w:cs="Arial"/>
          <w:b/>
        </w:rPr>
        <w:t>No</w:t>
      </w:r>
      <w:r w:rsidR="00AF4E53" w:rsidRPr="000C408C">
        <w:rPr>
          <w:rFonts w:ascii="Arial" w:hAnsi="Arial" w:cs="Arial"/>
          <w:b/>
        </w:rPr>
        <w:t>.</w:t>
      </w:r>
      <w:r w:rsidR="00C3231B">
        <w:rPr>
          <w:rFonts w:ascii="Arial" w:hAnsi="Arial" w:cs="Arial"/>
          <w:b/>
        </w:rPr>
        <w:t xml:space="preserve"> </w:t>
      </w:r>
      <w:r w:rsidR="00C3231B" w:rsidRPr="008D451D">
        <w:rPr>
          <w:rFonts w:ascii="Arial" w:hAnsi="Arial" w:cs="Arial"/>
          <w:b/>
        </w:rPr>
        <w:t>-</w:t>
      </w:r>
      <w:r w:rsidR="008D451D" w:rsidRPr="008D451D">
        <w:rPr>
          <w:rFonts w:ascii="Arial" w:hAnsi="Arial" w:cs="Arial"/>
        </w:rPr>
        <w:t xml:space="preserve"> The Ministry of Finance has developed the Line Ministry Budget Information System (LMBIS) for budgeting and projection for next two years of all line ministries </w:t>
      </w:r>
      <w:r w:rsidR="00C3231B" w:rsidRPr="008D451D">
        <w:rPr>
          <w:rFonts w:ascii="Arial" w:hAnsi="Arial" w:cs="Arial"/>
        </w:rPr>
        <w:t xml:space="preserve">The Electronic Annual Work Planning and Budgeting (e-AWPB 1.0) tool designed for the </w:t>
      </w:r>
      <w:proofErr w:type="spellStart"/>
      <w:r w:rsidR="00C3231B" w:rsidRPr="008D451D">
        <w:rPr>
          <w:rFonts w:ascii="Arial" w:hAnsi="Arial" w:cs="Arial"/>
        </w:rPr>
        <w:t>MoH</w:t>
      </w:r>
      <w:proofErr w:type="spellEnd"/>
      <w:r w:rsidR="008D451D" w:rsidRPr="008D451D">
        <w:rPr>
          <w:rFonts w:ascii="Arial" w:hAnsi="Arial" w:cs="Arial"/>
        </w:rPr>
        <w:t xml:space="preserve"> is</w:t>
      </w:r>
      <w:r w:rsidR="00D26CF6" w:rsidRPr="008D451D">
        <w:rPr>
          <w:rFonts w:ascii="Arial" w:hAnsi="Arial" w:cs="Arial"/>
        </w:rPr>
        <w:t xml:space="preserve"> </w:t>
      </w:r>
      <w:r w:rsidR="00C3231B" w:rsidRPr="008D451D">
        <w:rPr>
          <w:rFonts w:ascii="Arial" w:hAnsi="Arial" w:cs="Arial"/>
        </w:rPr>
        <w:t>used to facilitate the annual work planning and budgeting process</w:t>
      </w:r>
      <w:r w:rsidR="00D26CF6" w:rsidRPr="008D451D">
        <w:rPr>
          <w:rFonts w:ascii="Arial" w:hAnsi="Arial" w:cs="Arial"/>
        </w:rPr>
        <w:t>, the e-AWPB</w:t>
      </w:r>
      <w:r w:rsidR="00C3231B" w:rsidRPr="008D451D">
        <w:rPr>
          <w:rFonts w:ascii="Arial" w:hAnsi="Arial" w:cs="Arial"/>
        </w:rPr>
        <w:t xml:space="preserve"> also generates analytical tables in a systematic way from different perspectives and provides information on budget and expenditure by trimester and programme</w:t>
      </w:r>
      <w:r w:rsidR="007B029A" w:rsidRPr="008D451D">
        <w:rPr>
          <w:rStyle w:val="EndnoteReference"/>
          <w:rFonts w:ascii="Arial" w:hAnsi="Arial" w:cs="Arial"/>
        </w:rPr>
        <w:endnoteReference w:id="20"/>
      </w:r>
      <w:r w:rsidR="00C3231B" w:rsidRPr="008D451D">
        <w:rPr>
          <w:rFonts w:ascii="Arial" w:hAnsi="Arial" w:cs="Arial"/>
        </w:rPr>
        <w:t xml:space="preserve">. </w:t>
      </w:r>
      <w:proofErr w:type="gramStart"/>
      <w:r w:rsidR="008D451D" w:rsidRPr="008D451D">
        <w:rPr>
          <w:rFonts w:ascii="Arial" w:hAnsi="Arial" w:cs="Arial"/>
        </w:rPr>
        <w:t>TABUCs is</w:t>
      </w:r>
      <w:proofErr w:type="gramEnd"/>
      <w:r w:rsidR="008D451D" w:rsidRPr="008D451D">
        <w:rPr>
          <w:rFonts w:ascii="Arial" w:hAnsi="Arial" w:cs="Arial"/>
        </w:rPr>
        <w:t xml:space="preserve"> used for tracking expenditure.</w:t>
      </w:r>
    </w:p>
    <w:tbl>
      <w:tblPr>
        <w:tblW w:w="878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789"/>
      </w:tblGrid>
      <w:tr w:rsidR="00215CCE" w:rsidRPr="00D57C02" w14:paraId="5D0B8B71" w14:textId="77777777" w:rsidTr="00FE411C">
        <w:trPr>
          <w:trHeight w:val="420"/>
        </w:trPr>
        <w:tc>
          <w:tcPr>
            <w:tcW w:w="8789" w:type="dxa"/>
            <w:shd w:val="clear" w:color="auto" w:fill="C6D9F1"/>
          </w:tcPr>
          <w:p w14:paraId="5D0B8B70" w14:textId="05BB5815" w:rsidR="00215CCE" w:rsidRPr="00D57C02" w:rsidRDefault="00B37D10" w:rsidP="00215CCE">
            <w:pPr>
              <w:keepNext/>
              <w:keepLines/>
              <w:tabs>
                <w:tab w:val="left" w:pos="8100"/>
              </w:tabs>
              <w:spacing w:before="120" w:after="120" w:line="240" w:lineRule="auto"/>
              <w:jc w:val="both"/>
              <w:rPr>
                <w:rFonts w:ascii="Arial" w:eastAsia="Calibri" w:hAnsi="Arial" w:cs="Arial"/>
                <w:bCs/>
                <w:sz w:val="20"/>
                <w:szCs w:val="20"/>
                <w:lang w:val="en-US"/>
              </w:rPr>
            </w:pPr>
            <w:r w:rsidRPr="00D57C02">
              <w:rPr>
                <w:rFonts w:ascii="Arial" w:eastAsia="Calibri" w:hAnsi="Arial" w:cs="Arial"/>
                <w:b/>
                <w:sz w:val="20"/>
                <w:szCs w:val="20"/>
                <w:lang w:val="en-US"/>
              </w:rPr>
              <w:lastRenderedPageBreak/>
              <w:t>4.2 Sustainability</w:t>
            </w:r>
          </w:p>
        </w:tc>
      </w:tr>
      <w:tr w:rsidR="00215CCE" w:rsidRPr="00D57C02" w14:paraId="5D0B8B74" w14:textId="77777777" w:rsidTr="00FE411C">
        <w:trPr>
          <w:trHeight w:val="480"/>
        </w:trPr>
        <w:tc>
          <w:tcPr>
            <w:tcW w:w="8789" w:type="dxa"/>
            <w:shd w:val="clear" w:color="auto" w:fill="F2F2F2" w:themeFill="background1" w:themeFillShade="F2"/>
            <w:vAlign w:val="center"/>
          </w:tcPr>
          <w:p w14:paraId="35EECA12" w14:textId="6FDE181C" w:rsidR="003457BF" w:rsidRPr="00D57C02" w:rsidRDefault="0089492B" w:rsidP="00386FF7">
            <w:pPr>
              <w:spacing w:before="120" w:after="120" w:line="240" w:lineRule="auto"/>
              <w:jc w:val="both"/>
              <w:rPr>
                <w:rFonts w:ascii="Arial" w:eastAsia="SimSun" w:hAnsi="Arial" w:cs="Arial"/>
                <w:sz w:val="20"/>
                <w:szCs w:val="20"/>
                <w:lang w:val="en-US" w:eastAsia="zh-CN"/>
              </w:rPr>
            </w:pPr>
            <w:r w:rsidRPr="00D57C02">
              <w:rPr>
                <w:rFonts w:ascii="Arial" w:eastAsia="SimSun" w:hAnsi="Arial" w:cs="Arial"/>
                <w:sz w:val="20"/>
                <w:szCs w:val="20"/>
                <w:lang w:val="en-US" w:eastAsia="zh-CN"/>
              </w:rPr>
              <w:t xml:space="preserve">Describe below how the government will </w:t>
            </w:r>
            <w:r w:rsidR="00C106F2" w:rsidRPr="00D57C02">
              <w:rPr>
                <w:rFonts w:ascii="Arial" w:eastAsia="SimSun" w:hAnsi="Arial" w:cs="Arial"/>
                <w:sz w:val="20"/>
                <w:szCs w:val="20"/>
                <w:lang w:val="en-US" w:eastAsia="zh-CN"/>
              </w:rPr>
              <w:t>increasingly</w:t>
            </w:r>
            <w:r w:rsidRPr="00D57C02">
              <w:rPr>
                <w:rFonts w:ascii="Arial" w:eastAsia="SimSun" w:hAnsi="Arial" w:cs="Arial"/>
                <w:sz w:val="20"/>
                <w:szCs w:val="20"/>
                <w:lang w:val="en-US" w:eastAsia="zh-CN"/>
              </w:rPr>
              <w:t xml:space="preserve"> take up </w:t>
            </w:r>
            <w:r w:rsidR="00832DBA" w:rsidRPr="00D57C02">
              <w:rPr>
                <w:rFonts w:ascii="Arial" w:eastAsia="SimSun" w:hAnsi="Arial" w:cs="Arial"/>
                <w:sz w:val="20"/>
                <w:szCs w:val="20"/>
                <w:lang w:val="en-US" w:eastAsia="zh-CN"/>
              </w:rPr>
              <w:t xml:space="preserve">health program </w:t>
            </w:r>
            <w:proofErr w:type="gramStart"/>
            <w:r w:rsidR="00832DBA" w:rsidRPr="00D57C02">
              <w:rPr>
                <w:rFonts w:ascii="Arial" w:eastAsia="SimSun" w:hAnsi="Arial" w:cs="Arial"/>
                <w:sz w:val="20"/>
                <w:szCs w:val="20"/>
                <w:lang w:val="en-US" w:eastAsia="zh-CN"/>
              </w:rPr>
              <w:t>costs,</w:t>
            </w:r>
            <w:proofErr w:type="gramEnd"/>
            <w:r w:rsidR="00832DBA" w:rsidRPr="00D57C02">
              <w:rPr>
                <w:rFonts w:ascii="Arial" w:eastAsia="SimSun" w:hAnsi="Arial" w:cs="Arial"/>
                <w:sz w:val="20"/>
                <w:szCs w:val="20"/>
                <w:lang w:val="en-US" w:eastAsia="zh-CN"/>
              </w:rPr>
              <w:t xml:space="preserve"> </w:t>
            </w:r>
            <w:r w:rsidRPr="00D57C02">
              <w:rPr>
                <w:rFonts w:ascii="Arial" w:eastAsia="SimSun" w:hAnsi="Arial" w:cs="Arial"/>
                <w:sz w:val="20"/>
                <w:szCs w:val="20"/>
                <w:lang w:val="en-US" w:eastAsia="zh-CN"/>
              </w:rPr>
              <w:t>and actions to improve sustainability of Global Fund financed programs</w:t>
            </w:r>
            <w:r w:rsidR="003457BF" w:rsidRPr="00D57C02">
              <w:rPr>
                <w:rFonts w:ascii="Arial" w:eastAsia="SimSun" w:hAnsi="Arial" w:cs="Arial"/>
                <w:sz w:val="20"/>
                <w:szCs w:val="20"/>
                <w:lang w:val="en-US" w:eastAsia="zh-CN"/>
              </w:rPr>
              <w:t>.</w:t>
            </w:r>
            <w:r w:rsidR="003F39C8" w:rsidRPr="00D57C02">
              <w:rPr>
                <w:rFonts w:ascii="Arial" w:eastAsia="SimSun" w:hAnsi="Arial" w:cs="Arial"/>
                <w:sz w:val="20"/>
                <w:szCs w:val="20"/>
                <w:lang w:val="en-US" w:eastAsia="zh-CN"/>
              </w:rPr>
              <w:t xml:space="preserve"> Specifically, </w:t>
            </w:r>
          </w:p>
          <w:p w14:paraId="5BA90E78" w14:textId="56B189FC" w:rsidR="00F57EBD" w:rsidRPr="00D57C02" w:rsidRDefault="00FB2411" w:rsidP="007D5FAE">
            <w:pPr>
              <w:pStyle w:val="ListParagraph"/>
              <w:numPr>
                <w:ilvl w:val="0"/>
                <w:numId w:val="5"/>
              </w:numPr>
              <w:spacing w:after="200" w:line="276" w:lineRule="auto"/>
              <w:jc w:val="both"/>
              <w:rPr>
                <w:rFonts w:ascii="Arial" w:eastAsia="Calibri" w:hAnsi="Arial" w:cs="Arial"/>
                <w:sz w:val="20"/>
                <w:szCs w:val="20"/>
                <w:lang w:val="en-US"/>
              </w:rPr>
            </w:pPr>
            <w:r w:rsidRPr="007F36FB">
              <w:rPr>
                <w:rFonts w:ascii="Arial" w:eastAsia="Calibri" w:hAnsi="Arial" w:cs="Arial"/>
                <w:sz w:val="20"/>
                <w:szCs w:val="20"/>
                <w:lang w:val="en-US"/>
              </w:rPr>
              <w:t>Explain the</w:t>
            </w:r>
            <w:r w:rsidR="00F57EBD" w:rsidRPr="007F36FB">
              <w:rPr>
                <w:rFonts w:ascii="Arial" w:eastAsia="Calibri" w:hAnsi="Arial" w:cs="Arial"/>
                <w:sz w:val="20"/>
                <w:szCs w:val="20"/>
                <w:lang w:val="en-US"/>
              </w:rPr>
              <w:t xml:space="preserve"> costs, availability of funds and </w:t>
            </w:r>
            <w:r w:rsidRPr="007F36FB">
              <w:rPr>
                <w:rFonts w:ascii="Arial" w:eastAsia="Calibri" w:hAnsi="Arial" w:cs="Arial"/>
                <w:sz w:val="20"/>
                <w:szCs w:val="20"/>
                <w:lang w:val="en-US"/>
              </w:rPr>
              <w:t xml:space="preserve">the </w:t>
            </w:r>
            <w:r w:rsidR="00F57EBD" w:rsidRPr="007F36FB">
              <w:rPr>
                <w:rFonts w:ascii="Arial" w:eastAsia="Calibri" w:hAnsi="Arial" w:cs="Arial"/>
                <w:sz w:val="20"/>
                <w:szCs w:val="20"/>
                <w:lang w:val="en-US"/>
              </w:rPr>
              <w:t>funding gap for major program areas.</w:t>
            </w:r>
            <w:r w:rsidR="00F57EBD" w:rsidRPr="00D57C02">
              <w:rPr>
                <w:rFonts w:ascii="Arial" w:eastAsia="Calibri" w:hAnsi="Arial" w:cs="Arial"/>
                <w:sz w:val="20"/>
                <w:szCs w:val="20"/>
                <w:lang w:val="en-US"/>
              </w:rPr>
              <w:t xml:space="preserve"> Specify in particular how the government will increasingly take up key costs of national disease plans and/or support health systems; including scaling up investments in programs for key and vulnerable population, removal of human rights and gender-related barriers and enabling environment interventions.</w:t>
            </w:r>
          </w:p>
          <w:p w14:paraId="18027898" w14:textId="612298B6" w:rsidR="00F57EBD" w:rsidRPr="00D57C02" w:rsidRDefault="00F57EBD" w:rsidP="007D5FAE">
            <w:pPr>
              <w:pStyle w:val="ListParagraph"/>
              <w:numPr>
                <w:ilvl w:val="0"/>
                <w:numId w:val="5"/>
              </w:numPr>
              <w:spacing w:after="200" w:line="276" w:lineRule="auto"/>
              <w:jc w:val="both"/>
              <w:rPr>
                <w:rFonts w:ascii="Arial" w:eastAsia="Calibri" w:hAnsi="Arial" w:cs="Arial"/>
                <w:sz w:val="20"/>
                <w:szCs w:val="20"/>
                <w:lang w:val="en-US"/>
              </w:rPr>
            </w:pPr>
            <w:r w:rsidRPr="00D57C02">
              <w:rPr>
                <w:rFonts w:ascii="Arial" w:eastAsia="Calibri" w:hAnsi="Arial" w:cs="Arial"/>
                <w:sz w:val="20"/>
                <w:szCs w:val="20"/>
                <w:lang w:val="en-US"/>
              </w:rPr>
              <w:t>Describe actions to improve sustainability of Global Fund financed programs. Specifically, highlight key sustainability challenges of the program(s) covered by the funding request, and any current and/or planned actions to address them.</w:t>
            </w:r>
          </w:p>
          <w:p w14:paraId="5D0B8B73" w14:textId="6D890C3F" w:rsidR="00215CCE" w:rsidRPr="00D57C02" w:rsidRDefault="001631BD" w:rsidP="00386FF7">
            <w:pPr>
              <w:spacing w:before="120" w:after="120" w:line="240" w:lineRule="auto"/>
              <w:jc w:val="both"/>
              <w:rPr>
                <w:rFonts w:ascii="Arial" w:eastAsia="Calibri" w:hAnsi="Arial" w:cs="Arial"/>
                <w:b/>
                <w:sz w:val="20"/>
                <w:szCs w:val="20"/>
                <w:lang w:val="en-US"/>
              </w:rPr>
            </w:pPr>
            <w:r w:rsidRPr="00D57C02">
              <w:rPr>
                <w:rFonts w:ascii="Arial" w:eastAsia="SimSun" w:hAnsi="Arial" w:cs="Arial"/>
                <w:b/>
                <w:sz w:val="20"/>
                <w:szCs w:val="20"/>
                <w:lang w:val="en-US" w:eastAsia="zh-CN"/>
              </w:rPr>
              <w:t>(maximum</w:t>
            </w:r>
            <w:r w:rsidR="00215CCE" w:rsidRPr="00D57C02">
              <w:rPr>
                <w:rFonts w:ascii="Arial" w:eastAsia="SimSun" w:hAnsi="Arial" w:cs="Arial"/>
                <w:b/>
                <w:sz w:val="20"/>
                <w:szCs w:val="20"/>
                <w:lang w:val="en-US" w:eastAsia="zh-CN"/>
              </w:rPr>
              <w:t xml:space="preserve"> 1 page)</w:t>
            </w:r>
          </w:p>
        </w:tc>
      </w:tr>
    </w:tbl>
    <w:p w14:paraId="48C8163B" w14:textId="77777777" w:rsidR="000557DA" w:rsidRDefault="000557DA" w:rsidP="00C20921">
      <w:pPr>
        <w:spacing w:after="0" w:line="240" w:lineRule="auto"/>
        <w:jc w:val="center"/>
        <w:rPr>
          <w:rFonts w:ascii="Arial" w:eastAsia="Calibri" w:hAnsi="Arial" w:cs="Arial"/>
          <w:sz w:val="20"/>
          <w:szCs w:val="20"/>
          <w:highlight w:val="yellow"/>
          <w:lang w:val="en-US"/>
        </w:rPr>
      </w:pPr>
    </w:p>
    <w:p w14:paraId="5BC3E441" w14:textId="4E345B64" w:rsidR="00FD7721" w:rsidRDefault="00FD7721" w:rsidP="007F4075">
      <w:pPr>
        <w:spacing w:after="0" w:line="240" w:lineRule="auto"/>
        <w:jc w:val="both"/>
        <w:rPr>
          <w:rFonts w:ascii="Arial" w:eastAsia="Calibri" w:hAnsi="Arial" w:cs="Arial"/>
          <w:lang w:val="en-US"/>
        </w:rPr>
      </w:pPr>
      <w:r w:rsidRPr="007F4075">
        <w:rPr>
          <w:rFonts w:ascii="Arial" w:eastAsia="Calibri" w:hAnsi="Arial" w:cs="Arial"/>
          <w:lang w:val="en-US"/>
        </w:rPr>
        <w:t xml:space="preserve">The proposed NSP (2017-21) has estimated the requirement of increasingly massive investments of </w:t>
      </w:r>
      <w:r w:rsidR="00FE54FB" w:rsidRPr="007F4075">
        <w:rPr>
          <w:rFonts w:ascii="Arial" w:eastAsia="Calibri" w:hAnsi="Arial" w:cs="Arial"/>
          <w:lang w:val="en-US"/>
        </w:rPr>
        <w:t xml:space="preserve">USD </w:t>
      </w:r>
      <w:r w:rsidRPr="007F4075">
        <w:rPr>
          <w:rFonts w:ascii="Arial" w:eastAsia="Calibri" w:hAnsi="Arial" w:cs="Arial"/>
          <w:lang w:val="en-US"/>
        </w:rPr>
        <w:t>105</w:t>
      </w:r>
      <w:r w:rsidR="006D3521">
        <w:rPr>
          <w:rFonts w:ascii="Arial" w:eastAsia="Calibri" w:hAnsi="Arial" w:cs="Arial"/>
          <w:lang w:val="en-US"/>
        </w:rPr>
        <w:t>.14</w:t>
      </w:r>
      <w:r w:rsidR="00FE54FB" w:rsidRPr="007F4075">
        <w:rPr>
          <w:rFonts w:ascii="Arial" w:eastAsia="Calibri" w:hAnsi="Arial" w:cs="Arial"/>
          <w:lang w:val="en-US"/>
        </w:rPr>
        <w:t xml:space="preserve"> million</w:t>
      </w:r>
      <w:r w:rsidRPr="007F4075">
        <w:rPr>
          <w:rFonts w:ascii="Arial" w:eastAsia="Calibri" w:hAnsi="Arial" w:cs="Arial"/>
          <w:lang w:val="en-US"/>
        </w:rPr>
        <w:t xml:space="preserve"> for </w:t>
      </w:r>
      <w:r w:rsidR="00FE54FB" w:rsidRPr="007F4075">
        <w:rPr>
          <w:rFonts w:ascii="Arial" w:eastAsia="Calibri" w:hAnsi="Arial" w:cs="Arial"/>
          <w:lang w:val="en-US"/>
        </w:rPr>
        <w:t xml:space="preserve">the </w:t>
      </w:r>
      <w:r w:rsidRPr="007F4075">
        <w:rPr>
          <w:rFonts w:ascii="Arial" w:eastAsia="Calibri" w:hAnsi="Arial" w:cs="Arial"/>
          <w:lang w:val="en-US"/>
        </w:rPr>
        <w:t xml:space="preserve">NSP period, out of which </w:t>
      </w:r>
      <w:r w:rsidR="00FE54FB" w:rsidRPr="007F4075">
        <w:rPr>
          <w:rFonts w:ascii="Arial" w:eastAsia="Calibri" w:hAnsi="Arial" w:cs="Arial"/>
          <w:lang w:val="en-US"/>
        </w:rPr>
        <w:t xml:space="preserve">USD </w:t>
      </w:r>
      <w:r w:rsidRPr="007F4075">
        <w:rPr>
          <w:rFonts w:ascii="Arial" w:eastAsia="Calibri" w:hAnsi="Arial" w:cs="Arial"/>
          <w:lang w:val="en-US"/>
        </w:rPr>
        <w:t xml:space="preserve">89.12 </w:t>
      </w:r>
      <w:r w:rsidR="00FE54FB" w:rsidRPr="007F4075">
        <w:rPr>
          <w:rFonts w:ascii="Arial" w:eastAsia="Calibri" w:hAnsi="Arial" w:cs="Arial"/>
          <w:lang w:val="en-US"/>
        </w:rPr>
        <w:t>million</w:t>
      </w:r>
      <w:r w:rsidRPr="007F4075">
        <w:rPr>
          <w:rFonts w:ascii="Arial" w:eastAsia="Calibri" w:hAnsi="Arial" w:cs="Arial"/>
          <w:lang w:val="en-US"/>
        </w:rPr>
        <w:t xml:space="preserve"> is for the fiscal years of </w:t>
      </w:r>
      <w:r w:rsidR="00D94682" w:rsidRPr="007F4075">
        <w:rPr>
          <w:rFonts w:ascii="Arial" w:eastAsia="Calibri" w:hAnsi="Arial" w:cs="Arial"/>
          <w:lang w:val="en-US"/>
        </w:rPr>
        <w:t xml:space="preserve">the </w:t>
      </w:r>
      <w:r w:rsidRPr="007F4075">
        <w:rPr>
          <w:rFonts w:ascii="Arial" w:eastAsia="Calibri" w:hAnsi="Arial" w:cs="Arial"/>
          <w:lang w:val="en-US"/>
        </w:rPr>
        <w:t xml:space="preserve">grant period. The domestic resources for TB are increasing and would be around </w:t>
      </w:r>
      <w:r w:rsidR="00D94682" w:rsidRPr="007F4075">
        <w:rPr>
          <w:rFonts w:ascii="Arial" w:eastAsia="Calibri" w:hAnsi="Arial" w:cs="Arial"/>
          <w:lang w:val="en-US"/>
        </w:rPr>
        <w:t xml:space="preserve">USD </w:t>
      </w:r>
      <w:r w:rsidRPr="007F4075">
        <w:rPr>
          <w:rFonts w:ascii="Arial" w:eastAsia="Calibri" w:hAnsi="Arial" w:cs="Arial"/>
          <w:lang w:val="en-US"/>
        </w:rPr>
        <w:t xml:space="preserve">48.24 </w:t>
      </w:r>
      <w:r w:rsidR="00D94682" w:rsidRPr="007F4075">
        <w:rPr>
          <w:rFonts w:ascii="Arial" w:eastAsia="Calibri" w:hAnsi="Arial" w:cs="Arial"/>
          <w:lang w:val="en-US"/>
        </w:rPr>
        <w:t>million</w:t>
      </w:r>
      <w:r w:rsidRPr="007F4075">
        <w:rPr>
          <w:rFonts w:ascii="Arial" w:eastAsia="Calibri" w:hAnsi="Arial" w:cs="Arial"/>
          <w:lang w:val="en-US"/>
        </w:rPr>
        <w:t xml:space="preserve"> for the same period. The funding gap is for </w:t>
      </w:r>
      <w:r w:rsidR="00D94682" w:rsidRPr="007F4075">
        <w:rPr>
          <w:rFonts w:ascii="Arial" w:eastAsia="Calibri" w:hAnsi="Arial" w:cs="Arial"/>
          <w:lang w:val="en-US"/>
        </w:rPr>
        <w:t xml:space="preserve">USD </w:t>
      </w:r>
      <w:r w:rsidRPr="007F4075">
        <w:rPr>
          <w:rFonts w:ascii="Arial" w:eastAsia="Calibri" w:hAnsi="Arial" w:cs="Arial"/>
          <w:lang w:val="en-US"/>
        </w:rPr>
        <w:t xml:space="preserve">40.87 </w:t>
      </w:r>
      <w:r w:rsidR="00D94682" w:rsidRPr="007F4075">
        <w:rPr>
          <w:rFonts w:ascii="Arial" w:eastAsia="Calibri" w:hAnsi="Arial" w:cs="Arial"/>
          <w:lang w:val="en-US"/>
        </w:rPr>
        <w:t>million</w:t>
      </w:r>
      <w:r w:rsidR="009E6280">
        <w:rPr>
          <w:rFonts w:ascii="Arial" w:eastAsia="Calibri" w:hAnsi="Arial" w:cs="Arial"/>
          <w:lang w:val="en-US"/>
        </w:rPr>
        <w:t xml:space="preserve"> (Table-1)</w:t>
      </w:r>
      <w:r w:rsidRPr="007F4075">
        <w:rPr>
          <w:rFonts w:ascii="Arial" w:eastAsia="Calibri" w:hAnsi="Arial" w:cs="Arial"/>
          <w:lang w:val="en-US"/>
        </w:rPr>
        <w:t xml:space="preserve">. Apart from the existing GF grant of </w:t>
      </w:r>
      <w:r w:rsidR="00D94682" w:rsidRPr="007F4075">
        <w:rPr>
          <w:rFonts w:ascii="Arial" w:eastAsia="Calibri" w:hAnsi="Arial" w:cs="Arial"/>
          <w:lang w:val="en-US"/>
        </w:rPr>
        <w:t xml:space="preserve">USD </w:t>
      </w:r>
      <w:r w:rsidRPr="007F4075">
        <w:rPr>
          <w:rFonts w:ascii="Arial" w:eastAsia="Calibri" w:hAnsi="Arial" w:cs="Arial"/>
          <w:lang w:val="en-US"/>
        </w:rPr>
        <w:t>4.</w:t>
      </w:r>
      <w:r w:rsidR="00BB67AB">
        <w:rPr>
          <w:rFonts w:ascii="Arial" w:eastAsia="Calibri" w:hAnsi="Arial" w:cs="Arial"/>
          <w:lang w:val="en-US"/>
        </w:rPr>
        <w:t>30</w:t>
      </w:r>
      <w:r w:rsidRPr="007F4075">
        <w:rPr>
          <w:rFonts w:ascii="Arial" w:eastAsia="Calibri" w:hAnsi="Arial" w:cs="Arial"/>
          <w:lang w:val="en-US"/>
        </w:rPr>
        <w:t xml:space="preserve"> </w:t>
      </w:r>
      <w:r w:rsidR="00D94682" w:rsidRPr="007F4075">
        <w:rPr>
          <w:rFonts w:ascii="Arial" w:eastAsia="Calibri" w:hAnsi="Arial" w:cs="Arial"/>
          <w:lang w:val="en-US"/>
        </w:rPr>
        <w:t>million</w:t>
      </w:r>
      <w:r w:rsidRPr="007F4075">
        <w:rPr>
          <w:rFonts w:ascii="Arial" w:eastAsia="Calibri" w:hAnsi="Arial" w:cs="Arial"/>
          <w:lang w:val="en-US"/>
        </w:rPr>
        <w:t xml:space="preserve">, this funding request is being submitted for </w:t>
      </w:r>
      <w:r w:rsidR="00D94682" w:rsidRPr="007F4075">
        <w:rPr>
          <w:rFonts w:ascii="Arial" w:eastAsia="Calibri" w:hAnsi="Arial" w:cs="Arial"/>
          <w:lang w:val="en-US"/>
        </w:rPr>
        <w:t xml:space="preserve">USD </w:t>
      </w:r>
      <w:r w:rsidRPr="007F4075">
        <w:rPr>
          <w:rFonts w:ascii="Arial" w:eastAsia="Calibri" w:hAnsi="Arial" w:cs="Arial"/>
          <w:lang w:val="en-US"/>
        </w:rPr>
        <w:t xml:space="preserve">16.13 </w:t>
      </w:r>
      <w:r w:rsidR="00D94682" w:rsidRPr="007F4075">
        <w:rPr>
          <w:rFonts w:ascii="Arial" w:eastAsia="Calibri" w:hAnsi="Arial" w:cs="Arial"/>
          <w:lang w:val="en-US"/>
        </w:rPr>
        <w:t>million</w:t>
      </w:r>
      <w:r w:rsidRPr="007F4075">
        <w:rPr>
          <w:rFonts w:ascii="Arial" w:eastAsia="Calibri" w:hAnsi="Arial" w:cs="Arial"/>
          <w:lang w:val="en-US"/>
        </w:rPr>
        <w:t xml:space="preserve"> to </w:t>
      </w:r>
      <w:r w:rsidR="00D94682" w:rsidRPr="007F4075">
        <w:rPr>
          <w:rFonts w:ascii="Arial" w:eastAsia="Calibri" w:hAnsi="Arial" w:cs="Arial"/>
          <w:lang w:val="en-US"/>
        </w:rPr>
        <w:t xml:space="preserve">the </w:t>
      </w:r>
      <w:r w:rsidRPr="007F4075">
        <w:rPr>
          <w:rFonts w:ascii="Arial" w:eastAsia="Calibri" w:hAnsi="Arial" w:cs="Arial"/>
          <w:lang w:val="en-US"/>
        </w:rPr>
        <w:t>G</w:t>
      </w:r>
      <w:r w:rsidR="00D94682" w:rsidRPr="007F4075">
        <w:rPr>
          <w:rFonts w:ascii="Arial" w:eastAsia="Calibri" w:hAnsi="Arial" w:cs="Arial"/>
          <w:lang w:val="en-US"/>
        </w:rPr>
        <w:t xml:space="preserve">lobal </w:t>
      </w:r>
      <w:r w:rsidRPr="007F4075">
        <w:rPr>
          <w:rFonts w:ascii="Arial" w:eastAsia="Calibri" w:hAnsi="Arial" w:cs="Arial"/>
          <w:lang w:val="en-US"/>
        </w:rPr>
        <w:t>F</w:t>
      </w:r>
      <w:r w:rsidR="00D94682" w:rsidRPr="007F4075">
        <w:rPr>
          <w:rFonts w:ascii="Arial" w:eastAsia="Calibri" w:hAnsi="Arial" w:cs="Arial"/>
          <w:lang w:val="en-US"/>
        </w:rPr>
        <w:t>und</w:t>
      </w:r>
      <w:r w:rsidRPr="007F4075">
        <w:rPr>
          <w:rFonts w:ascii="Arial" w:eastAsia="Calibri" w:hAnsi="Arial" w:cs="Arial"/>
          <w:lang w:val="en-US"/>
        </w:rPr>
        <w:t>. Thus</w:t>
      </w:r>
      <w:r w:rsidR="00D94682" w:rsidRPr="007F4075">
        <w:rPr>
          <w:rFonts w:ascii="Arial" w:eastAsia="Calibri" w:hAnsi="Arial" w:cs="Arial"/>
          <w:lang w:val="en-US"/>
        </w:rPr>
        <w:t>,</w:t>
      </w:r>
      <w:r w:rsidRPr="007F4075">
        <w:rPr>
          <w:rFonts w:ascii="Arial" w:eastAsia="Calibri" w:hAnsi="Arial" w:cs="Arial"/>
          <w:lang w:val="en-US"/>
        </w:rPr>
        <w:t xml:space="preserve"> the effective funding gap </w:t>
      </w:r>
      <w:r w:rsidR="00CB3E8B">
        <w:rPr>
          <w:rFonts w:ascii="Arial" w:eastAsia="Calibri" w:hAnsi="Arial" w:cs="Arial"/>
          <w:lang w:val="en-US"/>
        </w:rPr>
        <w:t xml:space="preserve">from 2018-2021 would be </w:t>
      </w:r>
      <w:r w:rsidR="00D94682" w:rsidRPr="007F4075">
        <w:rPr>
          <w:rFonts w:ascii="Arial" w:eastAsia="Calibri" w:hAnsi="Arial" w:cs="Arial"/>
          <w:lang w:val="en-US"/>
        </w:rPr>
        <w:t xml:space="preserve">USD </w:t>
      </w:r>
      <w:r w:rsidRPr="007F4075">
        <w:rPr>
          <w:rFonts w:ascii="Arial" w:eastAsia="Calibri" w:hAnsi="Arial" w:cs="Arial"/>
          <w:lang w:val="en-US"/>
        </w:rPr>
        <w:t xml:space="preserve">20 </w:t>
      </w:r>
      <w:r w:rsidR="00D94682" w:rsidRPr="007F4075">
        <w:rPr>
          <w:rFonts w:ascii="Arial" w:eastAsia="Calibri" w:hAnsi="Arial" w:cs="Arial"/>
          <w:lang w:val="en-US"/>
        </w:rPr>
        <w:t>million</w:t>
      </w:r>
      <w:r w:rsidRPr="007F4075">
        <w:rPr>
          <w:rFonts w:ascii="Arial" w:eastAsia="Calibri" w:hAnsi="Arial" w:cs="Arial"/>
          <w:lang w:val="en-US"/>
        </w:rPr>
        <w:t xml:space="preserve"> to achieve the targets envisaged under </w:t>
      </w:r>
      <w:r w:rsidR="00D94682" w:rsidRPr="007F4075">
        <w:rPr>
          <w:rFonts w:ascii="Arial" w:eastAsia="Calibri" w:hAnsi="Arial" w:cs="Arial"/>
          <w:lang w:val="en-US"/>
        </w:rPr>
        <w:t xml:space="preserve">the </w:t>
      </w:r>
      <w:r w:rsidRPr="007F4075">
        <w:rPr>
          <w:rFonts w:ascii="Arial" w:eastAsia="Calibri" w:hAnsi="Arial" w:cs="Arial"/>
          <w:lang w:val="en-US"/>
        </w:rPr>
        <w:t>NSP</w:t>
      </w:r>
      <w:r w:rsidR="009E6280">
        <w:rPr>
          <w:rFonts w:ascii="Arial" w:eastAsia="Calibri" w:hAnsi="Arial" w:cs="Arial"/>
          <w:lang w:val="en-US"/>
        </w:rPr>
        <w:t xml:space="preserve"> (Table-2)</w:t>
      </w:r>
      <w:r w:rsidRPr="007F4075">
        <w:rPr>
          <w:rFonts w:ascii="Arial" w:eastAsia="Calibri" w:hAnsi="Arial" w:cs="Arial"/>
          <w:lang w:val="en-US"/>
        </w:rPr>
        <w:t>.</w:t>
      </w:r>
    </w:p>
    <w:p w14:paraId="4DE74DA0" w14:textId="3F02E47D" w:rsidR="00EB06BA" w:rsidRDefault="00EB06BA" w:rsidP="007F4075">
      <w:pPr>
        <w:spacing w:after="0" w:line="240" w:lineRule="auto"/>
        <w:jc w:val="both"/>
        <w:rPr>
          <w:rFonts w:ascii="Arial" w:eastAsia="Calibri" w:hAnsi="Arial" w:cs="Arial"/>
          <w:lang w:val="en-US"/>
        </w:rPr>
      </w:pPr>
    </w:p>
    <w:p w14:paraId="02FAA319" w14:textId="0C0E4AB5" w:rsidR="000557DA" w:rsidRPr="005161CA" w:rsidRDefault="005161CA" w:rsidP="005161CA">
      <w:pPr>
        <w:spacing w:after="0" w:line="240" w:lineRule="auto"/>
        <w:jc w:val="center"/>
        <w:rPr>
          <w:rFonts w:ascii="Arial" w:eastAsia="Calibri" w:hAnsi="Arial" w:cs="Arial"/>
          <w:b/>
          <w:sz w:val="20"/>
          <w:szCs w:val="20"/>
          <w:lang w:val="en-US"/>
        </w:rPr>
      </w:pPr>
      <w:r w:rsidRPr="005161CA">
        <w:rPr>
          <w:rFonts w:ascii="Arial" w:eastAsia="Calibri" w:hAnsi="Arial" w:cs="Arial"/>
          <w:b/>
          <w:sz w:val="20"/>
          <w:szCs w:val="20"/>
          <w:lang w:val="en-US"/>
        </w:rPr>
        <w:t>Table-1: F</w:t>
      </w:r>
      <w:r w:rsidR="00C3134C" w:rsidRPr="005161CA">
        <w:rPr>
          <w:rFonts w:ascii="Arial" w:eastAsia="Calibri" w:hAnsi="Arial" w:cs="Arial"/>
          <w:b/>
          <w:sz w:val="20"/>
          <w:szCs w:val="20"/>
          <w:lang w:val="en-US"/>
        </w:rPr>
        <w:t xml:space="preserve">unding </w:t>
      </w:r>
      <w:r w:rsidR="00762659" w:rsidRPr="005161CA">
        <w:rPr>
          <w:rFonts w:ascii="Arial" w:eastAsia="Calibri" w:hAnsi="Arial" w:cs="Arial"/>
          <w:b/>
          <w:sz w:val="20"/>
          <w:szCs w:val="20"/>
          <w:lang w:val="en-US"/>
        </w:rPr>
        <w:t xml:space="preserve">for the </w:t>
      </w:r>
      <w:r w:rsidR="006F032A" w:rsidRPr="005161CA">
        <w:rPr>
          <w:rFonts w:ascii="Arial" w:eastAsia="Calibri" w:hAnsi="Arial" w:cs="Arial"/>
          <w:b/>
          <w:sz w:val="20"/>
          <w:szCs w:val="20"/>
          <w:lang w:val="en-US"/>
        </w:rPr>
        <w:t xml:space="preserve">major </w:t>
      </w:r>
      <w:r w:rsidR="00762659" w:rsidRPr="005161CA">
        <w:rPr>
          <w:rFonts w:ascii="Arial" w:eastAsia="Calibri" w:hAnsi="Arial" w:cs="Arial"/>
          <w:b/>
          <w:sz w:val="20"/>
          <w:szCs w:val="20"/>
          <w:lang w:val="en-US"/>
        </w:rPr>
        <w:t>programmatic areas</w:t>
      </w:r>
      <w:r w:rsidR="00C3134C" w:rsidRPr="005161CA">
        <w:rPr>
          <w:rFonts w:ascii="Arial" w:eastAsia="Calibri" w:hAnsi="Arial" w:cs="Arial"/>
          <w:b/>
          <w:sz w:val="20"/>
          <w:szCs w:val="20"/>
          <w:lang w:val="en-US"/>
        </w:rPr>
        <w:t xml:space="preserve"> </w:t>
      </w:r>
      <w:r w:rsidR="00D73F5D" w:rsidRPr="005161CA">
        <w:rPr>
          <w:rFonts w:ascii="Arial" w:eastAsia="Calibri" w:hAnsi="Arial" w:cs="Arial"/>
          <w:b/>
          <w:sz w:val="20"/>
          <w:szCs w:val="20"/>
          <w:lang w:val="en-US"/>
        </w:rPr>
        <w:t>and funding gap</w:t>
      </w:r>
      <w:r w:rsidR="006F032A" w:rsidRPr="005161CA">
        <w:rPr>
          <w:rFonts w:ascii="Arial" w:eastAsia="Calibri" w:hAnsi="Arial" w:cs="Arial"/>
          <w:b/>
          <w:sz w:val="20"/>
          <w:szCs w:val="20"/>
          <w:lang w:val="en-US"/>
        </w:rPr>
        <w:t>s</w:t>
      </w:r>
      <w:r w:rsidR="00D73F5D" w:rsidRPr="005161CA">
        <w:rPr>
          <w:rFonts w:ascii="Arial" w:eastAsia="Calibri" w:hAnsi="Arial" w:cs="Arial"/>
          <w:b/>
          <w:sz w:val="20"/>
          <w:szCs w:val="20"/>
          <w:lang w:val="en-US"/>
        </w:rPr>
        <w:t xml:space="preserve"> </w:t>
      </w:r>
      <w:r w:rsidR="006F032A" w:rsidRPr="005161CA">
        <w:rPr>
          <w:rFonts w:ascii="Arial" w:eastAsia="Calibri" w:hAnsi="Arial" w:cs="Arial"/>
          <w:b/>
          <w:sz w:val="20"/>
          <w:szCs w:val="20"/>
          <w:lang w:val="en-US"/>
        </w:rPr>
        <w:t>from 2018-2020</w:t>
      </w:r>
    </w:p>
    <w:p w14:paraId="33CB15CB" w14:textId="77777777" w:rsidR="002E3DF8" w:rsidRDefault="002E3DF8" w:rsidP="000557DA">
      <w:pPr>
        <w:spacing w:after="0" w:line="240" w:lineRule="auto"/>
        <w:rPr>
          <w:rFonts w:ascii="Arial" w:eastAsia="Calibri" w:hAnsi="Arial" w:cs="Arial"/>
          <w:sz w:val="20"/>
          <w:szCs w:val="20"/>
          <w:lang w:val="en-US"/>
        </w:rPr>
      </w:pPr>
    </w:p>
    <w:tbl>
      <w:tblPr>
        <w:tblW w:w="9209" w:type="dxa"/>
        <w:tblLook w:val="04A0" w:firstRow="1" w:lastRow="0" w:firstColumn="1" w:lastColumn="0" w:noHBand="0" w:noVBand="1"/>
      </w:tblPr>
      <w:tblGrid>
        <w:gridCol w:w="5114"/>
        <w:gridCol w:w="1539"/>
        <w:gridCol w:w="1299"/>
        <w:gridCol w:w="1257"/>
      </w:tblGrid>
      <w:tr w:rsidR="002E3DF8" w:rsidRPr="005161CA" w14:paraId="22D80D22" w14:textId="77777777" w:rsidTr="00472013">
        <w:trPr>
          <w:trHeight w:val="1260"/>
        </w:trPr>
        <w:tc>
          <w:tcPr>
            <w:tcW w:w="511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282B750" w14:textId="77777777" w:rsidR="002E3DF8" w:rsidRPr="00FE54FB" w:rsidRDefault="002E3DF8" w:rsidP="00FE54FB">
            <w:pPr>
              <w:spacing w:after="0" w:line="240" w:lineRule="auto"/>
              <w:jc w:val="center"/>
              <w:rPr>
                <w:rFonts w:ascii="Arial" w:eastAsia="Times New Roman" w:hAnsi="Arial" w:cs="Arial"/>
                <w:b/>
                <w:iCs/>
                <w:lang w:val="en-IN" w:eastAsia="en-IN" w:bidi="hi-IN"/>
              </w:rPr>
            </w:pPr>
            <w:r w:rsidRPr="00FE54FB">
              <w:rPr>
                <w:rFonts w:ascii="Arial" w:eastAsia="Times New Roman" w:hAnsi="Arial" w:cs="Arial"/>
                <w:b/>
                <w:iCs/>
                <w:lang w:val="en-IN" w:eastAsia="en-IN" w:bidi="hi-IN"/>
              </w:rPr>
              <w:t>Program Areas (NSP Cost categories)</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57D2" w14:textId="77777777" w:rsidR="002E3DF8" w:rsidRPr="005161CA" w:rsidRDefault="002E3DF8" w:rsidP="00472013">
            <w:pPr>
              <w:spacing w:after="0" w:line="240" w:lineRule="auto"/>
              <w:jc w:val="center"/>
              <w:rPr>
                <w:rFonts w:ascii="Arial" w:eastAsia="Times New Roman" w:hAnsi="Arial" w:cs="Arial"/>
                <w:b/>
                <w:bCs/>
                <w:color w:val="000000"/>
                <w:sz w:val="20"/>
                <w:szCs w:val="20"/>
                <w:lang w:val="en-IN" w:eastAsia="en-IN" w:bidi="hi-IN"/>
              </w:rPr>
            </w:pPr>
            <w:r w:rsidRPr="005161CA">
              <w:rPr>
                <w:rFonts w:ascii="Arial" w:eastAsia="Times New Roman" w:hAnsi="Arial" w:cs="Arial"/>
                <w:b/>
                <w:bCs/>
                <w:color w:val="000000"/>
                <w:sz w:val="20"/>
                <w:szCs w:val="20"/>
                <w:lang w:val="en-IN" w:eastAsia="en-IN" w:bidi="hi-IN"/>
              </w:rPr>
              <w:t>Funding requirement (NSP)</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0698F260" w14:textId="77777777" w:rsidR="002E3DF8" w:rsidRPr="005161CA" w:rsidRDefault="002E3DF8" w:rsidP="00472013">
            <w:pPr>
              <w:spacing w:after="0" w:line="240" w:lineRule="auto"/>
              <w:jc w:val="center"/>
              <w:rPr>
                <w:rFonts w:ascii="Arial" w:eastAsia="Times New Roman" w:hAnsi="Arial" w:cs="Arial"/>
                <w:b/>
                <w:bCs/>
                <w:color w:val="000000"/>
                <w:sz w:val="20"/>
                <w:szCs w:val="20"/>
                <w:lang w:val="en-IN" w:eastAsia="en-IN" w:bidi="hi-IN"/>
              </w:rPr>
            </w:pPr>
            <w:r w:rsidRPr="005161CA">
              <w:rPr>
                <w:rFonts w:ascii="Arial" w:eastAsia="Times New Roman" w:hAnsi="Arial" w:cs="Arial"/>
                <w:b/>
                <w:bCs/>
                <w:color w:val="000000"/>
                <w:sz w:val="20"/>
                <w:szCs w:val="20"/>
                <w:lang w:val="en-IN" w:eastAsia="en-IN" w:bidi="hi-IN"/>
              </w:rPr>
              <w:t>Domestic resources expected</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3497139C" w14:textId="613252B5" w:rsidR="002E3DF8" w:rsidRPr="005161CA" w:rsidRDefault="002E3DF8" w:rsidP="00472013">
            <w:pPr>
              <w:spacing w:after="0" w:line="240" w:lineRule="auto"/>
              <w:jc w:val="center"/>
              <w:rPr>
                <w:rFonts w:ascii="Arial" w:eastAsia="Times New Roman" w:hAnsi="Arial" w:cs="Arial"/>
                <w:b/>
                <w:bCs/>
                <w:color w:val="000000"/>
                <w:sz w:val="20"/>
                <w:szCs w:val="20"/>
                <w:lang w:val="en-IN" w:eastAsia="en-IN" w:bidi="hi-IN"/>
              </w:rPr>
            </w:pPr>
            <w:r w:rsidRPr="005161CA">
              <w:rPr>
                <w:rFonts w:ascii="Arial" w:eastAsia="Times New Roman" w:hAnsi="Arial" w:cs="Arial"/>
                <w:b/>
                <w:bCs/>
                <w:color w:val="000000"/>
                <w:sz w:val="20"/>
                <w:szCs w:val="20"/>
                <w:lang w:val="en-IN" w:eastAsia="en-IN" w:bidi="hi-IN"/>
              </w:rPr>
              <w:t>Funding gap</w:t>
            </w:r>
            <w:r w:rsidR="00E6730C">
              <w:rPr>
                <w:rFonts w:ascii="Arial" w:eastAsia="Times New Roman" w:hAnsi="Arial" w:cs="Arial"/>
                <w:b/>
                <w:bCs/>
                <w:color w:val="000000"/>
                <w:sz w:val="20"/>
                <w:szCs w:val="20"/>
                <w:lang w:val="en-IN" w:eastAsia="en-IN" w:bidi="hi-IN"/>
              </w:rPr>
              <w:t xml:space="preserve"> in USD</w:t>
            </w:r>
          </w:p>
        </w:tc>
      </w:tr>
      <w:tr w:rsidR="002E3DF8" w:rsidRPr="005161CA" w14:paraId="757218BA" w14:textId="77777777" w:rsidTr="005161CA">
        <w:trPr>
          <w:trHeight w:val="41"/>
        </w:trPr>
        <w:tc>
          <w:tcPr>
            <w:tcW w:w="5114" w:type="dxa"/>
            <w:vMerge/>
            <w:tcBorders>
              <w:top w:val="single" w:sz="4" w:space="0" w:color="auto"/>
              <w:left w:val="single" w:sz="4" w:space="0" w:color="auto"/>
              <w:bottom w:val="single" w:sz="4" w:space="0" w:color="000000"/>
              <w:right w:val="single" w:sz="4" w:space="0" w:color="auto"/>
            </w:tcBorders>
            <w:vAlign w:val="center"/>
            <w:hideMark/>
          </w:tcPr>
          <w:p w14:paraId="557C9370" w14:textId="77777777" w:rsidR="002E3DF8" w:rsidRPr="005161CA" w:rsidRDefault="002E3DF8" w:rsidP="00472013">
            <w:pPr>
              <w:spacing w:after="0" w:line="240" w:lineRule="auto"/>
              <w:rPr>
                <w:rFonts w:ascii="Arial" w:eastAsia="Times New Roman" w:hAnsi="Arial" w:cs="Arial"/>
                <w:i/>
                <w:iCs/>
                <w:sz w:val="20"/>
                <w:szCs w:val="20"/>
                <w:lang w:val="en-IN" w:eastAsia="en-IN" w:bidi="hi-IN"/>
              </w:rPr>
            </w:pPr>
          </w:p>
        </w:tc>
        <w:tc>
          <w:tcPr>
            <w:tcW w:w="1539" w:type="dxa"/>
            <w:tcBorders>
              <w:top w:val="nil"/>
              <w:left w:val="nil"/>
              <w:bottom w:val="nil"/>
              <w:right w:val="nil"/>
            </w:tcBorders>
            <w:shd w:val="clear" w:color="auto" w:fill="auto"/>
            <w:noWrap/>
            <w:vAlign w:val="bottom"/>
            <w:hideMark/>
          </w:tcPr>
          <w:p w14:paraId="27311179" w14:textId="77777777" w:rsidR="002E3DF8" w:rsidRPr="005161CA" w:rsidRDefault="002E3DF8" w:rsidP="00472013">
            <w:pPr>
              <w:spacing w:after="0" w:line="240" w:lineRule="auto"/>
              <w:jc w:val="center"/>
              <w:rPr>
                <w:rFonts w:ascii="Arial" w:eastAsia="Times New Roman" w:hAnsi="Arial" w:cs="Arial"/>
                <w:b/>
                <w:bCs/>
                <w:color w:val="000000"/>
                <w:sz w:val="20"/>
                <w:szCs w:val="20"/>
                <w:lang w:val="en-IN" w:eastAsia="en-IN" w:bidi="hi-IN"/>
              </w:rPr>
            </w:pPr>
          </w:p>
        </w:tc>
        <w:tc>
          <w:tcPr>
            <w:tcW w:w="1299" w:type="dxa"/>
            <w:tcBorders>
              <w:top w:val="nil"/>
              <w:left w:val="nil"/>
              <w:bottom w:val="nil"/>
              <w:right w:val="nil"/>
            </w:tcBorders>
            <w:shd w:val="clear" w:color="auto" w:fill="auto"/>
            <w:noWrap/>
            <w:vAlign w:val="bottom"/>
            <w:hideMark/>
          </w:tcPr>
          <w:p w14:paraId="20780402" w14:textId="77777777" w:rsidR="002E3DF8" w:rsidRPr="005161CA" w:rsidRDefault="002E3DF8" w:rsidP="00472013">
            <w:pPr>
              <w:spacing w:after="0" w:line="240" w:lineRule="auto"/>
              <w:rPr>
                <w:rFonts w:ascii="Arial" w:eastAsia="Times New Roman" w:hAnsi="Arial" w:cs="Arial"/>
                <w:sz w:val="20"/>
                <w:szCs w:val="20"/>
                <w:lang w:val="en-IN" w:eastAsia="en-IN" w:bidi="hi-IN"/>
              </w:rPr>
            </w:pPr>
          </w:p>
        </w:tc>
        <w:tc>
          <w:tcPr>
            <w:tcW w:w="1257" w:type="dxa"/>
            <w:tcBorders>
              <w:top w:val="nil"/>
              <w:left w:val="nil"/>
              <w:bottom w:val="nil"/>
              <w:right w:val="nil"/>
            </w:tcBorders>
            <w:shd w:val="clear" w:color="auto" w:fill="auto"/>
            <w:noWrap/>
            <w:vAlign w:val="bottom"/>
            <w:hideMark/>
          </w:tcPr>
          <w:p w14:paraId="373E8B48" w14:textId="77777777" w:rsidR="002E3DF8" w:rsidRPr="005161CA" w:rsidRDefault="002E3DF8" w:rsidP="00472013">
            <w:pPr>
              <w:spacing w:after="0" w:line="240" w:lineRule="auto"/>
              <w:rPr>
                <w:rFonts w:ascii="Arial" w:eastAsia="Times New Roman" w:hAnsi="Arial" w:cs="Arial"/>
                <w:sz w:val="20"/>
                <w:szCs w:val="20"/>
                <w:lang w:val="en-IN" w:eastAsia="en-IN" w:bidi="hi-IN"/>
              </w:rPr>
            </w:pPr>
          </w:p>
        </w:tc>
      </w:tr>
      <w:tr w:rsidR="002E3DF8" w:rsidRPr="005161CA" w14:paraId="369E211A" w14:textId="77777777" w:rsidTr="00472013">
        <w:trPr>
          <w:trHeight w:val="337"/>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352B9407"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1.1 Improving diagnosis</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9F24" w14:textId="587DF9C6"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20.87</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51816AC" w14:textId="0D8258F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16.58</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82AA239" w14:textId="417982FF"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4.30</w:t>
            </w:r>
          </w:p>
        </w:tc>
      </w:tr>
      <w:tr w:rsidR="002E3DF8" w:rsidRPr="005161CA" w14:paraId="0DF5F663" w14:textId="77777777" w:rsidTr="00472013">
        <w:trPr>
          <w:trHeight w:val="303"/>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6B68A55B"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2.1 Patient support</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89C75C4" w14:textId="2CCEB799"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5.75</w:t>
            </w:r>
          </w:p>
        </w:tc>
        <w:tc>
          <w:tcPr>
            <w:tcW w:w="1299" w:type="dxa"/>
            <w:tcBorders>
              <w:top w:val="nil"/>
              <w:left w:val="nil"/>
              <w:bottom w:val="single" w:sz="4" w:space="0" w:color="auto"/>
              <w:right w:val="single" w:sz="4" w:space="0" w:color="auto"/>
            </w:tcBorders>
            <w:shd w:val="clear" w:color="auto" w:fill="auto"/>
            <w:noWrap/>
            <w:vAlign w:val="bottom"/>
            <w:hideMark/>
          </w:tcPr>
          <w:p w14:paraId="155EB4A6" w14:textId="173DA6E1"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1.76</w:t>
            </w:r>
          </w:p>
        </w:tc>
        <w:tc>
          <w:tcPr>
            <w:tcW w:w="1257" w:type="dxa"/>
            <w:tcBorders>
              <w:top w:val="nil"/>
              <w:left w:val="nil"/>
              <w:bottom w:val="single" w:sz="4" w:space="0" w:color="auto"/>
              <w:right w:val="single" w:sz="4" w:space="0" w:color="auto"/>
            </w:tcBorders>
            <w:shd w:val="clear" w:color="auto" w:fill="auto"/>
            <w:noWrap/>
            <w:vAlign w:val="bottom"/>
            <w:hideMark/>
          </w:tcPr>
          <w:p w14:paraId="6D4512FA" w14:textId="7EBA62C4"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3.99</w:t>
            </w:r>
          </w:p>
        </w:tc>
      </w:tr>
      <w:tr w:rsidR="002E3DF8" w:rsidRPr="005161CA" w14:paraId="08D70A38"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2FF9E74B"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2.2 First-line drugs procurement and management</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12AEBFC" w14:textId="7B65E6DF"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6.38</w:t>
            </w:r>
          </w:p>
        </w:tc>
        <w:tc>
          <w:tcPr>
            <w:tcW w:w="1299" w:type="dxa"/>
            <w:tcBorders>
              <w:top w:val="nil"/>
              <w:left w:val="nil"/>
              <w:bottom w:val="single" w:sz="4" w:space="0" w:color="auto"/>
              <w:right w:val="single" w:sz="4" w:space="0" w:color="auto"/>
            </w:tcBorders>
            <w:shd w:val="clear" w:color="auto" w:fill="auto"/>
            <w:noWrap/>
            <w:vAlign w:val="bottom"/>
            <w:hideMark/>
          </w:tcPr>
          <w:p w14:paraId="06ABDDD2" w14:textId="1547B474"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3.46</w:t>
            </w:r>
          </w:p>
        </w:tc>
        <w:tc>
          <w:tcPr>
            <w:tcW w:w="1257" w:type="dxa"/>
            <w:tcBorders>
              <w:top w:val="nil"/>
              <w:left w:val="nil"/>
              <w:bottom w:val="single" w:sz="4" w:space="0" w:color="auto"/>
              <w:right w:val="single" w:sz="4" w:space="0" w:color="auto"/>
            </w:tcBorders>
            <w:shd w:val="clear" w:color="auto" w:fill="auto"/>
            <w:noWrap/>
            <w:vAlign w:val="bottom"/>
            <w:hideMark/>
          </w:tcPr>
          <w:p w14:paraId="0A696868" w14:textId="5F62FCEB"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2.93</w:t>
            </w:r>
          </w:p>
        </w:tc>
      </w:tr>
      <w:tr w:rsidR="002E3DF8" w:rsidRPr="005161CA" w14:paraId="6472D5E6"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3CAFAECE"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2.3 Collaborative TB/HIV activities</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AD1F1F9" w14:textId="1F35FFDB"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0.37</w:t>
            </w:r>
          </w:p>
        </w:tc>
        <w:tc>
          <w:tcPr>
            <w:tcW w:w="1299" w:type="dxa"/>
            <w:tcBorders>
              <w:top w:val="nil"/>
              <w:left w:val="nil"/>
              <w:bottom w:val="single" w:sz="4" w:space="0" w:color="auto"/>
              <w:right w:val="single" w:sz="4" w:space="0" w:color="auto"/>
            </w:tcBorders>
            <w:shd w:val="clear" w:color="auto" w:fill="auto"/>
            <w:noWrap/>
            <w:vAlign w:val="bottom"/>
            <w:hideMark/>
          </w:tcPr>
          <w:p w14:paraId="233CAED5" w14:textId="5C87ACBB"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w:t>
            </w:r>
          </w:p>
        </w:tc>
        <w:tc>
          <w:tcPr>
            <w:tcW w:w="1257" w:type="dxa"/>
            <w:tcBorders>
              <w:top w:val="nil"/>
              <w:left w:val="nil"/>
              <w:bottom w:val="single" w:sz="4" w:space="0" w:color="auto"/>
              <w:right w:val="single" w:sz="4" w:space="0" w:color="auto"/>
            </w:tcBorders>
            <w:shd w:val="clear" w:color="auto" w:fill="auto"/>
            <w:noWrap/>
            <w:vAlign w:val="bottom"/>
            <w:hideMark/>
          </w:tcPr>
          <w:p w14:paraId="6A0BDEE5" w14:textId="336DD540"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0.37</w:t>
            </w:r>
          </w:p>
        </w:tc>
      </w:tr>
      <w:tr w:rsidR="002E3DF8" w:rsidRPr="005161CA" w14:paraId="2A905655"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2484C92D"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3.1 MDR-TB drugs and management</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1526770D" w14:textId="298BCD41"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17.17</w:t>
            </w:r>
          </w:p>
        </w:tc>
        <w:tc>
          <w:tcPr>
            <w:tcW w:w="1299" w:type="dxa"/>
            <w:tcBorders>
              <w:top w:val="nil"/>
              <w:left w:val="nil"/>
              <w:bottom w:val="single" w:sz="4" w:space="0" w:color="auto"/>
              <w:right w:val="single" w:sz="4" w:space="0" w:color="auto"/>
            </w:tcBorders>
            <w:shd w:val="clear" w:color="auto" w:fill="auto"/>
            <w:noWrap/>
            <w:vAlign w:val="center"/>
            <w:hideMark/>
          </w:tcPr>
          <w:p w14:paraId="7FB1EDEF" w14:textId="11142F45"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6.77</w:t>
            </w:r>
          </w:p>
        </w:tc>
        <w:tc>
          <w:tcPr>
            <w:tcW w:w="1257" w:type="dxa"/>
            <w:tcBorders>
              <w:top w:val="nil"/>
              <w:left w:val="nil"/>
              <w:bottom w:val="single" w:sz="4" w:space="0" w:color="auto"/>
              <w:right w:val="single" w:sz="4" w:space="0" w:color="auto"/>
            </w:tcBorders>
            <w:shd w:val="clear" w:color="auto" w:fill="auto"/>
            <w:noWrap/>
            <w:vAlign w:val="center"/>
            <w:hideMark/>
          </w:tcPr>
          <w:p w14:paraId="6801DD36" w14:textId="3F06A97A"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10.41</w:t>
            </w:r>
          </w:p>
        </w:tc>
      </w:tr>
      <w:tr w:rsidR="002E3DF8" w:rsidRPr="005161CA" w14:paraId="4335A268"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7E4CBC10"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4.1 Involving all care providers: PPM/ISTC</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60D7B310" w14:textId="13EF303D"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3.08</w:t>
            </w:r>
          </w:p>
        </w:tc>
        <w:tc>
          <w:tcPr>
            <w:tcW w:w="1299" w:type="dxa"/>
            <w:tcBorders>
              <w:top w:val="nil"/>
              <w:left w:val="nil"/>
              <w:bottom w:val="single" w:sz="4" w:space="0" w:color="auto"/>
              <w:right w:val="single" w:sz="4" w:space="0" w:color="auto"/>
            </w:tcBorders>
            <w:shd w:val="clear" w:color="auto" w:fill="auto"/>
            <w:noWrap/>
            <w:vAlign w:val="center"/>
            <w:hideMark/>
          </w:tcPr>
          <w:p w14:paraId="4DFD5364" w14:textId="40A4E29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0.44</w:t>
            </w:r>
          </w:p>
        </w:tc>
        <w:tc>
          <w:tcPr>
            <w:tcW w:w="1257" w:type="dxa"/>
            <w:tcBorders>
              <w:top w:val="nil"/>
              <w:left w:val="nil"/>
              <w:bottom w:val="single" w:sz="4" w:space="0" w:color="auto"/>
              <w:right w:val="single" w:sz="4" w:space="0" w:color="auto"/>
            </w:tcBorders>
            <w:shd w:val="clear" w:color="auto" w:fill="auto"/>
            <w:noWrap/>
            <w:vAlign w:val="center"/>
            <w:hideMark/>
          </w:tcPr>
          <w:p w14:paraId="0A74F05C" w14:textId="3AA0376D"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2.64</w:t>
            </w:r>
          </w:p>
        </w:tc>
      </w:tr>
      <w:tr w:rsidR="002E3DF8" w:rsidRPr="005161CA" w14:paraId="41B3C0EC"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7BA45754"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5.2 Community involvement</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6AB732C4" w14:textId="21856E78"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7.65</w:t>
            </w:r>
          </w:p>
        </w:tc>
        <w:tc>
          <w:tcPr>
            <w:tcW w:w="1299" w:type="dxa"/>
            <w:tcBorders>
              <w:top w:val="nil"/>
              <w:left w:val="nil"/>
              <w:bottom w:val="single" w:sz="4" w:space="0" w:color="auto"/>
              <w:right w:val="single" w:sz="4" w:space="0" w:color="auto"/>
            </w:tcBorders>
            <w:shd w:val="clear" w:color="auto" w:fill="auto"/>
            <w:noWrap/>
            <w:vAlign w:val="center"/>
            <w:hideMark/>
          </w:tcPr>
          <w:p w14:paraId="11236FC8" w14:textId="6950B366"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1.60</w:t>
            </w:r>
          </w:p>
        </w:tc>
        <w:tc>
          <w:tcPr>
            <w:tcW w:w="1257" w:type="dxa"/>
            <w:tcBorders>
              <w:top w:val="nil"/>
              <w:left w:val="nil"/>
              <w:bottom w:val="single" w:sz="4" w:space="0" w:color="auto"/>
              <w:right w:val="single" w:sz="4" w:space="0" w:color="auto"/>
            </w:tcBorders>
            <w:shd w:val="clear" w:color="auto" w:fill="auto"/>
            <w:noWrap/>
            <w:vAlign w:val="center"/>
            <w:hideMark/>
          </w:tcPr>
          <w:p w14:paraId="178418AF" w14:textId="75BFE7CA"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6.05</w:t>
            </w:r>
          </w:p>
        </w:tc>
      </w:tr>
      <w:tr w:rsidR="002E3DF8" w:rsidRPr="005161CA" w14:paraId="4E50873C"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27FD0549"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 xml:space="preserve">6.1 HRD: Staff </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30C09C69" w14:textId="5C90A76F"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4.22</w:t>
            </w:r>
          </w:p>
        </w:tc>
        <w:tc>
          <w:tcPr>
            <w:tcW w:w="1299" w:type="dxa"/>
            <w:tcBorders>
              <w:top w:val="nil"/>
              <w:left w:val="nil"/>
              <w:bottom w:val="single" w:sz="4" w:space="0" w:color="auto"/>
              <w:right w:val="single" w:sz="4" w:space="0" w:color="auto"/>
            </w:tcBorders>
            <w:shd w:val="clear" w:color="auto" w:fill="auto"/>
            <w:noWrap/>
            <w:vAlign w:val="center"/>
            <w:hideMark/>
          </w:tcPr>
          <w:p w14:paraId="683D2848" w14:textId="675724B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3.08</w:t>
            </w:r>
          </w:p>
        </w:tc>
        <w:tc>
          <w:tcPr>
            <w:tcW w:w="1257" w:type="dxa"/>
            <w:tcBorders>
              <w:top w:val="nil"/>
              <w:left w:val="nil"/>
              <w:bottom w:val="single" w:sz="4" w:space="0" w:color="auto"/>
              <w:right w:val="single" w:sz="4" w:space="0" w:color="auto"/>
            </w:tcBorders>
            <w:shd w:val="clear" w:color="auto" w:fill="auto"/>
            <w:noWrap/>
            <w:vAlign w:val="center"/>
            <w:hideMark/>
          </w:tcPr>
          <w:p w14:paraId="0D3F3E95" w14:textId="2D1CA47E"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1.13</w:t>
            </w:r>
          </w:p>
        </w:tc>
      </w:tr>
      <w:tr w:rsidR="002E3DF8" w:rsidRPr="005161CA" w14:paraId="19C522C1"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0260EFFA"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6.2 HRD: International technical assistance</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5BE301DE" w14:textId="142F978D"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0.55</w:t>
            </w:r>
          </w:p>
        </w:tc>
        <w:tc>
          <w:tcPr>
            <w:tcW w:w="1299" w:type="dxa"/>
            <w:tcBorders>
              <w:top w:val="nil"/>
              <w:left w:val="nil"/>
              <w:bottom w:val="single" w:sz="4" w:space="0" w:color="auto"/>
              <w:right w:val="single" w:sz="4" w:space="0" w:color="auto"/>
            </w:tcBorders>
            <w:shd w:val="clear" w:color="auto" w:fill="auto"/>
            <w:noWrap/>
            <w:vAlign w:val="center"/>
            <w:hideMark/>
          </w:tcPr>
          <w:p w14:paraId="2ECB7665" w14:textId="23153CEE"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w:t>
            </w:r>
          </w:p>
        </w:tc>
        <w:tc>
          <w:tcPr>
            <w:tcW w:w="1257" w:type="dxa"/>
            <w:tcBorders>
              <w:top w:val="nil"/>
              <w:left w:val="nil"/>
              <w:bottom w:val="single" w:sz="4" w:space="0" w:color="auto"/>
              <w:right w:val="single" w:sz="4" w:space="0" w:color="auto"/>
            </w:tcBorders>
            <w:shd w:val="clear" w:color="auto" w:fill="auto"/>
            <w:noWrap/>
            <w:vAlign w:val="center"/>
            <w:hideMark/>
          </w:tcPr>
          <w:p w14:paraId="4E89DBE1" w14:textId="2ADB679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0.55</w:t>
            </w:r>
          </w:p>
        </w:tc>
      </w:tr>
      <w:tr w:rsidR="002E3DF8" w:rsidRPr="005161CA" w14:paraId="68F5624F"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3AD2FBB0"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6.3 HRD: Training</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4B0E63E8" w14:textId="18C9B513"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7.32</w:t>
            </w:r>
          </w:p>
        </w:tc>
        <w:tc>
          <w:tcPr>
            <w:tcW w:w="1299" w:type="dxa"/>
            <w:tcBorders>
              <w:top w:val="nil"/>
              <w:left w:val="nil"/>
              <w:bottom w:val="single" w:sz="4" w:space="0" w:color="auto"/>
              <w:right w:val="single" w:sz="4" w:space="0" w:color="auto"/>
            </w:tcBorders>
            <w:shd w:val="clear" w:color="auto" w:fill="auto"/>
            <w:noWrap/>
            <w:vAlign w:val="center"/>
            <w:hideMark/>
          </w:tcPr>
          <w:p w14:paraId="021B9460" w14:textId="2B864888"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3.14</w:t>
            </w:r>
          </w:p>
        </w:tc>
        <w:tc>
          <w:tcPr>
            <w:tcW w:w="1257" w:type="dxa"/>
            <w:tcBorders>
              <w:top w:val="nil"/>
              <w:left w:val="nil"/>
              <w:bottom w:val="single" w:sz="4" w:space="0" w:color="auto"/>
              <w:right w:val="single" w:sz="4" w:space="0" w:color="auto"/>
            </w:tcBorders>
            <w:shd w:val="clear" w:color="auto" w:fill="auto"/>
            <w:noWrap/>
            <w:vAlign w:val="center"/>
            <w:hideMark/>
          </w:tcPr>
          <w:p w14:paraId="7717D939" w14:textId="69D51856"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4.18</w:t>
            </w:r>
          </w:p>
        </w:tc>
      </w:tr>
      <w:tr w:rsidR="002E3DF8" w:rsidRPr="005161CA" w14:paraId="13FD7F01"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28C9522F"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6.4 Infection control</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4E62949D" w14:textId="1BAFD393"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0.45</w:t>
            </w:r>
          </w:p>
        </w:tc>
        <w:tc>
          <w:tcPr>
            <w:tcW w:w="1299" w:type="dxa"/>
            <w:tcBorders>
              <w:top w:val="nil"/>
              <w:left w:val="nil"/>
              <w:bottom w:val="single" w:sz="4" w:space="0" w:color="auto"/>
              <w:right w:val="single" w:sz="4" w:space="0" w:color="auto"/>
            </w:tcBorders>
            <w:shd w:val="clear" w:color="auto" w:fill="auto"/>
            <w:noWrap/>
            <w:vAlign w:val="center"/>
            <w:hideMark/>
          </w:tcPr>
          <w:p w14:paraId="36EC2613" w14:textId="19FEE699"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0.14</w:t>
            </w:r>
          </w:p>
        </w:tc>
        <w:tc>
          <w:tcPr>
            <w:tcW w:w="1257" w:type="dxa"/>
            <w:tcBorders>
              <w:top w:val="nil"/>
              <w:left w:val="nil"/>
              <w:bottom w:val="single" w:sz="4" w:space="0" w:color="auto"/>
              <w:right w:val="single" w:sz="4" w:space="0" w:color="auto"/>
            </w:tcBorders>
            <w:shd w:val="clear" w:color="auto" w:fill="auto"/>
            <w:noWrap/>
            <w:vAlign w:val="center"/>
            <w:hideMark/>
          </w:tcPr>
          <w:p w14:paraId="1C7D74FB" w14:textId="7712FEDF"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0.31</w:t>
            </w:r>
          </w:p>
        </w:tc>
      </w:tr>
      <w:tr w:rsidR="002E3DF8" w:rsidRPr="005161CA" w14:paraId="29F46C50"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7EFDF737"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6.5 Operational research</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7001FF79" w14:textId="648E195D"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0.03</w:t>
            </w:r>
          </w:p>
        </w:tc>
        <w:tc>
          <w:tcPr>
            <w:tcW w:w="1299" w:type="dxa"/>
            <w:tcBorders>
              <w:top w:val="nil"/>
              <w:left w:val="nil"/>
              <w:bottom w:val="single" w:sz="4" w:space="0" w:color="auto"/>
              <w:right w:val="single" w:sz="4" w:space="0" w:color="auto"/>
            </w:tcBorders>
            <w:shd w:val="clear" w:color="auto" w:fill="auto"/>
            <w:noWrap/>
            <w:vAlign w:val="center"/>
            <w:hideMark/>
          </w:tcPr>
          <w:p w14:paraId="17B2C6F6" w14:textId="72E738D6"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w:t>
            </w:r>
          </w:p>
        </w:tc>
        <w:tc>
          <w:tcPr>
            <w:tcW w:w="1257" w:type="dxa"/>
            <w:tcBorders>
              <w:top w:val="nil"/>
              <w:left w:val="nil"/>
              <w:bottom w:val="single" w:sz="4" w:space="0" w:color="auto"/>
              <w:right w:val="single" w:sz="4" w:space="0" w:color="auto"/>
            </w:tcBorders>
            <w:shd w:val="clear" w:color="auto" w:fill="auto"/>
            <w:noWrap/>
            <w:vAlign w:val="center"/>
            <w:hideMark/>
          </w:tcPr>
          <w:p w14:paraId="4087848A" w14:textId="5AB20C0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0.03</w:t>
            </w:r>
          </w:p>
        </w:tc>
      </w:tr>
      <w:tr w:rsidR="002E3DF8" w:rsidRPr="005161CA" w14:paraId="207EF715"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20EC0C29"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7.1 M&amp;E</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1A9B453B" w14:textId="00CFD3DC"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4.19</w:t>
            </w:r>
          </w:p>
        </w:tc>
        <w:tc>
          <w:tcPr>
            <w:tcW w:w="1299" w:type="dxa"/>
            <w:tcBorders>
              <w:top w:val="nil"/>
              <w:left w:val="nil"/>
              <w:bottom w:val="single" w:sz="4" w:space="0" w:color="auto"/>
              <w:right w:val="single" w:sz="4" w:space="0" w:color="auto"/>
            </w:tcBorders>
            <w:shd w:val="clear" w:color="auto" w:fill="auto"/>
            <w:noWrap/>
            <w:vAlign w:val="center"/>
            <w:hideMark/>
          </w:tcPr>
          <w:p w14:paraId="51BBB516" w14:textId="3EE6BD4D"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3.40</w:t>
            </w:r>
          </w:p>
        </w:tc>
        <w:tc>
          <w:tcPr>
            <w:tcW w:w="1257" w:type="dxa"/>
            <w:tcBorders>
              <w:top w:val="nil"/>
              <w:left w:val="nil"/>
              <w:bottom w:val="single" w:sz="4" w:space="0" w:color="auto"/>
              <w:right w:val="single" w:sz="4" w:space="0" w:color="auto"/>
            </w:tcBorders>
            <w:shd w:val="clear" w:color="auto" w:fill="auto"/>
            <w:noWrap/>
            <w:vAlign w:val="center"/>
            <w:hideMark/>
          </w:tcPr>
          <w:p w14:paraId="291EDFDD" w14:textId="4FAFCD47"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0.79</w:t>
            </w:r>
          </w:p>
        </w:tc>
      </w:tr>
      <w:tr w:rsidR="002E3DF8" w:rsidRPr="005161CA" w14:paraId="3D83D4C2" w14:textId="77777777" w:rsidTr="00472013">
        <w:trPr>
          <w:trHeight w:val="300"/>
        </w:trPr>
        <w:tc>
          <w:tcPr>
            <w:tcW w:w="5114" w:type="dxa"/>
            <w:tcBorders>
              <w:top w:val="nil"/>
              <w:left w:val="single" w:sz="4" w:space="0" w:color="auto"/>
              <w:bottom w:val="single" w:sz="4" w:space="0" w:color="auto"/>
              <w:right w:val="single" w:sz="4" w:space="0" w:color="auto"/>
            </w:tcBorders>
            <w:shd w:val="clear" w:color="auto" w:fill="auto"/>
            <w:noWrap/>
            <w:vAlign w:val="bottom"/>
            <w:hideMark/>
          </w:tcPr>
          <w:p w14:paraId="41D99348" w14:textId="77777777"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7.2 Programme management and supervision</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52F402E7" w14:textId="41486C3C"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11.08</w:t>
            </w:r>
          </w:p>
        </w:tc>
        <w:tc>
          <w:tcPr>
            <w:tcW w:w="1299" w:type="dxa"/>
            <w:tcBorders>
              <w:top w:val="nil"/>
              <w:left w:val="nil"/>
              <w:bottom w:val="single" w:sz="4" w:space="0" w:color="auto"/>
              <w:right w:val="single" w:sz="4" w:space="0" w:color="auto"/>
            </w:tcBorders>
            <w:shd w:val="clear" w:color="auto" w:fill="auto"/>
            <w:noWrap/>
            <w:vAlign w:val="center"/>
            <w:hideMark/>
          </w:tcPr>
          <w:p w14:paraId="76203846" w14:textId="7CCB0F11"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7.87</w:t>
            </w:r>
          </w:p>
        </w:tc>
        <w:tc>
          <w:tcPr>
            <w:tcW w:w="1257" w:type="dxa"/>
            <w:tcBorders>
              <w:top w:val="nil"/>
              <w:left w:val="nil"/>
              <w:bottom w:val="single" w:sz="4" w:space="0" w:color="auto"/>
              <w:right w:val="single" w:sz="4" w:space="0" w:color="auto"/>
            </w:tcBorders>
            <w:shd w:val="clear" w:color="auto" w:fill="auto"/>
            <w:noWrap/>
            <w:vAlign w:val="center"/>
            <w:hideMark/>
          </w:tcPr>
          <w:p w14:paraId="4D1BC5E6" w14:textId="52D4B789"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3.21</w:t>
            </w:r>
          </w:p>
        </w:tc>
      </w:tr>
      <w:tr w:rsidR="002E3DF8" w:rsidRPr="005161CA" w14:paraId="37AEE747" w14:textId="77777777" w:rsidTr="00472013">
        <w:trPr>
          <w:trHeight w:val="60"/>
        </w:trPr>
        <w:tc>
          <w:tcPr>
            <w:tcW w:w="5114" w:type="dxa"/>
            <w:tcBorders>
              <w:top w:val="nil"/>
              <w:left w:val="single" w:sz="4" w:space="0" w:color="auto"/>
              <w:bottom w:val="single" w:sz="4" w:space="0" w:color="auto"/>
              <w:right w:val="single" w:sz="4" w:space="0" w:color="auto"/>
            </w:tcBorders>
            <w:shd w:val="clear" w:color="000000" w:fill="DCE6F1"/>
            <w:noWrap/>
            <w:vAlign w:val="center"/>
            <w:hideMark/>
          </w:tcPr>
          <w:p w14:paraId="0585E5E8" w14:textId="5C84A554" w:rsidR="002E3DF8" w:rsidRPr="005161CA" w:rsidRDefault="002E3DF8" w:rsidP="00472013">
            <w:pPr>
              <w:spacing w:after="0" w:line="240" w:lineRule="auto"/>
              <w:rPr>
                <w:rFonts w:ascii="Arial" w:eastAsia="Times New Roman" w:hAnsi="Arial" w:cs="Arial"/>
                <w:color w:val="000000"/>
                <w:sz w:val="20"/>
                <w:szCs w:val="20"/>
                <w:lang w:val="en-IN" w:eastAsia="en-IN" w:bidi="hi-IN"/>
              </w:rPr>
            </w:pPr>
            <w:r w:rsidRPr="005161CA">
              <w:rPr>
                <w:rFonts w:ascii="Arial" w:eastAsia="Times New Roman" w:hAnsi="Arial" w:cs="Arial"/>
                <w:b/>
                <w:bCs/>
                <w:color w:val="000080"/>
                <w:sz w:val="20"/>
                <w:szCs w:val="20"/>
                <w:lang w:val="en-IN" w:eastAsia="en-IN" w:bidi="hi-IN"/>
              </w:rPr>
              <w:t>Total</w:t>
            </w:r>
            <w:r w:rsidR="00E6730C">
              <w:rPr>
                <w:rFonts w:ascii="Arial" w:eastAsia="Times New Roman" w:hAnsi="Arial" w:cs="Arial"/>
                <w:b/>
                <w:bCs/>
                <w:color w:val="000080"/>
                <w:sz w:val="20"/>
                <w:szCs w:val="20"/>
                <w:lang w:val="en-IN" w:eastAsia="en-IN" w:bidi="hi-IN"/>
              </w:rPr>
              <w:t xml:space="preserve"> in USD</w:t>
            </w: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7CD19712" w14:textId="0ABD1C56"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89.12</w:t>
            </w:r>
          </w:p>
        </w:tc>
        <w:tc>
          <w:tcPr>
            <w:tcW w:w="1299" w:type="dxa"/>
            <w:tcBorders>
              <w:top w:val="nil"/>
              <w:left w:val="nil"/>
              <w:bottom w:val="single" w:sz="4" w:space="0" w:color="auto"/>
              <w:right w:val="single" w:sz="4" w:space="0" w:color="auto"/>
            </w:tcBorders>
            <w:shd w:val="clear" w:color="auto" w:fill="auto"/>
            <w:noWrap/>
            <w:vAlign w:val="center"/>
            <w:hideMark/>
          </w:tcPr>
          <w:p w14:paraId="0F9D8AAC" w14:textId="2E5ACFFA"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48.24</w:t>
            </w:r>
          </w:p>
        </w:tc>
        <w:tc>
          <w:tcPr>
            <w:tcW w:w="1257" w:type="dxa"/>
            <w:tcBorders>
              <w:top w:val="nil"/>
              <w:left w:val="nil"/>
              <w:bottom w:val="single" w:sz="4" w:space="0" w:color="auto"/>
              <w:right w:val="single" w:sz="4" w:space="0" w:color="auto"/>
            </w:tcBorders>
            <w:shd w:val="clear" w:color="auto" w:fill="auto"/>
            <w:noWrap/>
            <w:vAlign w:val="center"/>
            <w:hideMark/>
          </w:tcPr>
          <w:p w14:paraId="29DDA926" w14:textId="527E7DD2" w:rsidR="002E3DF8" w:rsidRPr="005161CA" w:rsidRDefault="002E3DF8" w:rsidP="002E3DF8">
            <w:pPr>
              <w:spacing w:after="0" w:line="240" w:lineRule="auto"/>
              <w:jc w:val="center"/>
              <w:rPr>
                <w:rFonts w:ascii="Arial" w:eastAsia="Times New Roman" w:hAnsi="Arial" w:cs="Arial"/>
                <w:color w:val="000000"/>
                <w:sz w:val="20"/>
                <w:szCs w:val="20"/>
                <w:lang w:val="en-IN" w:eastAsia="en-IN" w:bidi="hi-IN"/>
              </w:rPr>
            </w:pPr>
            <w:r w:rsidRPr="005161CA">
              <w:rPr>
                <w:rFonts w:ascii="Arial" w:eastAsia="Times New Roman" w:hAnsi="Arial" w:cs="Arial"/>
                <w:color w:val="000000"/>
                <w:sz w:val="20"/>
                <w:szCs w:val="20"/>
                <w:lang w:val="en-IN" w:eastAsia="en-IN" w:bidi="hi-IN"/>
              </w:rPr>
              <w:t>40.87</w:t>
            </w:r>
          </w:p>
        </w:tc>
      </w:tr>
    </w:tbl>
    <w:p w14:paraId="21581740" w14:textId="7B3B34CD" w:rsidR="002E3DF8" w:rsidRDefault="002E3DF8" w:rsidP="000557DA">
      <w:pPr>
        <w:spacing w:after="0" w:line="240" w:lineRule="auto"/>
        <w:rPr>
          <w:rFonts w:ascii="Arial" w:eastAsia="Calibri" w:hAnsi="Arial" w:cs="Arial"/>
          <w:sz w:val="20"/>
          <w:szCs w:val="20"/>
          <w:lang w:val="en-US"/>
        </w:rPr>
      </w:pPr>
    </w:p>
    <w:p w14:paraId="5020EEAB" w14:textId="0AAE4576" w:rsidR="00CD274F" w:rsidRDefault="00CD274F" w:rsidP="00A51F10">
      <w:pPr>
        <w:spacing w:after="0" w:line="240" w:lineRule="auto"/>
        <w:jc w:val="both"/>
        <w:rPr>
          <w:rFonts w:ascii="Arial" w:hAnsi="Arial" w:cs="Arial"/>
        </w:rPr>
      </w:pPr>
      <w:r w:rsidRPr="00A46C31">
        <w:rPr>
          <w:rFonts w:ascii="Arial" w:hAnsi="Arial" w:cs="Arial"/>
        </w:rPr>
        <w:t xml:space="preserve">The </w:t>
      </w:r>
      <w:proofErr w:type="spellStart"/>
      <w:r w:rsidRPr="00A46C31">
        <w:rPr>
          <w:rFonts w:ascii="Arial" w:hAnsi="Arial" w:cs="Arial"/>
        </w:rPr>
        <w:t>GoN</w:t>
      </w:r>
      <w:proofErr w:type="spellEnd"/>
      <w:r w:rsidRPr="00A46C31">
        <w:rPr>
          <w:rFonts w:ascii="Arial" w:hAnsi="Arial" w:cs="Arial"/>
        </w:rPr>
        <w:t xml:space="preserve"> almost </w:t>
      </w:r>
      <w:r>
        <w:rPr>
          <w:rFonts w:ascii="Arial" w:hAnsi="Arial" w:cs="Arial"/>
        </w:rPr>
        <w:t xml:space="preserve">tripled </w:t>
      </w:r>
      <w:r w:rsidRPr="00A46C31">
        <w:rPr>
          <w:rFonts w:ascii="Arial" w:hAnsi="Arial" w:cs="Arial"/>
        </w:rPr>
        <w:t>its budget allocation for TB between 2013/14 and 201</w:t>
      </w:r>
      <w:r>
        <w:rPr>
          <w:rFonts w:ascii="Arial" w:hAnsi="Arial" w:cs="Arial"/>
        </w:rPr>
        <w:t>7/18</w:t>
      </w:r>
      <w:r w:rsidRPr="00A46C31">
        <w:rPr>
          <w:rFonts w:ascii="Arial" w:hAnsi="Arial" w:cs="Arial"/>
        </w:rPr>
        <w:t xml:space="preserve">, from USD </w:t>
      </w:r>
      <w:r>
        <w:rPr>
          <w:rFonts w:ascii="Arial" w:hAnsi="Arial" w:cs="Arial"/>
        </w:rPr>
        <w:t>3.2</w:t>
      </w:r>
      <w:r w:rsidR="00F37DF2">
        <w:rPr>
          <w:rFonts w:ascii="Arial" w:hAnsi="Arial" w:cs="Arial"/>
        </w:rPr>
        <w:t xml:space="preserve"> million</w:t>
      </w:r>
      <w:r>
        <w:rPr>
          <w:rFonts w:ascii="Arial" w:hAnsi="Arial" w:cs="Arial"/>
        </w:rPr>
        <w:t xml:space="preserve"> </w:t>
      </w:r>
      <w:r w:rsidRPr="00A46C31">
        <w:rPr>
          <w:rFonts w:ascii="Arial" w:hAnsi="Arial" w:cs="Arial"/>
        </w:rPr>
        <w:t>to USD</w:t>
      </w:r>
      <w:r>
        <w:rPr>
          <w:rFonts w:ascii="Arial" w:hAnsi="Arial" w:cs="Arial"/>
        </w:rPr>
        <w:t xml:space="preserve"> 9.78 </w:t>
      </w:r>
      <w:r w:rsidR="00F37DF2">
        <w:rPr>
          <w:rFonts w:ascii="Arial" w:hAnsi="Arial" w:cs="Arial"/>
        </w:rPr>
        <w:t>million</w:t>
      </w:r>
      <w:r w:rsidR="0041630D">
        <w:rPr>
          <w:rFonts w:ascii="Arial" w:hAnsi="Arial" w:cs="Arial"/>
        </w:rPr>
        <w:t xml:space="preserve"> (Table-2). </w:t>
      </w:r>
      <w:r w:rsidRPr="00A46C31">
        <w:rPr>
          <w:rFonts w:ascii="Arial" w:hAnsi="Arial" w:cs="Arial"/>
        </w:rPr>
        <w:t>This upward trend</w:t>
      </w:r>
      <w:r>
        <w:rPr>
          <w:rFonts w:ascii="Arial" w:hAnsi="Arial" w:cs="Arial"/>
        </w:rPr>
        <w:t xml:space="preserve"> </w:t>
      </w:r>
      <w:r w:rsidR="00A947A5">
        <w:rPr>
          <w:rFonts w:ascii="Arial" w:hAnsi="Arial" w:cs="Arial"/>
        </w:rPr>
        <w:t>despite</w:t>
      </w:r>
      <w:r>
        <w:rPr>
          <w:rFonts w:ascii="Arial" w:hAnsi="Arial" w:cs="Arial"/>
        </w:rPr>
        <w:t xml:space="preserve"> financial limitations due to natural disasters, political unrest in </w:t>
      </w:r>
      <w:r w:rsidR="00CE586F">
        <w:rPr>
          <w:rFonts w:ascii="Arial" w:hAnsi="Arial" w:cs="Arial"/>
        </w:rPr>
        <w:t xml:space="preserve">the </w:t>
      </w:r>
      <w:r>
        <w:rPr>
          <w:rFonts w:ascii="Arial" w:hAnsi="Arial" w:cs="Arial"/>
        </w:rPr>
        <w:t>previous 3-4 years</w:t>
      </w:r>
      <w:r w:rsidR="003F6044">
        <w:rPr>
          <w:rFonts w:ascii="Arial" w:hAnsi="Arial" w:cs="Arial"/>
        </w:rPr>
        <w:t>,</w:t>
      </w:r>
      <w:r w:rsidRPr="00A46C31">
        <w:rPr>
          <w:rFonts w:ascii="Arial" w:hAnsi="Arial" w:cs="Arial"/>
        </w:rPr>
        <w:t xml:space="preserve"> </w:t>
      </w:r>
      <w:r>
        <w:rPr>
          <w:rFonts w:ascii="Arial" w:hAnsi="Arial" w:cs="Arial"/>
        </w:rPr>
        <w:t xml:space="preserve">clearly </w:t>
      </w:r>
      <w:r w:rsidRPr="00A46C31">
        <w:rPr>
          <w:rFonts w:ascii="Arial" w:hAnsi="Arial" w:cs="Arial"/>
        </w:rPr>
        <w:t xml:space="preserve">demonstrates the </w:t>
      </w:r>
      <w:r>
        <w:rPr>
          <w:rFonts w:ascii="Arial" w:hAnsi="Arial" w:cs="Arial"/>
        </w:rPr>
        <w:lastRenderedPageBreak/>
        <w:t xml:space="preserve">government’s </w:t>
      </w:r>
      <w:r w:rsidRPr="00A46C31">
        <w:rPr>
          <w:rFonts w:ascii="Arial" w:hAnsi="Arial" w:cs="Arial"/>
        </w:rPr>
        <w:t xml:space="preserve">commitment to increasing its financial investment </w:t>
      </w:r>
      <w:r>
        <w:rPr>
          <w:rFonts w:ascii="Arial" w:hAnsi="Arial" w:cs="Arial"/>
        </w:rPr>
        <w:t xml:space="preserve">for TB program </w:t>
      </w:r>
      <w:r w:rsidRPr="00A46C31">
        <w:rPr>
          <w:rFonts w:ascii="Arial" w:hAnsi="Arial" w:cs="Arial"/>
        </w:rPr>
        <w:t xml:space="preserve">to ensure sustainability. </w:t>
      </w:r>
    </w:p>
    <w:p w14:paraId="2DB5B70D" w14:textId="46E8F4AE" w:rsidR="004146CC" w:rsidRPr="005161CA" w:rsidRDefault="004146CC" w:rsidP="004146CC">
      <w:pPr>
        <w:spacing w:after="0" w:line="240" w:lineRule="auto"/>
        <w:jc w:val="center"/>
        <w:rPr>
          <w:rFonts w:ascii="Arial" w:eastAsia="Calibri" w:hAnsi="Arial" w:cs="Arial"/>
          <w:b/>
          <w:sz w:val="20"/>
          <w:szCs w:val="20"/>
          <w:lang w:val="en-US"/>
        </w:rPr>
      </w:pPr>
      <w:r w:rsidRPr="005161CA">
        <w:rPr>
          <w:rFonts w:ascii="Arial" w:eastAsia="Calibri" w:hAnsi="Arial" w:cs="Arial"/>
          <w:b/>
          <w:sz w:val="20"/>
          <w:szCs w:val="20"/>
          <w:lang w:val="en-US"/>
        </w:rPr>
        <w:t>Table-</w:t>
      </w:r>
      <w:r>
        <w:rPr>
          <w:rFonts w:ascii="Arial" w:eastAsia="Calibri" w:hAnsi="Arial" w:cs="Arial"/>
          <w:b/>
          <w:sz w:val="20"/>
          <w:szCs w:val="20"/>
          <w:lang w:val="en-US"/>
        </w:rPr>
        <w:t>2</w:t>
      </w:r>
      <w:r w:rsidRPr="005161CA">
        <w:rPr>
          <w:rFonts w:ascii="Arial" w:eastAsia="Calibri" w:hAnsi="Arial" w:cs="Arial"/>
          <w:b/>
          <w:sz w:val="20"/>
          <w:szCs w:val="20"/>
          <w:lang w:val="en-US"/>
        </w:rPr>
        <w:t xml:space="preserve">: Funding </w:t>
      </w:r>
      <w:r>
        <w:rPr>
          <w:rFonts w:ascii="Arial" w:eastAsia="Calibri" w:hAnsi="Arial" w:cs="Arial"/>
          <w:b/>
          <w:sz w:val="20"/>
          <w:szCs w:val="20"/>
          <w:lang w:val="en-US"/>
        </w:rPr>
        <w:t xml:space="preserve">Landscape </w:t>
      </w:r>
      <w:r w:rsidRPr="005161CA">
        <w:rPr>
          <w:rFonts w:ascii="Arial" w:eastAsia="Calibri" w:hAnsi="Arial" w:cs="Arial"/>
          <w:b/>
          <w:sz w:val="20"/>
          <w:szCs w:val="20"/>
          <w:lang w:val="en-US"/>
        </w:rPr>
        <w:t>from 201</w:t>
      </w:r>
      <w:r w:rsidR="00586CE1">
        <w:rPr>
          <w:rFonts w:ascii="Arial" w:eastAsia="Calibri" w:hAnsi="Arial" w:cs="Arial"/>
          <w:b/>
          <w:sz w:val="20"/>
          <w:szCs w:val="20"/>
          <w:lang w:val="en-US"/>
        </w:rPr>
        <w:t>7</w:t>
      </w:r>
      <w:r w:rsidRPr="005161CA">
        <w:rPr>
          <w:rFonts w:ascii="Arial" w:eastAsia="Calibri" w:hAnsi="Arial" w:cs="Arial"/>
          <w:b/>
          <w:sz w:val="20"/>
          <w:szCs w:val="20"/>
          <w:lang w:val="en-US"/>
        </w:rPr>
        <w:t>-202</w:t>
      </w:r>
      <w:r w:rsidR="00586CE1">
        <w:rPr>
          <w:rFonts w:ascii="Arial" w:eastAsia="Calibri" w:hAnsi="Arial" w:cs="Arial"/>
          <w:b/>
          <w:sz w:val="20"/>
          <w:szCs w:val="20"/>
          <w:lang w:val="en-US"/>
        </w:rPr>
        <w:t>1</w:t>
      </w:r>
    </w:p>
    <w:p w14:paraId="2F3C3475" w14:textId="77777777" w:rsidR="004146CC" w:rsidRDefault="004146CC" w:rsidP="004146CC">
      <w:pPr>
        <w:spacing w:after="0" w:line="240" w:lineRule="auto"/>
        <w:rPr>
          <w:rFonts w:ascii="Arial" w:eastAsia="Calibri" w:hAnsi="Arial" w:cs="Arial"/>
          <w:sz w:val="20"/>
          <w:szCs w:val="20"/>
          <w:lang w:val="en-US"/>
        </w:rPr>
      </w:pPr>
    </w:p>
    <w:tbl>
      <w:tblPr>
        <w:tblW w:w="5000" w:type="pct"/>
        <w:tblLayout w:type="fixed"/>
        <w:tblLook w:val="04A0" w:firstRow="1" w:lastRow="0" w:firstColumn="1" w:lastColumn="0" w:noHBand="0" w:noVBand="1"/>
      </w:tblPr>
      <w:tblGrid>
        <w:gridCol w:w="3978"/>
        <w:gridCol w:w="719"/>
        <w:gridCol w:w="721"/>
        <w:gridCol w:w="721"/>
        <w:gridCol w:w="721"/>
        <w:gridCol w:w="719"/>
        <w:gridCol w:w="900"/>
        <w:gridCol w:w="763"/>
      </w:tblGrid>
      <w:tr w:rsidR="00BB67AB" w:rsidRPr="00BB67AB" w14:paraId="13A80772" w14:textId="77777777" w:rsidTr="00BB67AB">
        <w:trPr>
          <w:trHeight w:val="315"/>
        </w:trPr>
        <w:tc>
          <w:tcPr>
            <w:tcW w:w="215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64AB78"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Particulars</w:t>
            </w:r>
          </w:p>
        </w:tc>
        <w:tc>
          <w:tcPr>
            <w:tcW w:w="2848" w:type="pct"/>
            <w:gridSpan w:val="7"/>
            <w:tcBorders>
              <w:top w:val="single" w:sz="8" w:space="0" w:color="auto"/>
              <w:left w:val="nil"/>
              <w:bottom w:val="single" w:sz="8" w:space="0" w:color="auto"/>
              <w:right w:val="single" w:sz="8" w:space="0" w:color="000000"/>
            </w:tcBorders>
            <w:shd w:val="clear" w:color="000000" w:fill="FFFFFF"/>
            <w:vAlign w:val="center"/>
            <w:hideMark/>
          </w:tcPr>
          <w:p w14:paraId="2012FE07"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Amount in Million (USD)</w:t>
            </w:r>
          </w:p>
        </w:tc>
      </w:tr>
      <w:tr w:rsidR="00BB67AB" w:rsidRPr="00BB67AB" w14:paraId="27916918" w14:textId="77777777" w:rsidTr="00BB67AB">
        <w:trPr>
          <w:trHeight w:val="315"/>
        </w:trPr>
        <w:tc>
          <w:tcPr>
            <w:tcW w:w="2152" w:type="pct"/>
            <w:vMerge/>
            <w:tcBorders>
              <w:top w:val="single" w:sz="8" w:space="0" w:color="auto"/>
              <w:left w:val="single" w:sz="8" w:space="0" w:color="auto"/>
              <w:bottom w:val="single" w:sz="8" w:space="0" w:color="000000"/>
              <w:right w:val="single" w:sz="8" w:space="0" w:color="auto"/>
            </w:tcBorders>
            <w:vAlign w:val="center"/>
            <w:hideMark/>
          </w:tcPr>
          <w:p w14:paraId="30325D08" w14:textId="77777777" w:rsidR="00BB67AB" w:rsidRPr="00BB67AB" w:rsidRDefault="00BB67AB" w:rsidP="00BB67AB">
            <w:pPr>
              <w:spacing w:after="0" w:line="240" w:lineRule="auto"/>
              <w:rPr>
                <w:rFonts w:ascii="Arial" w:eastAsia="Times New Roman" w:hAnsi="Arial" w:cs="Arial"/>
                <w:b/>
                <w:bCs/>
                <w:color w:val="000000"/>
                <w:sz w:val="20"/>
                <w:szCs w:val="20"/>
                <w:lang w:val="en-US"/>
              </w:rPr>
            </w:pPr>
          </w:p>
        </w:tc>
        <w:tc>
          <w:tcPr>
            <w:tcW w:w="389" w:type="pct"/>
            <w:tcBorders>
              <w:top w:val="nil"/>
              <w:left w:val="nil"/>
              <w:bottom w:val="single" w:sz="8" w:space="0" w:color="auto"/>
              <w:right w:val="single" w:sz="8" w:space="0" w:color="auto"/>
            </w:tcBorders>
            <w:shd w:val="clear" w:color="000000" w:fill="FFFFFF"/>
            <w:vAlign w:val="center"/>
            <w:hideMark/>
          </w:tcPr>
          <w:p w14:paraId="1727D3BA"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2017</w:t>
            </w:r>
          </w:p>
        </w:tc>
        <w:tc>
          <w:tcPr>
            <w:tcW w:w="390" w:type="pct"/>
            <w:tcBorders>
              <w:top w:val="nil"/>
              <w:left w:val="nil"/>
              <w:bottom w:val="single" w:sz="8" w:space="0" w:color="auto"/>
              <w:right w:val="single" w:sz="8" w:space="0" w:color="auto"/>
            </w:tcBorders>
            <w:shd w:val="clear" w:color="000000" w:fill="FFFFFF"/>
            <w:vAlign w:val="center"/>
            <w:hideMark/>
          </w:tcPr>
          <w:p w14:paraId="6DF2358C"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2018</w:t>
            </w:r>
          </w:p>
        </w:tc>
        <w:tc>
          <w:tcPr>
            <w:tcW w:w="390" w:type="pct"/>
            <w:tcBorders>
              <w:top w:val="nil"/>
              <w:left w:val="nil"/>
              <w:bottom w:val="single" w:sz="8" w:space="0" w:color="auto"/>
              <w:right w:val="single" w:sz="8" w:space="0" w:color="auto"/>
            </w:tcBorders>
            <w:shd w:val="clear" w:color="000000" w:fill="FFFFFF"/>
            <w:vAlign w:val="center"/>
            <w:hideMark/>
          </w:tcPr>
          <w:p w14:paraId="7FFD37CA"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2019</w:t>
            </w:r>
          </w:p>
        </w:tc>
        <w:tc>
          <w:tcPr>
            <w:tcW w:w="390" w:type="pct"/>
            <w:tcBorders>
              <w:top w:val="nil"/>
              <w:left w:val="nil"/>
              <w:bottom w:val="single" w:sz="8" w:space="0" w:color="auto"/>
              <w:right w:val="single" w:sz="8" w:space="0" w:color="auto"/>
            </w:tcBorders>
            <w:shd w:val="clear" w:color="000000" w:fill="FFFFFF"/>
            <w:vAlign w:val="center"/>
            <w:hideMark/>
          </w:tcPr>
          <w:p w14:paraId="30522B02"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2020</w:t>
            </w:r>
          </w:p>
        </w:tc>
        <w:tc>
          <w:tcPr>
            <w:tcW w:w="389" w:type="pct"/>
            <w:tcBorders>
              <w:top w:val="nil"/>
              <w:left w:val="nil"/>
              <w:bottom w:val="single" w:sz="8" w:space="0" w:color="auto"/>
              <w:right w:val="single" w:sz="8" w:space="0" w:color="auto"/>
            </w:tcBorders>
            <w:shd w:val="clear" w:color="000000" w:fill="FFFFFF"/>
            <w:vAlign w:val="center"/>
            <w:hideMark/>
          </w:tcPr>
          <w:p w14:paraId="5B48B17C"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2021</w:t>
            </w:r>
          </w:p>
        </w:tc>
        <w:tc>
          <w:tcPr>
            <w:tcW w:w="487" w:type="pct"/>
            <w:tcBorders>
              <w:top w:val="nil"/>
              <w:left w:val="nil"/>
              <w:bottom w:val="single" w:sz="8" w:space="0" w:color="auto"/>
              <w:right w:val="single" w:sz="8" w:space="0" w:color="auto"/>
            </w:tcBorders>
            <w:shd w:val="clear" w:color="000000" w:fill="FFFFFF"/>
            <w:vAlign w:val="center"/>
            <w:hideMark/>
          </w:tcPr>
          <w:p w14:paraId="0ECDC003"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TOTAL</w:t>
            </w:r>
          </w:p>
        </w:tc>
        <w:tc>
          <w:tcPr>
            <w:tcW w:w="413" w:type="pct"/>
            <w:tcBorders>
              <w:top w:val="nil"/>
              <w:left w:val="nil"/>
              <w:bottom w:val="single" w:sz="8" w:space="0" w:color="auto"/>
              <w:right w:val="single" w:sz="8" w:space="0" w:color="auto"/>
            </w:tcBorders>
            <w:shd w:val="clear" w:color="000000" w:fill="FFFFFF"/>
            <w:vAlign w:val="center"/>
            <w:hideMark/>
          </w:tcPr>
          <w:p w14:paraId="064BDE07" w14:textId="77777777" w:rsidR="00BB67AB" w:rsidRPr="00BB67AB" w:rsidRDefault="00BB67AB" w:rsidP="00BB67AB">
            <w:pPr>
              <w:spacing w:after="0" w:line="240" w:lineRule="auto"/>
              <w:jc w:val="center"/>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w:t>
            </w:r>
          </w:p>
        </w:tc>
      </w:tr>
      <w:tr w:rsidR="00BB67AB" w:rsidRPr="00BB67AB" w14:paraId="7267B063" w14:textId="77777777" w:rsidTr="00BB67AB">
        <w:trPr>
          <w:trHeight w:val="142"/>
        </w:trPr>
        <w:tc>
          <w:tcPr>
            <w:tcW w:w="2152" w:type="pct"/>
            <w:tcBorders>
              <w:top w:val="nil"/>
              <w:left w:val="single" w:sz="8" w:space="0" w:color="auto"/>
              <w:bottom w:val="single" w:sz="8" w:space="0" w:color="auto"/>
              <w:right w:val="single" w:sz="8" w:space="0" w:color="000000"/>
            </w:tcBorders>
            <w:shd w:val="clear" w:color="000000" w:fill="FFFFFF"/>
            <w:vAlign w:val="center"/>
            <w:hideMark/>
          </w:tcPr>
          <w:p w14:paraId="10797A30" w14:textId="77777777" w:rsidR="00BB67AB" w:rsidRPr="00BB67AB" w:rsidRDefault="00BB67AB" w:rsidP="00BB67AB">
            <w:pPr>
              <w:spacing w:after="0" w:line="240" w:lineRule="auto"/>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Total Funding needs for the National Strategic Plan (in USD)</w:t>
            </w:r>
          </w:p>
        </w:tc>
        <w:tc>
          <w:tcPr>
            <w:tcW w:w="389" w:type="pct"/>
            <w:tcBorders>
              <w:top w:val="nil"/>
              <w:left w:val="nil"/>
              <w:bottom w:val="single" w:sz="8" w:space="0" w:color="auto"/>
              <w:right w:val="single" w:sz="8" w:space="0" w:color="auto"/>
            </w:tcBorders>
            <w:shd w:val="clear" w:color="000000" w:fill="FFFFFF"/>
            <w:vAlign w:val="center"/>
            <w:hideMark/>
          </w:tcPr>
          <w:p w14:paraId="1F514D52"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16.02</w:t>
            </w:r>
          </w:p>
        </w:tc>
        <w:tc>
          <w:tcPr>
            <w:tcW w:w="390" w:type="pct"/>
            <w:tcBorders>
              <w:top w:val="nil"/>
              <w:left w:val="nil"/>
              <w:bottom w:val="single" w:sz="8" w:space="0" w:color="auto"/>
              <w:right w:val="single" w:sz="8" w:space="0" w:color="auto"/>
            </w:tcBorders>
            <w:shd w:val="clear" w:color="000000" w:fill="FFFFFF"/>
            <w:vAlign w:val="center"/>
            <w:hideMark/>
          </w:tcPr>
          <w:p w14:paraId="0D0FFA04"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19.8</w:t>
            </w:r>
          </w:p>
        </w:tc>
        <w:tc>
          <w:tcPr>
            <w:tcW w:w="390" w:type="pct"/>
            <w:tcBorders>
              <w:top w:val="nil"/>
              <w:left w:val="nil"/>
              <w:bottom w:val="single" w:sz="8" w:space="0" w:color="auto"/>
              <w:right w:val="single" w:sz="8" w:space="0" w:color="auto"/>
            </w:tcBorders>
            <w:shd w:val="clear" w:color="000000" w:fill="FFFFFF"/>
            <w:vAlign w:val="center"/>
            <w:hideMark/>
          </w:tcPr>
          <w:p w14:paraId="38F719E9"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22.13</w:t>
            </w:r>
          </w:p>
        </w:tc>
        <w:tc>
          <w:tcPr>
            <w:tcW w:w="390" w:type="pct"/>
            <w:tcBorders>
              <w:top w:val="nil"/>
              <w:left w:val="nil"/>
              <w:bottom w:val="single" w:sz="8" w:space="0" w:color="auto"/>
              <w:right w:val="single" w:sz="8" w:space="0" w:color="auto"/>
            </w:tcBorders>
            <w:shd w:val="clear" w:color="000000" w:fill="FFFFFF"/>
            <w:vAlign w:val="center"/>
            <w:hideMark/>
          </w:tcPr>
          <w:p w14:paraId="7AA9CACB"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22.88</w:t>
            </w:r>
          </w:p>
        </w:tc>
        <w:tc>
          <w:tcPr>
            <w:tcW w:w="389" w:type="pct"/>
            <w:tcBorders>
              <w:top w:val="nil"/>
              <w:left w:val="nil"/>
              <w:bottom w:val="single" w:sz="8" w:space="0" w:color="auto"/>
              <w:right w:val="single" w:sz="8" w:space="0" w:color="auto"/>
            </w:tcBorders>
            <w:shd w:val="clear" w:color="000000" w:fill="FFFFFF"/>
            <w:vAlign w:val="center"/>
            <w:hideMark/>
          </w:tcPr>
          <w:p w14:paraId="5ED5D511"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24.29</w:t>
            </w:r>
          </w:p>
        </w:tc>
        <w:tc>
          <w:tcPr>
            <w:tcW w:w="487" w:type="pct"/>
            <w:tcBorders>
              <w:top w:val="nil"/>
              <w:left w:val="nil"/>
              <w:bottom w:val="single" w:sz="8" w:space="0" w:color="auto"/>
              <w:right w:val="single" w:sz="8" w:space="0" w:color="auto"/>
            </w:tcBorders>
            <w:shd w:val="clear" w:color="000000" w:fill="FFFFFF"/>
            <w:vAlign w:val="center"/>
            <w:hideMark/>
          </w:tcPr>
          <w:p w14:paraId="4C5BC8D0" w14:textId="77777777" w:rsidR="00BB67AB" w:rsidRPr="00BB67AB" w:rsidRDefault="00BB67AB" w:rsidP="00BB67AB">
            <w:pPr>
              <w:spacing w:after="0" w:line="240" w:lineRule="auto"/>
              <w:jc w:val="right"/>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105.14</w:t>
            </w:r>
          </w:p>
        </w:tc>
        <w:tc>
          <w:tcPr>
            <w:tcW w:w="413" w:type="pct"/>
            <w:tcBorders>
              <w:top w:val="nil"/>
              <w:left w:val="nil"/>
              <w:bottom w:val="single" w:sz="8" w:space="0" w:color="auto"/>
              <w:right w:val="single" w:sz="8" w:space="0" w:color="auto"/>
            </w:tcBorders>
            <w:shd w:val="clear" w:color="000000" w:fill="FFFFFF"/>
            <w:vAlign w:val="center"/>
            <w:hideMark/>
          </w:tcPr>
          <w:p w14:paraId="7833B305"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100%</w:t>
            </w:r>
          </w:p>
        </w:tc>
      </w:tr>
      <w:tr w:rsidR="00BB67AB" w:rsidRPr="00BB67AB" w14:paraId="33AEACA2" w14:textId="77777777" w:rsidTr="00BB67AB">
        <w:trPr>
          <w:trHeight w:val="205"/>
        </w:trPr>
        <w:tc>
          <w:tcPr>
            <w:tcW w:w="2152" w:type="pct"/>
            <w:tcBorders>
              <w:top w:val="nil"/>
              <w:left w:val="single" w:sz="8" w:space="0" w:color="auto"/>
              <w:bottom w:val="single" w:sz="8" w:space="0" w:color="auto"/>
              <w:right w:val="single" w:sz="8" w:space="0" w:color="000000"/>
            </w:tcBorders>
            <w:shd w:val="clear" w:color="000000" w:fill="FFFFFF"/>
            <w:vAlign w:val="center"/>
            <w:hideMark/>
          </w:tcPr>
          <w:p w14:paraId="0EE6C39F" w14:textId="77777777" w:rsidR="00BB67AB" w:rsidRPr="00BB67AB" w:rsidRDefault="00BB67AB" w:rsidP="00BB67AB">
            <w:pPr>
              <w:spacing w:after="0" w:line="240" w:lineRule="auto"/>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Domestic source: Government revenues</w:t>
            </w:r>
          </w:p>
        </w:tc>
        <w:tc>
          <w:tcPr>
            <w:tcW w:w="389" w:type="pct"/>
            <w:tcBorders>
              <w:top w:val="nil"/>
              <w:left w:val="nil"/>
              <w:bottom w:val="single" w:sz="8" w:space="0" w:color="auto"/>
              <w:right w:val="single" w:sz="8" w:space="0" w:color="auto"/>
            </w:tcBorders>
            <w:shd w:val="clear" w:color="000000" w:fill="FFFFFF"/>
            <w:vAlign w:val="center"/>
            <w:hideMark/>
          </w:tcPr>
          <w:p w14:paraId="45EB75C4"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8.01</w:t>
            </w:r>
          </w:p>
        </w:tc>
        <w:tc>
          <w:tcPr>
            <w:tcW w:w="390" w:type="pct"/>
            <w:tcBorders>
              <w:top w:val="nil"/>
              <w:left w:val="nil"/>
              <w:bottom w:val="single" w:sz="8" w:space="0" w:color="auto"/>
              <w:right w:val="single" w:sz="8" w:space="0" w:color="auto"/>
            </w:tcBorders>
            <w:shd w:val="clear" w:color="000000" w:fill="FFFFFF"/>
            <w:vAlign w:val="center"/>
            <w:hideMark/>
          </w:tcPr>
          <w:p w14:paraId="7511B339"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9.78</w:t>
            </w:r>
          </w:p>
        </w:tc>
        <w:tc>
          <w:tcPr>
            <w:tcW w:w="390" w:type="pct"/>
            <w:tcBorders>
              <w:top w:val="nil"/>
              <w:left w:val="nil"/>
              <w:bottom w:val="single" w:sz="8" w:space="0" w:color="auto"/>
              <w:right w:val="single" w:sz="8" w:space="0" w:color="auto"/>
            </w:tcBorders>
            <w:shd w:val="clear" w:color="000000" w:fill="FFFFFF"/>
            <w:vAlign w:val="center"/>
            <w:hideMark/>
          </w:tcPr>
          <w:p w14:paraId="43157570"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11.2</w:t>
            </w:r>
          </w:p>
        </w:tc>
        <w:tc>
          <w:tcPr>
            <w:tcW w:w="390" w:type="pct"/>
            <w:tcBorders>
              <w:top w:val="nil"/>
              <w:left w:val="nil"/>
              <w:bottom w:val="single" w:sz="8" w:space="0" w:color="auto"/>
              <w:right w:val="single" w:sz="8" w:space="0" w:color="auto"/>
            </w:tcBorders>
            <w:shd w:val="clear" w:color="000000" w:fill="FFFFFF"/>
            <w:vAlign w:val="center"/>
            <w:hideMark/>
          </w:tcPr>
          <w:p w14:paraId="29471A89"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12.76</w:t>
            </w:r>
          </w:p>
        </w:tc>
        <w:tc>
          <w:tcPr>
            <w:tcW w:w="389" w:type="pct"/>
            <w:tcBorders>
              <w:top w:val="nil"/>
              <w:left w:val="nil"/>
              <w:bottom w:val="single" w:sz="8" w:space="0" w:color="auto"/>
              <w:right w:val="single" w:sz="8" w:space="0" w:color="auto"/>
            </w:tcBorders>
            <w:shd w:val="clear" w:color="000000" w:fill="FFFFFF"/>
            <w:vAlign w:val="center"/>
            <w:hideMark/>
          </w:tcPr>
          <w:p w14:paraId="27D1D33C"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14.49</w:t>
            </w:r>
          </w:p>
        </w:tc>
        <w:tc>
          <w:tcPr>
            <w:tcW w:w="487" w:type="pct"/>
            <w:tcBorders>
              <w:top w:val="nil"/>
              <w:left w:val="nil"/>
              <w:bottom w:val="single" w:sz="8" w:space="0" w:color="auto"/>
              <w:right w:val="single" w:sz="8" w:space="0" w:color="auto"/>
            </w:tcBorders>
            <w:shd w:val="clear" w:color="000000" w:fill="FFFFFF"/>
            <w:vAlign w:val="center"/>
            <w:hideMark/>
          </w:tcPr>
          <w:p w14:paraId="37A179FE" w14:textId="77777777" w:rsidR="00BB67AB" w:rsidRPr="00BB67AB" w:rsidRDefault="00BB67AB" w:rsidP="00BB67AB">
            <w:pPr>
              <w:spacing w:after="0" w:line="240" w:lineRule="auto"/>
              <w:jc w:val="right"/>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56.24</w:t>
            </w:r>
          </w:p>
        </w:tc>
        <w:tc>
          <w:tcPr>
            <w:tcW w:w="413" w:type="pct"/>
            <w:tcBorders>
              <w:top w:val="nil"/>
              <w:left w:val="nil"/>
              <w:bottom w:val="single" w:sz="8" w:space="0" w:color="auto"/>
              <w:right w:val="single" w:sz="8" w:space="0" w:color="auto"/>
            </w:tcBorders>
            <w:shd w:val="clear" w:color="000000" w:fill="FFFFFF"/>
            <w:vAlign w:val="center"/>
            <w:hideMark/>
          </w:tcPr>
          <w:p w14:paraId="48D1CCE8"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US"/>
              </w:rPr>
              <w:t>54%</w:t>
            </w:r>
          </w:p>
        </w:tc>
      </w:tr>
      <w:tr w:rsidR="00BB67AB" w:rsidRPr="00BB67AB" w14:paraId="5E414221" w14:textId="77777777" w:rsidTr="00BB67AB">
        <w:trPr>
          <w:trHeight w:val="403"/>
        </w:trPr>
        <w:tc>
          <w:tcPr>
            <w:tcW w:w="2152" w:type="pct"/>
            <w:tcBorders>
              <w:top w:val="nil"/>
              <w:left w:val="single" w:sz="8" w:space="0" w:color="auto"/>
              <w:bottom w:val="single" w:sz="8" w:space="0" w:color="auto"/>
              <w:right w:val="single" w:sz="8" w:space="0" w:color="000000"/>
            </w:tcBorders>
            <w:shd w:val="clear" w:color="000000" w:fill="FFFFFF"/>
            <w:vAlign w:val="center"/>
            <w:hideMark/>
          </w:tcPr>
          <w:p w14:paraId="4F21A036" w14:textId="77777777" w:rsidR="00BB67AB" w:rsidRPr="00BB67AB" w:rsidRDefault="00BB67AB" w:rsidP="00BB67AB">
            <w:pPr>
              <w:spacing w:after="0" w:line="240" w:lineRule="auto"/>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Total previous, current and anticipated GF resources from existing grant</w:t>
            </w:r>
          </w:p>
        </w:tc>
        <w:tc>
          <w:tcPr>
            <w:tcW w:w="389" w:type="pct"/>
            <w:tcBorders>
              <w:top w:val="nil"/>
              <w:left w:val="nil"/>
              <w:bottom w:val="single" w:sz="8" w:space="0" w:color="auto"/>
              <w:right w:val="single" w:sz="8" w:space="0" w:color="auto"/>
            </w:tcBorders>
            <w:shd w:val="clear" w:color="000000" w:fill="FFFFFF"/>
            <w:vAlign w:val="center"/>
            <w:hideMark/>
          </w:tcPr>
          <w:p w14:paraId="580C1DE5" w14:textId="775A5B16" w:rsidR="00BB67AB" w:rsidRPr="00BB67AB" w:rsidRDefault="00EC498E" w:rsidP="00BB67A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2.9</w:t>
            </w:r>
            <w:r w:rsidR="00BB67AB" w:rsidRPr="00BB67AB">
              <w:rPr>
                <w:rFonts w:ascii="Arial" w:eastAsia="Times New Roman" w:hAnsi="Arial" w:cs="Arial"/>
                <w:color w:val="000000"/>
                <w:sz w:val="20"/>
                <w:szCs w:val="20"/>
                <w:lang w:val="en-US"/>
              </w:rPr>
              <w:t>4</w:t>
            </w:r>
          </w:p>
        </w:tc>
        <w:tc>
          <w:tcPr>
            <w:tcW w:w="390" w:type="pct"/>
            <w:tcBorders>
              <w:top w:val="nil"/>
              <w:left w:val="nil"/>
              <w:bottom w:val="single" w:sz="8" w:space="0" w:color="auto"/>
              <w:right w:val="single" w:sz="8" w:space="0" w:color="auto"/>
            </w:tcBorders>
            <w:shd w:val="clear" w:color="000000" w:fill="FFFFFF"/>
            <w:vAlign w:val="center"/>
            <w:hideMark/>
          </w:tcPr>
          <w:p w14:paraId="63E3B1B5"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4.3</w:t>
            </w:r>
          </w:p>
        </w:tc>
        <w:tc>
          <w:tcPr>
            <w:tcW w:w="390" w:type="pct"/>
            <w:tcBorders>
              <w:top w:val="nil"/>
              <w:left w:val="nil"/>
              <w:bottom w:val="single" w:sz="8" w:space="0" w:color="auto"/>
              <w:right w:val="single" w:sz="8" w:space="0" w:color="auto"/>
            </w:tcBorders>
            <w:shd w:val="clear" w:color="000000" w:fill="FFFFFF"/>
            <w:vAlign w:val="center"/>
            <w:hideMark/>
          </w:tcPr>
          <w:p w14:paraId="31254C97"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0</w:t>
            </w:r>
          </w:p>
        </w:tc>
        <w:tc>
          <w:tcPr>
            <w:tcW w:w="390" w:type="pct"/>
            <w:tcBorders>
              <w:top w:val="nil"/>
              <w:left w:val="nil"/>
              <w:bottom w:val="single" w:sz="8" w:space="0" w:color="auto"/>
              <w:right w:val="single" w:sz="8" w:space="0" w:color="auto"/>
            </w:tcBorders>
            <w:shd w:val="clear" w:color="000000" w:fill="FFFFFF"/>
            <w:vAlign w:val="center"/>
            <w:hideMark/>
          </w:tcPr>
          <w:p w14:paraId="7EF7FC8A"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0</w:t>
            </w:r>
          </w:p>
        </w:tc>
        <w:tc>
          <w:tcPr>
            <w:tcW w:w="389" w:type="pct"/>
            <w:tcBorders>
              <w:top w:val="nil"/>
              <w:left w:val="nil"/>
              <w:bottom w:val="single" w:sz="8" w:space="0" w:color="auto"/>
              <w:right w:val="single" w:sz="8" w:space="0" w:color="auto"/>
            </w:tcBorders>
            <w:shd w:val="clear" w:color="000000" w:fill="FFFFFF"/>
            <w:vAlign w:val="center"/>
            <w:hideMark/>
          </w:tcPr>
          <w:p w14:paraId="0AA04979"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0</w:t>
            </w:r>
          </w:p>
        </w:tc>
        <w:tc>
          <w:tcPr>
            <w:tcW w:w="487" w:type="pct"/>
            <w:tcBorders>
              <w:top w:val="nil"/>
              <w:left w:val="nil"/>
              <w:bottom w:val="single" w:sz="8" w:space="0" w:color="auto"/>
              <w:right w:val="single" w:sz="8" w:space="0" w:color="auto"/>
            </w:tcBorders>
            <w:shd w:val="clear" w:color="000000" w:fill="FFFFFF"/>
            <w:vAlign w:val="center"/>
            <w:hideMark/>
          </w:tcPr>
          <w:p w14:paraId="422F6CDE" w14:textId="03A63B81" w:rsidR="00BB67AB" w:rsidRPr="00BB67AB" w:rsidRDefault="00EC498E"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7.2</w:t>
            </w:r>
            <w:r w:rsidR="00BB67AB" w:rsidRPr="00BB67AB">
              <w:rPr>
                <w:rFonts w:ascii="Arial" w:eastAsia="Times New Roman" w:hAnsi="Arial" w:cs="Arial"/>
                <w:b/>
                <w:bCs/>
                <w:color w:val="000000"/>
                <w:sz w:val="20"/>
                <w:szCs w:val="20"/>
                <w:lang w:val="en-IN"/>
              </w:rPr>
              <w:t>4</w:t>
            </w:r>
          </w:p>
        </w:tc>
        <w:tc>
          <w:tcPr>
            <w:tcW w:w="413" w:type="pct"/>
            <w:tcBorders>
              <w:top w:val="nil"/>
              <w:left w:val="nil"/>
              <w:bottom w:val="single" w:sz="8" w:space="0" w:color="auto"/>
              <w:right w:val="single" w:sz="8" w:space="0" w:color="auto"/>
            </w:tcBorders>
            <w:shd w:val="clear" w:color="000000" w:fill="FFFFFF"/>
            <w:vAlign w:val="center"/>
            <w:hideMark/>
          </w:tcPr>
          <w:p w14:paraId="3070462F"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7%</w:t>
            </w:r>
          </w:p>
        </w:tc>
      </w:tr>
      <w:tr w:rsidR="00BB67AB" w:rsidRPr="00BB67AB" w14:paraId="695C1CB9" w14:textId="77777777" w:rsidTr="00BB67AB">
        <w:trPr>
          <w:trHeight w:val="525"/>
        </w:trPr>
        <w:tc>
          <w:tcPr>
            <w:tcW w:w="2152" w:type="pct"/>
            <w:tcBorders>
              <w:top w:val="nil"/>
              <w:left w:val="single" w:sz="8" w:space="0" w:color="auto"/>
              <w:bottom w:val="single" w:sz="8" w:space="0" w:color="auto"/>
              <w:right w:val="single" w:sz="8" w:space="0" w:color="000000"/>
            </w:tcBorders>
            <w:shd w:val="clear" w:color="000000" w:fill="FFFFFF"/>
            <w:vAlign w:val="center"/>
            <w:hideMark/>
          </w:tcPr>
          <w:p w14:paraId="0892C9A7" w14:textId="77777777" w:rsidR="00BB67AB" w:rsidRPr="00BB67AB" w:rsidRDefault="00BB67AB" w:rsidP="00BB67AB">
            <w:pPr>
              <w:spacing w:after="0" w:line="240" w:lineRule="auto"/>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Funding request within the country allocation</w:t>
            </w:r>
          </w:p>
        </w:tc>
        <w:tc>
          <w:tcPr>
            <w:tcW w:w="389" w:type="pct"/>
            <w:tcBorders>
              <w:top w:val="nil"/>
              <w:left w:val="nil"/>
              <w:bottom w:val="single" w:sz="8" w:space="0" w:color="auto"/>
              <w:right w:val="single" w:sz="8" w:space="0" w:color="auto"/>
            </w:tcBorders>
            <w:shd w:val="clear" w:color="000000" w:fill="FFFFFF"/>
            <w:vAlign w:val="center"/>
            <w:hideMark/>
          </w:tcPr>
          <w:p w14:paraId="024EC119"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0</w:t>
            </w:r>
          </w:p>
        </w:tc>
        <w:tc>
          <w:tcPr>
            <w:tcW w:w="390" w:type="pct"/>
            <w:tcBorders>
              <w:top w:val="nil"/>
              <w:left w:val="nil"/>
              <w:bottom w:val="single" w:sz="8" w:space="0" w:color="auto"/>
              <w:right w:val="single" w:sz="8" w:space="0" w:color="auto"/>
            </w:tcBorders>
            <w:shd w:val="clear" w:color="auto" w:fill="auto"/>
            <w:noWrap/>
            <w:vAlign w:val="center"/>
            <w:hideMark/>
          </w:tcPr>
          <w:p w14:paraId="22527CC1" w14:textId="7031EEA6" w:rsidR="00BB67AB" w:rsidRPr="00BB67AB" w:rsidRDefault="00A21C74" w:rsidP="00BB67A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4.36</w:t>
            </w:r>
          </w:p>
        </w:tc>
        <w:tc>
          <w:tcPr>
            <w:tcW w:w="390" w:type="pct"/>
            <w:tcBorders>
              <w:top w:val="nil"/>
              <w:left w:val="nil"/>
              <w:bottom w:val="single" w:sz="8" w:space="0" w:color="auto"/>
              <w:right w:val="single" w:sz="8" w:space="0" w:color="auto"/>
            </w:tcBorders>
            <w:shd w:val="clear" w:color="auto" w:fill="auto"/>
            <w:noWrap/>
            <w:vAlign w:val="center"/>
            <w:hideMark/>
          </w:tcPr>
          <w:p w14:paraId="5188B315" w14:textId="1DDB81AA" w:rsidR="00BB67AB" w:rsidRPr="00BB67AB" w:rsidRDefault="00A21C74" w:rsidP="00BB67A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6.06</w:t>
            </w:r>
          </w:p>
        </w:tc>
        <w:tc>
          <w:tcPr>
            <w:tcW w:w="390" w:type="pct"/>
            <w:tcBorders>
              <w:top w:val="nil"/>
              <w:left w:val="nil"/>
              <w:bottom w:val="single" w:sz="8" w:space="0" w:color="auto"/>
              <w:right w:val="single" w:sz="8" w:space="0" w:color="auto"/>
            </w:tcBorders>
            <w:shd w:val="clear" w:color="auto" w:fill="auto"/>
            <w:noWrap/>
            <w:vAlign w:val="center"/>
            <w:hideMark/>
          </w:tcPr>
          <w:p w14:paraId="044B1B9A" w14:textId="63B874A1" w:rsidR="00BB67AB" w:rsidRPr="00BB67AB" w:rsidRDefault="00A21C74" w:rsidP="00BB67A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5.18</w:t>
            </w:r>
          </w:p>
        </w:tc>
        <w:tc>
          <w:tcPr>
            <w:tcW w:w="389" w:type="pct"/>
            <w:tcBorders>
              <w:top w:val="nil"/>
              <w:left w:val="nil"/>
              <w:bottom w:val="single" w:sz="8" w:space="0" w:color="auto"/>
              <w:right w:val="single" w:sz="8" w:space="0" w:color="auto"/>
            </w:tcBorders>
            <w:shd w:val="clear" w:color="auto" w:fill="auto"/>
            <w:noWrap/>
            <w:vAlign w:val="center"/>
            <w:hideMark/>
          </w:tcPr>
          <w:p w14:paraId="506E96CC" w14:textId="7A4C2BFC" w:rsidR="00BB67AB" w:rsidRPr="00BB67AB" w:rsidRDefault="00A21C74" w:rsidP="00BB67AB">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0.53</w:t>
            </w:r>
          </w:p>
        </w:tc>
        <w:tc>
          <w:tcPr>
            <w:tcW w:w="487" w:type="pct"/>
            <w:tcBorders>
              <w:top w:val="nil"/>
              <w:left w:val="nil"/>
              <w:bottom w:val="single" w:sz="8" w:space="0" w:color="auto"/>
              <w:right w:val="single" w:sz="8" w:space="0" w:color="auto"/>
            </w:tcBorders>
            <w:shd w:val="clear" w:color="000000" w:fill="FFFFFF"/>
            <w:vAlign w:val="center"/>
            <w:hideMark/>
          </w:tcPr>
          <w:p w14:paraId="3D9BDE43" w14:textId="78489D69"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16.13</w:t>
            </w:r>
          </w:p>
        </w:tc>
        <w:tc>
          <w:tcPr>
            <w:tcW w:w="413" w:type="pct"/>
            <w:tcBorders>
              <w:top w:val="nil"/>
              <w:left w:val="nil"/>
              <w:bottom w:val="single" w:sz="8" w:space="0" w:color="auto"/>
              <w:right w:val="single" w:sz="8" w:space="0" w:color="auto"/>
            </w:tcBorders>
            <w:shd w:val="clear" w:color="000000" w:fill="FFFFFF"/>
            <w:vAlign w:val="center"/>
            <w:hideMark/>
          </w:tcPr>
          <w:p w14:paraId="1FAA7520" w14:textId="77777777" w:rsidR="00BB67AB" w:rsidRPr="00BB67AB" w:rsidRDefault="00BB67AB" w:rsidP="00BB67AB">
            <w:pPr>
              <w:spacing w:after="0" w:line="240" w:lineRule="auto"/>
              <w:jc w:val="right"/>
              <w:rPr>
                <w:rFonts w:ascii="Arial" w:eastAsia="Times New Roman" w:hAnsi="Arial" w:cs="Arial"/>
                <w:color w:val="000000"/>
                <w:sz w:val="20"/>
                <w:szCs w:val="20"/>
                <w:lang w:val="en-US"/>
              </w:rPr>
            </w:pPr>
            <w:r w:rsidRPr="00BB67AB">
              <w:rPr>
                <w:rFonts w:ascii="Arial" w:eastAsia="Times New Roman" w:hAnsi="Arial" w:cs="Arial"/>
                <w:color w:val="000000"/>
                <w:sz w:val="20"/>
                <w:szCs w:val="20"/>
                <w:lang w:val="en-IN"/>
              </w:rPr>
              <w:t>15%</w:t>
            </w:r>
          </w:p>
        </w:tc>
      </w:tr>
      <w:tr w:rsidR="00BB67AB" w:rsidRPr="00BB67AB" w14:paraId="2753C659" w14:textId="77777777" w:rsidTr="00BB67AB">
        <w:trPr>
          <w:trHeight w:val="525"/>
        </w:trPr>
        <w:tc>
          <w:tcPr>
            <w:tcW w:w="2152" w:type="pct"/>
            <w:tcBorders>
              <w:top w:val="nil"/>
              <w:left w:val="single" w:sz="8" w:space="0" w:color="auto"/>
              <w:bottom w:val="single" w:sz="8" w:space="0" w:color="auto"/>
              <w:right w:val="single" w:sz="8" w:space="0" w:color="000000"/>
            </w:tcBorders>
            <w:shd w:val="clear" w:color="000000" w:fill="FFFFFF"/>
            <w:vAlign w:val="center"/>
            <w:hideMark/>
          </w:tcPr>
          <w:p w14:paraId="0DC6C5B8" w14:textId="77777777" w:rsidR="00BB67AB" w:rsidRPr="00BB67AB" w:rsidRDefault="00BB67AB" w:rsidP="00BB67AB">
            <w:pPr>
              <w:spacing w:after="0" w:line="240" w:lineRule="auto"/>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Funding Gap (in million in USD)</w:t>
            </w:r>
          </w:p>
        </w:tc>
        <w:tc>
          <w:tcPr>
            <w:tcW w:w="389" w:type="pct"/>
            <w:tcBorders>
              <w:top w:val="nil"/>
              <w:left w:val="nil"/>
              <w:bottom w:val="single" w:sz="8" w:space="0" w:color="auto"/>
              <w:right w:val="single" w:sz="8" w:space="0" w:color="auto"/>
            </w:tcBorders>
            <w:shd w:val="clear" w:color="000000" w:fill="FFFFFF"/>
            <w:vAlign w:val="center"/>
            <w:hideMark/>
          </w:tcPr>
          <w:p w14:paraId="1D9BD586" w14:textId="77777777" w:rsidR="00BB67AB" w:rsidRPr="00BB67AB" w:rsidRDefault="00BB67AB" w:rsidP="00BB67AB">
            <w:pPr>
              <w:spacing w:after="0" w:line="240" w:lineRule="auto"/>
              <w:jc w:val="right"/>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5.17</w:t>
            </w:r>
          </w:p>
        </w:tc>
        <w:tc>
          <w:tcPr>
            <w:tcW w:w="390" w:type="pct"/>
            <w:tcBorders>
              <w:top w:val="nil"/>
              <w:left w:val="nil"/>
              <w:bottom w:val="single" w:sz="8" w:space="0" w:color="auto"/>
              <w:right w:val="single" w:sz="8" w:space="0" w:color="auto"/>
            </w:tcBorders>
            <w:shd w:val="clear" w:color="000000" w:fill="FFFFFF"/>
            <w:vAlign w:val="center"/>
            <w:hideMark/>
          </w:tcPr>
          <w:p w14:paraId="7E5B3990" w14:textId="5D07C6D6"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1.35</w:t>
            </w:r>
          </w:p>
        </w:tc>
        <w:tc>
          <w:tcPr>
            <w:tcW w:w="390" w:type="pct"/>
            <w:tcBorders>
              <w:top w:val="nil"/>
              <w:left w:val="nil"/>
              <w:bottom w:val="single" w:sz="8" w:space="0" w:color="auto"/>
              <w:right w:val="single" w:sz="8" w:space="0" w:color="auto"/>
            </w:tcBorders>
            <w:shd w:val="clear" w:color="000000" w:fill="FFFFFF"/>
            <w:vAlign w:val="center"/>
            <w:hideMark/>
          </w:tcPr>
          <w:p w14:paraId="0CBC38E2" w14:textId="2A1FFDF6"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4.86</w:t>
            </w:r>
          </w:p>
        </w:tc>
        <w:tc>
          <w:tcPr>
            <w:tcW w:w="390" w:type="pct"/>
            <w:tcBorders>
              <w:top w:val="nil"/>
              <w:left w:val="nil"/>
              <w:bottom w:val="single" w:sz="8" w:space="0" w:color="auto"/>
              <w:right w:val="single" w:sz="8" w:space="0" w:color="auto"/>
            </w:tcBorders>
            <w:shd w:val="clear" w:color="000000" w:fill="FFFFFF"/>
            <w:vAlign w:val="center"/>
            <w:hideMark/>
          </w:tcPr>
          <w:p w14:paraId="2BDEFB69" w14:textId="5165C0BA"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4.94</w:t>
            </w:r>
          </w:p>
        </w:tc>
        <w:tc>
          <w:tcPr>
            <w:tcW w:w="389" w:type="pct"/>
            <w:tcBorders>
              <w:top w:val="nil"/>
              <w:left w:val="nil"/>
              <w:bottom w:val="single" w:sz="8" w:space="0" w:color="auto"/>
              <w:right w:val="single" w:sz="8" w:space="0" w:color="auto"/>
            </w:tcBorders>
            <w:shd w:val="clear" w:color="000000" w:fill="FFFFFF"/>
            <w:vAlign w:val="center"/>
            <w:hideMark/>
          </w:tcPr>
          <w:p w14:paraId="245FC5A9" w14:textId="4CF01815"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9.28</w:t>
            </w:r>
          </w:p>
        </w:tc>
        <w:tc>
          <w:tcPr>
            <w:tcW w:w="487" w:type="pct"/>
            <w:tcBorders>
              <w:top w:val="nil"/>
              <w:left w:val="nil"/>
              <w:bottom w:val="single" w:sz="8" w:space="0" w:color="auto"/>
              <w:right w:val="single" w:sz="8" w:space="0" w:color="auto"/>
            </w:tcBorders>
            <w:shd w:val="clear" w:color="000000" w:fill="FFFFFF"/>
            <w:vAlign w:val="center"/>
            <w:hideMark/>
          </w:tcPr>
          <w:p w14:paraId="092EA80F" w14:textId="626DA37B" w:rsidR="00BB67AB" w:rsidRPr="00BB67AB" w:rsidRDefault="00A21C74" w:rsidP="00BB67AB">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IN"/>
              </w:rPr>
              <w:t>25.62</w:t>
            </w:r>
          </w:p>
        </w:tc>
        <w:tc>
          <w:tcPr>
            <w:tcW w:w="413" w:type="pct"/>
            <w:tcBorders>
              <w:top w:val="nil"/>
              <w:left w:val="nil"/>
              <w:bottom w:val="single" w:sz="8" w:space="0" w:color="auto"/>
              <w:right w:val="single" w:sz="8" w:space="0" w:color="auto"/>
            </w:tcBorders>
            <w:shd w:val="clear" w:color="000000" w:fill="FFFFFF"/>
            <w:vAlign w:val="center"/>
            <w:hideMark/>
          </w:tcPr>
          <w:p w14:paraId="5DF1FBBF" w14:textId="77777777" w:rsidR="00BB67AB" w:rsidRPr="00BB67AB" w:rsidRDefault="00BB67AB" w:rsidP="00BB67AB">
            <w:pPr>
              <w:spacing w:after="0" w:line="240" w:lineRule="auto"/>
              <w:jc w:val="right"/>
              <w:rPr>
                <w:rFonts w:ascii="Arial" w:eastAsia="Times New Roman" w:hAnsi="Arial" w:cs="Arial"/>
                <w:b/>
                <w:bCs/>
                <w:color w:val="000000"/>
                <w:sz w:val="20"/>
                <w:szCs w:val="20"/>
                <w:lang w:val="en-US"/>
              </w:rPr>
            </w:pPr>
            <w:r w:rsidRPr="00BB67AB">
              <w:rPr>
                <w:rFonts w:ascii="Arial" w:eastAsia="Times New Roman" w:hAnsi="Arial" w:cs="Arial"/>
                <w:b/>
                <w:bCs/>
                <w:color w:val="000000"/>
                <w:sz w:val="20"/>
                <w:szCs w:val="20"/>
                <w:lang w:val="en-IN"/>
              </w:rPr>
              <w:t>24%</w:t>
            </w:r>
          </w:p>
        </w:tc>
      </w:tr>
    </w:tbl>
    <w:p w14:paraId="2524722C" w14:textId="77777777" w:rsidR="00B026B6" w:rsidRDefault="00B026B6" w:rsidP="006262D7">
      <w:pPr>
        <w:spacing w:after="0" w:line="240" w:lineRule="auto"/>
        <w:jc w:val="both"/>
        <w:rPr>
          <w:rFonts w:ascii="Arial" w:hAnsi="Arial" w:cs="Arial"/>
        </w:rPr>
      </w:pPr>
    </w:p>
    <w:p w14:paraId="2B3F7C7E" w14:textId="5714EA29" w:rsidR="005E0983" w:rsidRDefault="005E0983" w:rsidP="006262D7">
      <w:pPr>
        <w:spacing w:after="0" w:line="240" w:lineRule="auto"/>
        <w:jc w:val="both"/>
        <w:rPr>
          <w:rFonts w:ascii="Arial" w:hAnsi="Arial" w:cs="Arial"/>
        </w:rPr>
      </w:pPr>
      <w:r w:rsidRPr="005E0983">
        <w:rPr>
          <w:rFonts w:ascii="Arial" w:hAnsi="Arial" w:cs="Arial"/>
        </w:rPr>
        <w:t xml:space="preserve">As evident from </w:t>
      </w:r>
      <w:r w:rsidR="006262D7">
        <w:rPr>
          <w:rFonts w:ascii="Arial" w:hAnsi="Arial" w:cs="Arial"/>
        </w:rPr>
        <w:t xml:space="preserve">the </w:t>
      </w:r>
      <w:r w:rsidR="00763FD3">
        <w:rPr>
          <w:rFonts w:ascii="Arial" w:hAnsi="Arial" w:cs="Arial"/>
        </w:rPr>
        <w:t>Funding</w:t>
      </w:r>
      <w:r w:rsidRPr="005E0983">
        <w:rPr>
          <w:rFonts w:ascii="Arial" w:hAnsi="Arial" w:cs="Arial"/>
        </w:rPr>
        <w:t xml:space="preserve"> </w:t>
      </w:r>
      <w:r w:rsidR="00763FD3">
        <w:rPr>
          <w:rFonts w:ascii="Arial" w:hAnsi="Arial" w:cs="Arial"/>
        </w:rPr>
        <w:t>Landscape</w:t>
      </w:r>
      <w:r w:rsidRPr="005E0983">
        <w:rPr>
          <w:rFonts w:ascii="Arial" w:hAnsi="Arial" w:cs="Arial"/>
        </w:rPr>
        <w:t xml:space="preserve"> </w:t>
      </w:r>
      <w:r w:rsidR="00763FD3">
        <w:rPr>
          <w:rFonts w:ascii="Arial" w:hAnsi="Arial" w:cs="Arial"/>
        </w:rPr>
        <w:t>T</w:t>
      </w:r>
      <w:r w:rsidRPr="005E0983">
        <w:rPr>
          <w:rFonts w:ascii="Arial" w:hAnsi="Arial" w:cs="Arial"/>
        </w:rPr>
        <w:t xml:space="preserve">able, GF proposed investments of </w:t>
      </w:r>
      <w:r w:rsidR="00A947A5">
        <w:rPr>
          <w:rFonts w:ascii="Arial" w:hAnsi="Arial" w:cs="Arial"/>
        </w:rPr>
        <w:t xml:space="preserve">USD </w:t>
      </w:r>
      <w:r w:rsidRPr="005E0983">
        <w:rPr>
          <w:rFonts w:ascii="Arial" w:hAnsi="Arial" w:cs="Arial"/>
        </w:rPr>
        <w:t>16.1</w:t>
      </w:r>
      <w:r w:rsidR="00A54F9E">
        <w:rPr>
          <w:rFonts w:ascii="Arial" w:hAnsi="Arial" w:cs="Arial"/>
        </w:rPr>
        <w:t>3</w:t>
      </w:r>
      <w:r w:rsidRPr="005E0983">
        <w:rPr>
          <w:rFonts w:ascii="Arial" w:hAnsi="Arial" w:cs="Arial"/>
        </w:rPr>
        <w:t xml:space="preserve"> </w:t>
      </w:r>
      <w:r w:rsidR="00A947A5">
        <w:rPr>
          <w:rFonts w:ascii="Arial" w:hAnsi="Arial" w:cs="Arial"/>
        </w:rPr>
        <w:t>million</w:t>
      </w:r>
      <w:r w:rsidRPr="005E0983">
        <w:rPr>
          <w:rFonts w:ascii="Arial" w:hAnsi="Arial" w:cs="Arial"/>
        </w:rPr>
        <w:t xml:space="preserve"> would </w:t>
      </w:r>
      <w:r w:rsidR="00763FD3">
        <w:rPr>
          <w:rFonts w:ascii="Arial" w:hAnsi="Arial" w:cs="Arial"/>
        </w:rPr>
        <w:t>be</w:t>
      </w:r>
      <w:r w:rsidRPr="005E0983">
        <w:rPr>
          <w:rFonts w:ascii="Arial" w:hAnsi="Arial" w:cs="Arial"/>
        </w:rPr>
        <w:t xml:space="preserve"> matched </w:t>
      </w:r>
      <w:r w:rsidR="00763FD3">
        <w:rPr>
          <w:rFonts w:ascii="Arial" w:hAnsi="Arial" w:cs="Arial"/>
        </w:rPr>
        <w:t xml:space="preserve">with </w:t>
      </w:r>
      <w:r w:rsidR="006262D7">
        <w:rPr>
          <w:rFonts w:ascii="Arial" w:hAnsi="Arial" w:cs="Arial"/>
        </w:rPr>
        <w:t xml:space="preserve">increasing </w:t>
      </w:r>
      <w:r w:rsidR="00763FD3">
        <w:rPr>
          <w:rFonts w:ascii="Arial" w:hAnsi="Arial" w:cs="Arial"/>
        </w:rPr>
        <w:t>domestic funding</w:t>
      </w:r>
      <w:r w:rsidR="00A947A5">
        <w:rPr>
          <w:rFonts w:ascii="Arial" w:hAnsi="Arial" w:cs="Arial"/>
        </w:rPr>
        <w:t>,</w:t>
      </w:r>
      <w:r w:rsidRPr="005E0983">
        <w:rPr>
          <w:rFonts w:ascii="Arial" w:hAnsi="Arial" w:cs="Arial"/>
        </w:rPr>
        <w:t xml:space="preserve"> indicating </w:t>
      </w:r>
      <w:r w:rsidR="006262D7">
        <w:rPr>
          <w:rFonts w:ascii="Arial" w:hAnsi="Arial" w:cs="Arial"/>
        </w:rPr>
        <w:t>the</w:t>
      </w:r>
      <w:r w:rsidRPr="005E0983">
        <w:rPr>
          <w:rFonts w:ascii="Arial" w:hAnsi="Arial" w:cs="Arial"/>
        </w:rPr>
        <w:t xml:space="preserve"> commitment </w:t>
      </w:r>
      <w:r w:rsidR="006262D7">
        <w:rPr>
          <w:rFonts w:ascii="Arial" w:hAnsi="Arial" w:cs="Arial"/>
        </w:rPr>
        <w:t>of the</w:t>
      </w:r>
      <w:r w:rsidRPr="005E0983">
        <w:rPr>
          <w:rFonts w:ascii="Arial" w:hAnsi="Arial" w:cs="Arial"/>
        </w:rPr>
        <w:t xml:space="preserve"> </w:t>
      </w:r>
      <w:proofErr w:type="spellStart"/>
      <w:r w:rsidRPr="005E0983">
        <w:rPr>
          <w:rFonts w:ascii="Arial" w:hAnsi="Arial" w:cs="Arial"/>
        </w:rPr>
        <w:t>GoN</w:t>
      </w:r>
      <w:proofErr w:type="spellEnd"/>
      <w:r w:rsidRPr="005E0983">
        <w:rPr>
          <w:rFonts w:ascii="Arial" w:hAnsi="Arial" w:cs="Arial"/>
        </w:rPr>
        <w:t xml:space="preserve"> </w:t>
      </w:r>
      <w:r w:rsidR="006262D7">
        <w:rPr>
          <w:rFonts w:ascii="Arial" w:hAnsi="Arial" w:cs="Arial"/>
        </w:rPr>
        <w:t xml:space="preserve">to </w:t>
      </w:r>
      <w:r w:rsidRPr="005E0983">
        <w:rPr>
          <w:rFonts w:ascii="Arial" w:hAnsi="Arial" w:cs="Arial"/>
        </w:rPr>
        <w:t>invest in TB</w:t>
      </w:r>
      <w:r w:rsidR="006262D7">
        <w:rPr>
          <w:rFonts w:ascii="Arial" w:hAnsi="Arial" w:cs="Arial"/>
        </w:rPr>
        <w:t xml:space="preserve"> prevention, care and control</w:t>
      </w:r>
      <w:r w:rsidRPr="005E0983">
        <w:rPr>
          <w:rFonts w:ascii="Arial" w:hAnsi="Arial" w:cs="Arial"/>
        </w:rPr>
        <w:t>.</w:t>
      </w:r>
      <w:r>
        <w:rPr>
          <w:rFonts w:ascii="Arial" w:hAnsi="Arial" w:cs="Arial"/>
        </w:rPr>
        <w:t xml:space="preserve"> </w:t>
      </w:r>
    </w:p>
    <w:p w14:paraId="11696779" w14:textId="77777777" w:rsidR="005E0983" w:rsidRDefault="005E0983" w:rsidP="005E0983">
      <w:pPr>
        <w:spacing w:after="0" w:line="240" w:lineRule="auto"/>
        <w:jc w:val="both"/>
        <w:rPr>
          <w:rFonts w:ascii="Arial" w:hAnsi="Arial" w:cs="Arial"/>
        </w:rPr>
      </w:pPr>
    </w:p>
    <w:p w14:paraId="5BB4C5C4" w14:textId="208D7B67" w:rsidR="0033268D" w:rsidRPr="00D57C02" w:rsidRDefault="00EB06BA" w:rsidP="0041630D">
      <w:pPr>
        <w:spacing w:line="240" w:lineRule="auto"/>
        <w:jc w:val="both"/>
        <w:rPr>
          <w:rFonts w:ascii="Arial" w:hAnsi="Arial" w:cs="Arial"/>
        </w:rPr>
      </w:pPr>
      <w:r w:rsidRPr="00D57C02">
        <w:rPr>
          <w:rFonts w:ascii="Arial" w:hAnsi="Arial" w:cs="Arial"/>
          <w:bCs/>
          <w:lang w:val="en-US"/>
        </w:rPr>
        <w:t xml:space="preserve">The </w:t>
      </w:r>
      <w:proofErr w:type="spellStart"/>
      <w:r w:rsidR="00A947A5">
        <w:rPr>
          <w:rFonts w:ascii="Arial" w:hAnsi="Arial" w:cs="Arial"/>
          <w:bCs/>
          <w:lang w:val="en-US"/>
        </w:rPr>
        <w:t>GoN</w:t>
      </w:r>
      <w:proofErr w:type="spellEnd"/>
      <w:r w:rsidRPr="00D57C02">
        <w:rPr>
          <w:rFonts w:ascii="Arial" w:hAnsi="Arial" w:cs="Arial"/>
          <w:bCs/>
          <w:lang w:val="en-US"/>
        </w:rPr>
        <w:t xml:space="preserve"> has taken steps to facilitate the long-term susta</w:t>
      </w:r>
      <w:bookmarkStart w:id="0" w:name="_GoBack"/>
      <w:bookmarkEnd w:id="0"/>
      <w:r w:rsidRPr="00D57C02">
        <w:rPr>
          <w:rFonts w:ascii="Arial" w:hAnsi="Arial" w:cs="Arial"/>
          <w:bCs/>
          <w:lang w:val="en-US"/>
        </w:rPr>
        <w:t>inability of financing of the National TB Program in accordance with the expectations of the Global Fund (</w:t>
      </w:r>
      <w:r w:rsidRPr="00D778FD">
        <w:rPr>
          <w:rFonts w:ascii="Arial" w:hAnsi="Arial" w:cs="Arial"/>
          <w:bCs/>
          <w:i/>
          <w:lang w:val="en-US"/>
        </w:rPr>
        <w:t>Annex-10, p1-4</w:t>
      </w:r>
      <w:r w:rsidRPr="00D778FD">
        <w:rPr>
          <w:rFonts w:ascii="Arial" w:hAnsi="Arial" w:cs="Arial"/>
          <w:bCs/>
          <w:lang w:val="en-US"/>
        </w:rPr>
        <w:t xml:space="preserve">). The </w:t>
      </w:r>
      <w:proofErr w:type="spellStart"/>
      <w:r w:rsidRPr="00D778FD">
        <w:rPr>
          <w:rFonts w:ascii="Arial" w:hAnsi="Arial" w:cs="Arial"/>
          <w:bCs/>
          <w:lang w:val="en-US"/>
        </w:rPr>
        <w:t>MoH</w:t>
      </w:r>
      <w:proofErr w:type="spellEnd"/>
      <w:r w:rsidRPr="00D778FD">
        <w:rPr>
          <w:rFonts w:ascii="Arial" w:hAnsi="Arial" w:cs="Arial"/>
          <w:bCs/>
          <w:lang w:val="en-US"/>
        </w:rPr>
        <w:t xml:space="preserve"> over the next five years would fill the vacancies in the NTP; 35% (y</w:t>
      </w:r>
      <w:r w:rsidRPr="00D57C02">
        <w:rPr>
          <w:rFonts w:ascii="Arial" w:hAnsi="Arial" w:cs="Arial"/>
          <w:bCs/>
          <w:lang w:val="en-US"/>
        </w:rPr>
        <w:t xml:space="preserve">ear-1), 45% (year-2), 55% (year-3), 65% (year-4) and 75% (year-5) with focus on rural retention and recruitment to ensure availability of human resources both medical and laboratory staff at sub-national and peripheral levels for the provision of rapid and accurate diagnosis and prompt treatment services </w:t>
      </w:r>
      <w:r w:rsidRPr="00D778FD">
        <w:rPr>
          <w:rFonts w:ascii="Arial" w:hAnsi="Arial" w:cs="Arial"/>
          <w:bCs/>
          <w:lang w:val="en-US"/>
        </w:rPr>
        <w:t>(</w:t>
      </w:r>
      <w:r w:rsidRPr="00D778FD">
        <w:rPr>
          <w:rFonts w:ascii="Arial" w:hAnsi="Arial" w:cs="Arial"/>
          <w:bCs/>
          <w:i/>
          <w:lang w:val="en-US"/>
        </w:rPr>
        <w:t>Annex-9, p105-112</w:t>
      </w:r>
      <w:r w:rsidRPr="00D778FD">
        <w:rPr>
          <w:rFonts w:ascii="Arial" w:hAnsi="Arial" w:cs="Arial"/>
          <w:bCs/>
          <w:lang w:val="en-US"/>
        </w:rPr>
        <w:t>).</w:t>
      </w:r>
    </w:p>
    <w:p w14:paraId="5EA71206" w14:textId="51534626" w:rsidR="00F14732" w:rsidRPr="00D57C02" w:rsidRDefault="00F14732" w:rsidP="007A3394">
      <w:pPr>
        <w:spacing w:after="0" w:line="240" w:lineRule="auto"/>
        <w:jc w:val="both"/>
        <w:rPr>
          <w:rFonts w:ascii="Arial" w:hAnsi="Arial" w:cs="Arial"/>
        </w:rPr>
      </w:pPr>
      <w:r w:rsidRPr="00D57C02">
        <w:rPr>
          <w:rFonts w:ascii="Arial" w:hAnsi="Arial" w:cs="Arial"/>
        </w:rPr>
        <w:t xml:space="preserve">The level of investment from the government sources for procurement of first line drugs (FLD) has tremendously increased from 50% to 100%. </w:t>
      </w:r>
      <w:r w:rsidRPr="00D55BB0">
        <w:rPr>
          <w:rFonts w:ascii="Arial" w:hAnsi="Arial" w:cs="Arial"/>
        </w:rPr>
        <w:t xml:space="preserve">In the case of second line drugs (SLD), </w:t>
      </w:r>
      <w:r w:rsidR="00D55BB0" w:rsidRPr="00D55BB0">
        <w:rPr>
          <w:rFonts w:ascii="Arial" w:hAnsi="Arial" w:cs="Arial"/>
        </w:rPr>
        <w:t>previously, 100% was procured with GF grant</w:t>
      </w:r>
      <w:r w:rsidR="00D55BB0">
        <w:rPr>
          <w:rFonts w:ascii="Arial" w:hAnsi="Arial" w:cs="Arial"/>
        </w:rPr>
        <w:t xml:space="preserve">. Henceforth, the </w:t>
      </w:r>
      <w:proofErr w:type="spellStart"/>
      <w:r w:rsidR="00D55BB0">
        <w:rPr>
          <w:rFonts w:ascii="Arial" w:hAnsi="Arial" w:cs="Arial"/>
        </w:rPr>
        <w:t>GoN</w:t>
      </w:r>
      <w:proofErr w:type="spellEnd"/>
      <w:r w:rsidR="00D55BB0">
        <w:rPr>
          <w:rFonts w:ascii="Arial" w:hAnsi="Arial" w:cs="Arial"/>
        </w:rPr>
        <w:t xml:space="preserve"> would purchase </w:t>
      </w:r>
      <w:r w:rsidR="00E97EF5">
        <w:rPr>
          <w:rFonts w:ascii="Arial" w:hAnsi="Arial" w:cs="Arial"/>
        </w:rPr>
        <w:t>6</w:t>
      </w:r>
      <w:r w:rsidR="00A51F10">
        <w:rPr>
          <w:rFonts w:ascii="Arial" w:hAnsi="Arial" w:cs="Arial"/>
        </w:rPr>
        <w:t>2</w:t>
      </w:r>
      <w:r w:rsidRPr="00D55BB0">
        <w:rPr>
          <w:rFonts w:ascii="Arial" w:hAnsi="Arial" w:cs="Arial"/>
        </w:rPr>
        <w:t xml:space="preserve">% </w:t>
      </w:r>
      <w:r w:rsidR="00D55BB0">
        <w:rPr>
          <w:rFonts w:ascii="Arial" w:hAnsi="Arial" w:cs="Arial"/>
        </w:rPr>
        <w:t xml:space="preserve">of SLD </w:t>
      </w:r>
      <w:r w:rsidRPr="00D55BB0">
        <w:rPr>
          <w:rFonts w:ascii="Arial" w:hAnsi="Arial" w:cs="Arial"/>
        </w:rPr>
        <w:t>for the next three years</w:t>
      </w:r>
      <w:r w:rsidR="00D55BB0">
        <w:rPr>
          <w:rFonts w:ascii="Arial" w:hAnsi="Arial" w:cs="Arial"/>
        </w:rPr>
        <w:t>,</w:t>
      </w:r>
      <w:r w:rsidRPr="00D55BB0">
        <w:rPr>
          <w:rFonts w:ascii="Arial" w:hAnsi="Arial" w:cs="Arial"/>
        </w:rPr>
        <w:t xml:space="preserve"> </w:t>
      </w:r>
      <w:r w:rsidR="00D55BB0">
        <w:rPr>
          <w:rFonts w:ascii="Arial" w:hAnsi="Arial" w:cs="Arial"/>
        </w:rPr>
        <w:t>while</w:t>
      </w:r>
      <w:r w:rsidRPr="00D55BB0">
        <w:rPr>
          <w:rFonts w:ascii="Arial" w:hAnsi="Arial" w:cs="Arial"/>
        </w:rPr>
        <w:t xml:space="preserve"> </w:t>
      </w:r>
      <w:r w:rsidR="00E97EF5">
        <w:rPr>
          <w:rFonts w:ascii="Arial" w:hAnsi="Arial" w:cs="Arial"/>
        </w:rPr>
        <w:t>3</w:t>
      </w:r>
      <w:r w:rsidR="00A51F10">
        <w:rPr>
          <w:rFonts w:ascii="Arial" w:hAnsi="Arial" w:cs="Arial"/>
        </w:rPr>
        <w:t>8</w:t>
      </w:r>
      <w:r w:rsidRPr="00D55BB0">
        <w:rPr>
          <w:rFonts w:ascii="Arial" w:hAnsi="Arial" w:cs="Arial"/>
        </w:rPr>
        <w:t xml:space="preserve">% will be through </w:t>
      </w:r>
      <w:r w:rsidR="00D55BB0">
        <w:rPr>
          <w:rFonts w:ascii="Arial" w:hAnsi="Arial" w:cs="Arial"/>
        </w:rPr>
        <w:t xml:space="preserve">the </w:t>
      </w:r>
      <w:r w:rsidRPr="00D55BB0">
        <w:rPr>
          <w:rFonts w:ascii="Arial" w:hAnsi="Arial" w:cs="Arial"/>
        </w:rPr>
        <w:t>GF grant. Paediatric</w:t>
      </w:r>
      <w:r w:rsidRPr="00D57C02">
        <w:rPr>
          <w:rFonts w:ascii="Arial" w:hAnsi="Arial" w:cs="Arial"/>
        </w:rPr>
        <w:t xml:space="preserve"> formulations for treatment of childhood TB will be procured from </w:t>
      </w:r>
      <w:r w:rsidR="00A26E3B">
        <w:rPr>
          <w:rFonts w:ascii="Arial" w:hAnsi="Arial" w:cs="Arial"/>
        </w:rPr>
        <w:t xml:space="preserve">the </w:t>
      </w:r>
      <w:r w:rsidRPr="00D57C02">
        <w:rPr>
          <w:rFonts w:ascii="Arial" w:hAnsi="Arial" w:cs="Arial"/>
        </w:rPr>
        <w:t xml:space="preserve">Global Drug Facility (GDF) through </w:t>
      </w:r>
      <w:r w:rsidR="00D55BB0">
        <w:rPr>
          <w:rFonts w:ascii="Arial" w:hAnsi="Arial" w:cs="Arial"/>
        </w:rPr>
        <w:t xml:space="preserve">the </w:t>
      </w:r>
      <w:r w:rsidRPr="00D57C02">
        <w:rPr>
          <w:rFonts w:ascii="Arial" w:hAnsi="Arial" w:cs="Arial"/>
        </w:rPr>
        <w:t>GF grant.</w:t>
      </w:r>
      <w:r w:rsidR="00D55BB0">
        <w:rPr>
          <w:rFonts w:ascii="Arial" w:hAnsi="Arial" w:cs="Arial"/>
        </w:rPr>
        <w:t xml:space="preserve"> The </w:t>
      </w:r>
      <w:proofErr w:type="spellStart"/>
      <w:r w:rsidR="00D55BB0">
        <w:rPr>
          <w:rFonts w:ascii="Arial" w:hAnsi="Arial" w:cs="Arial"/>
        </w:rPr>
        <w:t>GoN</w:t>
      </w:r>
      <w:proofErr w:type="spellEnd"/>
      <w:r w:rsidR="00D55BB0">
        <w:rPr>
          <w:rFonts w:ascii="Arial" w:hAnsi="Arial" w:cs="Arial"/>
        </w:rPr>
        <w:t xml:space="preserve"> is committed to earmark its resources for the procurement of diagnostic equipment </w:t>
      </w:r>
      <w:r w:rsidR="003A4F17">
        <w:rPr>
          <w:rFonts w:ascii="Arial" w:hAnsi="Arial" w:cs="Arial"/>
        </w:rPr>
        <w:t xml:space="preserve">(GX and d/CXR) </w:t>
      </w:r>
      <w:r w:rsidR="00D55BB0">
        <w:rPr>
          <w:rFonts w:ascii="Arial" w:hAnsi="Arial" w:cs="Arial"/>
        </w:rPr>
        <w:t>and other laboratory consumables and materials</w:t>
      </w:r>
      <w:r w:rsidR="003A4F17">
        <w:rPr>
          <w:rFonts w:ascii="Arial" w:hAnsi="Arial" w:cs="Arial"/>
        </w:rPr>
        <w:t xml:space="preserve">. </w:t>
      </w:r>
    </w:p>
    <w:p w14:paraId="0ADA2CD0" w14:textId="77777777" w:rsidR="00F14732" w:rsidRPr="00D57C02" w:rsidRDefault="00F14732" w:rsidP="007A3394">
      <w:pPr>
        <w:spacing w:after="0" w:line="240" w:lineRule="auto"/>
        <w:jc w:val="both"/>
        <w:rPr>
          <w:rFonts w:ascii="Arial" w:hAnsi="Arial" w:cs="Arial"/>
        </w:rPr>
      </w:pPr>
    </w:p>
    <w:p w14:paraId="10B43708" w14:textId="19C38DB5" w:rsidR="00A51F10" w:rsidRDefault="00BD62B1" w:rsidP="00A51F10">
      <w:pPr>
        <w:spacing w:after="0" w:line="240" w:lineRule="auto"/>
        <w:jc w:val="both"/>
      </w:pPr>
      <w:r w:rsidRPr="00B81CF8">
        <w:rPr>
          <w:rFonts w:ascii="Arial" w:hAnsi="Arial" w:cs="Arial"/>
        </w:rPr>
        <w:t>The government has appointed GESI focal persons in all divisions and centres to ensure that activities for underserved areas and unreached groups are identified and costed. In all health sector plans and programmes, it will be the responsibility of all levels of technical working groups to ensure that GESI will address gender equality and social inclusion in the health sector to mainstream GESI into sectoral policies, health institutions, the project cycle of health programmes, service delivery and supervision and reporting (</w:t>
      </w:r>
      <w:r w:rsidRPr="00B81CF8">
        <w:rPr>
          <w:rFonts w:ascii="Arial" w:hAnsi="Arial" w:cs="Arial"/>
          <w:i/>
        </w:rPr>
        <w:t>Annex-28, page</w:t>
      </w:r>
      <w:r w:rsidR="00A13B3D">
        <w:rPr>
          <w:rFonts w:ascii="Arial" w:hAnsi="Arial" w:cs="Arial"/>
          <w:i/>
        </w:rPr>
        <w:t xml:space="preserve"> </w:t>
      </w:r>
      <w:r w:rsidRPr="00B81CF8">
        <w:rPr>
          <w:rFonts w:ascii="Arial" w:hAnsi="Arial" w:cs="Arial"/>
          <w:i/>
        </w:rPr>
        <w:t>28</w:t>
      </w:r>
      <w:r w:rsidRPr="00B81CF8">
        <w:rPr>
          <w:rFonts w:ascii="Arial" w:hAnsi="Arial" w:cs="Arial"/>
        </w:rPr>
        <w:t>).</w:t>
      </w:r>
      <w:r>
        <w:rPr>
          <w:rFonts w:ascii="Arial" w:hAnsi="Arial" w:cs="Arial"/>
        </w:rPr>
        <w:t xml:space="preserve"> The TB Act under the new</w:t>
      </w:r>
      <w:r w:rsidRPr="00D57C02">
        <w:rPr>
          <w:rFonts w:ascii="Arial" w:hAnsi="Arial" w:cs="Arial"/>
        </w:rPr>
        <w:t xml:space="preserve"> </w:t>
      </w:r>
      <w:r>
        <w:rPr>
          <w:rFonts w:ascii="Arial" w:hAnsi="Arial" w:cs="Arial"/>
        </w:rPr>
        <w:t>P</w:t>
      </w:r>
      <w:r w:rsidRPr="00D57C02">
        <w:rPr>
          <w:rFonts w:ascii="Arial" w:hAnsi="Arial" w:cs="Arial"/>
        </w:rPr>
        <w:t xml:space="preserve">ublic </w:t>
      </w:r>
      <w:r>
        <w:rPr>
          <w:rFonts w:ascii="Arial" w:hAnsi="Arial" w:cs="Arial"/>
        </w:rPr>
        <w:t>H</w:t>
      </w:r>
      <w:r w:rsidRPr="00D57C02">
        <w:rPr>
          <w:rFonts w:ascii="Arial" w:hAnsi="Arial" w:cs="Arial"/>
        </w:rPr>
        <w:t xml:space="preserve">ealth </w:t>
      </w:r>
      <w:r>
        <w:rPr>
          <w:rFonts w:ascii="Arial" w:hAnsi="Arial" w:cs="Arial"/>
        </w:rPr>
        <w:t>Policy</w:t>
      </w:r>
      <w:r w:rsidRPr="00D57C02">
        <w:rPr>
          <w:rFonts w:ascii="Arial" w:hAnsi="Arial" w:cs="Arial"/>
        </w:rPr>
        <w:t xml:space="preserve"> </w:t>
      </w:r>
      <w:r>
        <w:rPr>
          <w:rFonts w:ascii="Arial" w:hAnsi="Arial" w:cs="Arial"/>
        </w:rPr>
        <w:t xml:space="preserve">currently scheduled for endorsement by the </w:t>
      </w:r>
      <w:proofErr w:type="spellStart"/>
      <w:r>
        <w:rPr>
          <w:rFonts w:ascii="Arial" w:hAnsi="Arial" w:cs="Arial"/>
        </w:rPr>
        <w:t>GoN</w:t>
      </w:r>
      <w:proofErr w:type="spellEnd"/>
      <w:r>
        <w:rPr>
          <w:rFonts w:ascii="Arial" w:hAnsi="Arial" w:cs="Arial"/>
        </w:rPr>
        <w:t xml:space="preserve"> will ensure </w:t>
      </w:r>
      <w:r w:rsidR="00A51F10" w:rsidRPr="00A51F10">
        <w:rPr>
          <w:rFonts w:ascii="Arial" w:hAnsi="Arial" w:cs="Arial"/>
        </w:rPr>
        <w:t>the rights of the TB patients and the care givers</w:t>
      </w:r>
      <w:r w:rsidR="00A51F10">
        <w:rPr>
          <w:rFonts w:ascii="Arial" w:hAnsi="Arial" w:cs="Arial"/>
        </w:rPr>
        <w:t xml:space="preserve"> including the mandatory notification to health authorities. </w:t>
      </w:r>
    </w:p>
    <w:p w14:paraId="55B44970" w14:textId="7DCBDB97" w:rsidR="0041630D" w:rsidRDefault="0041630D" w:rsidP="00A51F10">
      <w:pPr>
        <w:spacing w:after="0" w:line="240" w:lineRule="auto"/>
        <w:jc w:val="both"/>
        <w:rPr>
          <w:rFonts w:ascii="Arial" w:hAnsi="Arial" w:cs="Arial"/>
        </w:rPr>
      </w:pPr>
    </w:p>
    <w:p w14:paraId="4103C86A" w14:textId="028AE6BC" w:rsidR="0041630D" w:rsidRDefault="0041630D" w:rsidP="00A51F10">
      <w:pPr>
        <w:spacing w:after="0" w:line="240" w:lineRule="auto"/>
        <w:jc w:val="both"/>
        <w:rPr>
          <w:rFonts w:ascii="Arial" w:hAnsi="Arial" w:cs="Arial"/>
        </w:rPr>
      </w:pPr>
    </w:p>
    <w:p w14:paraId="25C272A5" w14:textId="4FD8C8B9" w:rsidR="0041630D" w:rsidRDefault="0041630D" w:rsidP="001236B4">
      <w:pPr>
        <w:spacing w:after="0" w:line="240" w:lineRule="auto"/>
        <w:jc w:val="both"/>
        <w:rPr>
          <w:rFonts w:ascii="Arial" w:hAnsi="Arial" w:cs="Arial"/>
        </w:rPr>
      </w:pPr>
    </w:p>
    <w:p w14:paraId="475B6778" w14:textId="72C7C77F" w:rsidR="0041630D" w:rsidRDefault="0041630D" w:rsidP="001236B4">
      <w:pPr>
        <w:spacing w:after="0" w:line="240" w:lineRule="auto"/>
        <w:jc w:val="both"/>
        <w:rPr>
          <w:rFonts w:ascii="Arial" w:hAnsi="Arial" w:cs="Arial"/>
        </w:rPr>
      </w:pPr>
    </w:p>
    <w:p w14:paraId="753D46E6" w14:textId="71426DD2" w:rsidR="00A947A5" w:rsidRDefault="00A947A5" w:rsidP="001236B4">
      <w:pPr>
        <w:spacing w:after="0" w:line="240" w:lineRule="auto"/>
        <w:jc w:val="both"/>
        <w:rPr>
          <w:rFonts w:ascii="Arial" w:hAnsi="Arial" w:cs="Arial"/>
        </w:rPr>
      </w:pPr>
    </w:p>
    <w:p w14:paraId="1C7C146B" w14:textId="77777777" w:rsidR="00A947A5" w:rsidRDefault="00A947A5" w:rsidP="001236B4">
      <w:pPr>
        <w:spacing w:after="0" w:line="240" w:lineRule="auto"/>
        <w:jc w:val="both"/>
        <w:rPr>
          <w:rFonts w:ascii="Arial" w:hAnsi="Arial" w:cs="Arial"/>
        </w:rPr>
      </w:pPr>
    </w:p>
    <w:p w14:paraId="1037EA0F" w14:textId="7C7FB146" w:rsidR="0041630D" w:rsidRDefault="0041630D" w:rsidP="001236B4">
      <w:pPr>
        <w:spacing w:after="0" w:line="240" w:lineRule="auto"/>
        <w:jc w:val="both"/>
        <w:rPr>
          <w:rFonts w:ascii="Arial" w:hAnsi="Arial" w:cs="Arial"/>
        </w:rPr>
      </w:pPr>
    </w:p>
    <w:p w14:paraId="49C0CF64" w14:textId="33B22AB4" w:rsidR="0041630D" w:rsidRDefault="0041630D" w:rsidP="001236B4">
      <w:pPr>
        <w:spacing w:after="0" w:line="240" w:lineRule="auto"/>
        <w:jc w:val="both"/>
        <w:rPr>
          <w:rFonts w:ascii="Arial" w:hAnsi="Arial"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9"/>
      </w:tblGrid>
      <w:tr w:rsidR="0058162E" w:rsidRPr="0058162E" w14:paraId="7A4621AA" w14:textId="77777777" w:rsidTr="00EF204E">
        <w:trPr>
          <w:trHeight w:val="447"/>
        </w:trPr>
        <w:tc>
          <w:tcPr>
            <w:tcW w:w="9209" w:type="dxa"/>
            <w:shd w:val="clear" w:color="auto" w:fill="1F497D"/>
            <w:vAlign w:val="center"/>
          </w:tcPr>
          <w:p w14:paraId="05C539C6" w14:textId="05BCAA46" w:rsidR="00E123FA" w:rsidRPr="0058162E" w:rsidRDefault="00E123FA" w:rsidP="00EF204E">
            <w:pPr>
              <w:rPr>
                <w:rFonts w:ascii="Arial" w:hAnsi="Arial"/>
                <w:bCs/>
                <w:color w:val="FFFFFF" w:themeColor="background1"/>
                <w:lang w:val="en-US"/>
              </w:rPr>
            </w:pPr>
            <w:r w:rsidRPr="0058162E">
              <w:rPr>
                <w:rFonts w:ascii="Arial" w:hAnsi="Arial"/>
                <w:b/>
                <w:bCs/>
                <w:color w:val="FFFFFF" w:themeColor="background1"/>
                <w:lang w:val="en-US"/>
              </w:rPr>
              <w:lastRenderedPageBreak/>
              <w:t>SECTION 5: PRIORITIZED ABOVE ALLOCATION REQUEST / UPDATE</w:t>
            </w:r>
          </w:p>
        </w:tc>
      </w:tr>
    </w:tbl>
    <w:p w14:paraId="4D6BEA5A" w14:textId="77777777" w:rsidR="00E123FA" w:rsidRPr="00D57C02" w:rsidRDefault="00E123FA" w:rsidP="00E123FA">
      <w:pPr>
        <w:spacing w:after="0" w:line="240" w:lineRule="auto"/>
        <w:rPr>
          <w:rFonts w:ascii="Arial" w:hAnsi="Arial" w:cs="Arial"/>
          <w:bCs/>
          <w:lang w:val="en-US"/>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9209"/>
      </w:tblGrid>
      <w:tr w:rsidR="00E123FA" w:rsidRPr="00D57C02" w14:paraId="0B4B8D51" w14:textId="77777777" w:rsidTr="00EF204E">
        <w:trPr>
          <w:trHeight w:val="430"/>
        </w:trPr>
        <w:tc>
          <w:tcPr>
            <w:tcW w:w="9209" w:type="dxa"/>
            <w:shd w:val="clear" w:color="auto" w:fill="C6D9F1"/>
            <w:tcMar>
              <w:top w:w="0" w:type="dxa"/>
              <w:left w:w="108" w:type="dxa"/>
              <w:bottom w:w="0" w:type="dxa"/>
              <w:right w:w="108" w:type="dxa"/>
            </w:tcMar>
            <w:vAlign w:val="center"/>
            <w:hideMark/>
          </w:tcPr>
          <w:p w14:paraId="2560BD51" w14:textId="5E932128" w:rsidR="00E123FA" w:rsidRPr="00D57C02" w:rsidRDefault="00E123FA" w:rsidP="00E123FA">
            <w:pPr>
              <w:spacing w:after="0" w:line="380" w:lineRule="exact"/>
              <w:rPr>
                <w:rFonts w:ascii="Arial" w:eastAsia="MS Mincho" w:hAnsi="Arial" w:cs="Arial"/>
                <w:b/>
                <w:kern w:val="24"/>
                <w:sz w:val="20"/>
                <w:szCs w:val="20"/>
                <w:lang w:eastAsia="fr-FR"/>
              </w:rPr>
            </w:pPr>
            <w:r w:rsidRPr="00D57C02">
              <w:rPr>
                <w:rFonts w:ascii="Arial" w:eastAsia="Cambria" w:hAnsi="Arial" w:cs="Arial"/>
                <w:b/>
                <w:bCs/>
                <w:sz w:val="20"/>
                <w:szCs w:val="20"/>
                <w:lang w:eastAsia="fr-FR"/>
              </w:rPr>
              <w:t>Prioritized Above Allocation Request</w:t>
            </w:r>
          </w:p>
        </w:tc>
      </w:tr>
      <w:tr w:rsidR="00E123FA" w:rsidRPr="00D57C02" w14:paraId="7D1E8EAC" w14:textId="77777777" w:rsidTr="00EF204E">
        <w:trPr>
          <w:trHeight w:val="1086"/>
        </w:trPr>
        <w:tc>
          <w:tcPr>
            <w:tcW w:w="9209" w:type="dxa"/>
            <w:shd w:val="clear" w:color="auto" w:fill="D9D9D9"/>
            <w:tcMar>
              <w:top w:w="0" w:type="dxa"/>
              <w:left w:w="108" w:type="dxa"/>
              <w:bottom w:w="0" w:type="dxa"/>
              <w:right w:w="108" w:type="dxa"/>
            </w:tcMar>
            <w:vAlign w:val="center"/>
            <w:hideMark/>
          </w:tcPr>
          <w:p w14:paraId="6C791B70" w14:textId="77777777" w:rsidR="00E123FA" w:rsidRPr="00D57C02" w:rsidRDefault="00E123FA" w:rsidP="00E123FA">
            <w:pPr>
              <w:keepNext/>
              <w:keepLines/>
              <w:spacing w:before="120" w:after="120"/>
              <w:jc w:val="both"/>
              <w:rPr>
                <w:rFonts w:ascii="Arial" w:eastAsia="Cambria" w:hAnsi="Arial" w:cs="Arial"/>
                <w:b/>
                <w:sz w:val="20"/>
                <w:szCs w:val="20"/>
                <w:lang w:eastAsia="fr-FR"/>
              </w:rPr>
            </w:pPr>
            <w:r w:rsidRPr="00D57C02">
              <w:rPr>
                <w:rFonts w:ascii="Arial" w:hAnsi="Arial"/>
                <w:sz w:val="20"/>
                <w:szCs w:val="20"/>
              </w:rPr>
              <w:t xml:space="preserve">Provide in the </w:t>
            </w:r>
            <w:r w:rsidRPr="00D57C02">
              <w:rPr>
                <w:rFonts w:ascii="Arial" w:hAnsi="Arial"/>
                <w:sz w:val="20"/>
                <w:szCs w:val="20"/>
                <w:lang w:val="en-US"/>
              </w:rPr>
              <w:t>table below a prioritized above allocation request which, if deemed technically sound and strategically focused by the TRP, could be funded using savings or efficiencies identified during grant-making, or put on the Register of Unfunded Quality Demand to be financed should additional resources become available</w:t>
            </w:r>
            <w:r w:rsidRPr="00D57C02">
              <w:t xml:space="preserve"> </w:t>
            </w:r>
            <w:r w:rsidRPr="00D57C02">
              <w:rPr>
                <w:rFonts w:ascii="Arial" w:hAnsi="Arial"/>
                <w:sz w:val="20"/>
                <w:szCs w:val="20"/>
                <w:lang w:val="en-US"/>
              </w:rPr>
              <w:t xml:space="preserve">from the Global Fund or other actors (e.g. private donors and approved public mechanisms such as UNITAID and Debt2Health). This above allocation request should include clear rationale and should be aligned with the programming of the allocation for maximum impact. The request should reflect the order in which interventions will be funded if additional resources become available. In line with the Global Fund’s Strategy to maximize impact and end the epidemics, the prioritized above allocation request should be ambitious (for example, representing at least 30-50 percent of the allocation amount). </w:t>
            </w:r>
          </w:p>
        </w:tc>
      </w:tr>
    </w:tbl>
    <w:p w14:paraId="18544769" w14:textId="77777777" w:rsidR="00E123FA" w:rsidRPr="00D57C02" w:rsidRDefault="00E123FA" w:rsidP="00E123FA"/>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1985"/>
        <w:gridCol w:w="1534"/>
        <w:gridCol w:w="3994"/>
      </w:tblGrid>
      <w:tr w:rsidR="00E123FA" w:rsidRPr="00D57C02" w14:paraId="79B4A9FB" w14:textId="77777777" w:rsidTr="00EF204E">
        <w:trPr>
          <w:trHeight w:val="402"/>
        </w:trPr>
        <w:tc>
          <w:tcPr>
            <w:tcW w:w="9209" w:type="dxa"/>
            <w:gridSpan w:val="4"/>
            <w:shd w:val="clear" w:color="auto" w:fill="F2F2F2" w:themeFill="background1" w:themeFillShade="F2"/>
            <w:vAlign w:val="center"/>
          </w:tcPr>
          <w:p w14:paraId="74444269" w14:textId="5A197760" w:rsidR="00E123FA" w:rsidRPr="00D57C02" w:rsidRDefault="00E123FA" w:rsidP="00E123FA">
            <w:pPr>
              <w:rPr>
                <w:rFonts w:ascii="Arial" w:hAnsi="Arial"/>
                <w:b/>
                <w:bCs/>
                <w:lang w:val="en-US" w:eastAsia="en-US"/>
              </w:rPr>
            </w:pPr>
            <w:r w:rsidRPr="00D57C02">
              <w:rPr>
                <w:rFonts w:ascii="Arial" w:hAnsi="Arial"/>
                <w:b/>
                <w:bCs/>
                <w:lang w:val="en-US" w:eastAsia="en-US"/>
              </w:rPr>
              <w:t>[</w:t>
            </w:r>
            <w:r w:rsidR="0084634D" w:rsidRPr="00D57C02">
              <w:rPr>
                <w:rFonts w:ascii="Arial" w:hAnsi="Arial"/>
                <w:b/>
                <w:bCs/>
                <w:lang w:val="en-US" w:eastAsia="en-US"/>
              </w:rPr>
              <w:t>C</w:t>
            </w:r>
            <w:r w:rsidR="0084634D" w:rsidRPr="00D57C02">
              <w:rPr>
                <w:rFonts w:ascii="Arial" w:hAnsi="Arial"/>
                <w:b/>
                <w:bCs/>
                <w:i/>
                <w:lang w:val="en-US" w:eastAsia="en-US"/>
              </w:rPr>
              <w:t>omponent]</w:t>
            </w:r>
            <w:r w:rsidRPr="00D57C02">
              <w:rPr>
                <w:rFonts w:ascii="Arial" w:hAnsi="Arial"/>
                <w:b/>
                <w:bCs/>
                <w:lang w:val="en-US" w:eastAsia="en-US"/>
              </w:rPr>
              <w:t xml:space="preserve"> </w:t>
            </w:r>
            <w:r w:rsidRPr="00D57C02">
              <w:rPr>
                <w:rFonts w:ascii="Arial" w:hAnsi="Arial"/>
                <w:bCs/>
                <w:i/>
                <w:lang w:val="en-US" w:eastAsia="en-US"/>
              </w:rPr>
              <w:t>– Copy the table as needed, if your funding request includes more than one component</w:t>
            </w:r>
          </w:p>
        </w:tc>
      </w:tr>
      <w:tr w:rsidR="00E123FA" w:rsidRPr="00D57C02" w14:paraId="4DEBAAA2" w14:textId="77777777" w:rsidTr="00BA5BF5">
        <w:trPr>
          <w:trHeight w:val="696"/>
        </w:trPr>
        <w:tc>
          <w:tcPr>
            <w:tcW w:w="1696" w:type="dxa"/>
            <w:shd w:val="clear" w:color="auto" w:fill="F2F2F2" w:themeFill="background1" w:themeFillShade="F2"/>
            <w:vAlign w:val="center"/>
          </w:tcPr>
          <w:p w14:paraId="22E9FB7F" w14:textId="77777777" w:rsidR="00E123FA" w:rsidRPr="005D0BF9" w:rsidRDefault="00E123FA" w:rsidP="00E123FA">
            <w:pPr>
              <w:jc w:val="center"/>
              <w:rPr>
                <w:rFonts w:ascii="Arial" w:hAnsi="Arial"/>
                <w:sz w:val="22"/>
                <w:szCs w:val="22"/>
                <w:lang w:val="en-US" w:eastAsia="en-US"/>
              </w:rPr>
            </w:pPr>
            <w:r w:rsidRPr="005D0BF9">
              <w:rPr>
                <w:rFonts w:ascii="Arial" w:hAnsi="Arial"/>
                <w:b/>
                <w:bCs/>
                <w:sz w:val="22"/>
                <w:szCs w:val="22"/>
                <w:lang w:val="en-US" w:eastAsia="en-US"/>
              </w:rPr>
              <w:t>Module</w:t>
            </w:r>
          </w:p>
        </w:tc>
        <w:tc>
          <w:tcPr>
            <w:tcW w:w="1985" w:type="dxa"/>
            <w:shd w:val="clear" w:color="auto" w:fill="F2F2F2" w:themeFill="background1" w:themeFillShade="F2"/>
            <w:vAlign w:val="center"/>
          </w:tcPr>
          <w:p w14:paraId="0561ED9D" w14:textId="77777777" w:rsidR="00E123FA" w:rsidRPr="005D0BF9" w:rsidRDefault="00E123FA" w:rsidP="00E123FA">
            <w:pPr>
              <w:jc w:val="center"/>
              <w:rPr>
                <w:rFonts w:ascii="Arial" w:hAnsi="Arial"/>
                <w:b/>
                <w:bCs/>
                <w:sz w:val="22"/>
                <w:szCs w:val="22"/>
                <w:lang w:val="en-US"/>
              </w:rPr>
            </w:pPr>
            <w:r w:rsidRPr="005D0BF9">
              <w:rPr>
                <w:rFonts w:ascii="Arial" w:hAnsi="Arial"/>
                <w:b/>
                <w:bCs/>
                <w:sz w:val="22"/>
                <w:szCs w:val="22"/>
                <w:lang w:val="en-US"/>
              </w:rPr>
              <w:t>Interventions</w:t>
            </w:r>
          </w:p>
        </w:tc>
        <w:tc>
          <w:tcPr>
            <w:tcW w:w="1534" w:type="dxa"/>
            <w:shd w:val="clear" w:color="auto" w:fill="F2F2F2" w:themeFill="background1" w:themeFillShade="F2"/>
            <w:vAlign w:val="center"/>
          </w:tcPr>
          <w:p w14:paraId="7C4F97F6" w14:textId="77777777" w:rsidR="00E123FA" w:rsidRDefault="00E123FA" w:rsidP="00E123FA">
            <w:pPr>
              <w:jc w:val="center"/>
              <w:rPr>
                <w:rFonts w:ascii="Arial" w:hAnsi="Arial"/>
                <w:b/>
                <w:bCs/>
                <w:sz w:val="22"/>
                <w:szCs w:val="22"/>
                <w:lang w:val="en-US" w:eastAsia="en-US"/>
              </w:rPr>
            </w:pPr>
            <w:r w:rsidRPr="005D0BF9">
              <w:rPr>
                <w:rFonts w:ascii="Arial" w:hAnsi="Arial"/>
                <w:b/>
                <w:bCs/>
                <w:sz w:val="22"/>
                <w:szCs w:val="22"/>
                <w:lang w:val="en-US" w:eastAsia="en-US"/>
              </w:rPr>
              <w:t>Amount requested</w:t>
            </w:r>
          </w:p>
          <w:p w14:paraId="18E55589" w14:textId="460B4F58" w:rsidR="009E51E0" w:rsidRPr="005D0BF9" w:rsidRDefault="009E51E0" w:rsidP="00E123FA">
            <w:pPr>
              <w:jc w:val="center"/>
              <w:rPr>
                <w:rFonts w:ascii="Arial" w:hAnsi="Arial"/>
                <w:sz w:val="22"/>
                <w:szCs w:val="22"/>
                <w:lang w:val="en-US" w:eastAsia="en-US"/>
              </w:rPr>
            </w:pPr>
            <w:r>
              <w:rPr>
                <w:rFonts w:ascii="Arial" w:hAnsi="Arial"/>
                <w:b/>
                <w:bCs/>
                <w:sz w:val="22"/>
                <w:szCs w:val="22"/>
                <w:lang w:val="en-US" w:eastAsia="en-US"/>
              </w:rPr>
              <w:t>In USD</w:t>
            </w:r>
          </w:p>
        </w:tc>
        <w:tc>
          <w:tcPr>
            <w:tcW w:w="3994" w:type="dxa"/>
            <w:shd w:val="clear" w:color="auto" w:fill="F2F2F2" w:themeFill="background1" w:themeFillShade="F2"/>
            <w:vAlign w:val="center"/>
          </w:tcPr>
          <w:p w14:paraId="310F36C5" w14:textId="77777777" w:rsidR="00E123FA" w:rsidRPr="005D0BF9" w:rsidRDefault="00E123FA" w:rsidP="00E123FA">
            <w:pPr>
              <w:keepNext/>
              <w:keepLines/>
              <w:jc w:val="center"/>
              <w:rPr>
                <w:rFonts w:ascii="Arial" w:hAnsi="Arial"/>
                <w:b/>
                <w:bCs/>
                <w:sz w:val="22"/>
                <w:szCs w:val="22"/>
                <w:lang w:val="en-US" w:eastAsia="en-US"/>
              </w:rPr>
            </w:pPr>
            <w:r w:rsidRPr="005D0BF9">
              <w:rPr>
                <w:rFonts w:ascii="Arial" w:hAnsi="Arial"/>
                <w:b/>
                <w:bCs/>
                <w:sz w:val="22"/>
                <w:szCs w:val="22"/>
                <w:lang w:val="en-US" w:eastAsia="en-US"/>
              </w:rPr>
              <w:t xml:space="preserve">Brief Rationale, including expected outcomes and impact </w:t>
            </w:r>
          </w:p>
          <w:p w14:paraId="2FB500C7" w14:textId="77777777" w:rsidR="00E123FA" w:rsidRPr="005D0BF9" w:rsidRDefault="00E123FA" w:rsidP="00E123FA">
            <w:pPr>
              <w:jc w:val="center"/>
              <w:rPr>
                <w:rFonts w:ascii="Arial" w:hAnsi="Arial"/>
                <w:sz w:val="22"/>
                <w:szCs w:val="22"/>
                <w:lang w:val="en-US" w:eastAsia="en-US"/>
              </w:rPr>
            </w:pPr>
            <w:r w:rsidRPr="005D0BF9">
              <w:rPr>
                <w:rFonts w:ascii="Arial" w:hAnsi="Arial"/>
                <w:bCs/>
                <w:sz w:val="22"/>
                <w:szCs w:val="22"/>
                <w:lang w:val="en-US" w:eastAsia="en-US"/>
              </w:rPr>
              <w:t>(how the request builds on the allocation)</w:t>
            </w:r>
          </w:p>
        </w:tc>
      </w:tr>
      <w:tr w:rsidR="009667E7" w:rsidRPr="00D57C02" w14:paraId="232A29CA" w14:textId="77777777" w:rsidTr="00BA5BF5">
        <w:trPr>
          <w:trHeight w:val="420"/>
        </w:trPr>
        <w:tc>
          <w:tcPr>
            <w:tcW w:w="1696" w:type="dxa"/>
            <w:vAlign w:val="center"/>
          </w:tcPr>
          <w:p w14:paraId="504ECEE5" w14:textId="0828ED7E" w:rsidR="009667E7" w:rsidRPr="005D0BF9" w:rsidRDefault="009667E7" w:rsidP="00E123FA">
            <w:pPr>
              <w:rPr>
                <w:rFonts w:ascii="Arial" w:hAnsi="Arial"/>
                <w:sz w:val="22"/>
                <w:szCs w:val="22"/>
                <w:lang w:val="en-US"/>
              </w:rPr>
            </w:pPr>
            <w:r w:rsidRPr="005D0BF9">
              <w:rPr>
                <w:rFonts w:ascii="Arial" w:hAnsi="Arial"/>
                <w:sz w:val="22"/>
                <w:szCs w:val="22"/>
                <w:lang w:val="en-US" w:eastAsia="en-US"/>
              </w:rPr>
              <w:t>TB care and prevention</w:t>
            </w:r>
          </w:p>
        </w:tc>
        <w:tc>
          <w:tcPr>
            <w:tcW w:w="1985" w:type="dxa"/>
          </w:tcPr>
          <w:p w14:paraId="7A63F8A3" w14:textId="78CB5407" w:rsidR="009667E7" w:rsidRPr="005D0BF9" w:rsidRDefault="009667E7" w:rsidP="00CD46CE">
            <w:pPr>
              <w:rPr>
                <w:rFonts w:ascii="Arial" w:hAnsi="Arial"/>
                <w:sz w:val="22"/>
                <w:szCs w:val="22"/>
                <w:lang w:val="en-US"/>
              </w:rPr>
            </w:pPr>
            <w:r w:rsidRPr="005D0BF9">
              <w:rPr>
                <w:rFonts w:ascii="Arial" w:hAnsi="Arial"/>
                <w:color w:val="000000"/>
                <w:sz w:val="22"/>
                <w:szCs w:val="22"/>
              </w:rPr>
              <w:t>Provision of Senior Laboratory Expert to provide capacity building &amp; improve lab quality at NRL &amp; expand coordination and oversight with TB laboratory network</w:t>
            </w:r>
          </w:p>
        </w:tc>
        <w:tc>
          <w:tcPr>
            <w:tcW w:w="1534" w:type="dxa"/>
            <w:vAlign w:val="center"/>
          </w:tcPr>
          <w:p w14:paraId="6846700F" w14:textId="42524F20" w:rsidR="009667E7" w:rsidRPr="005D0BF9" w:rsidRDefault="00DF2412" w:rsidP="00F50E3B">
            <w:pPr>
              <w:jc w:val="right"/>
              <w:rPr>
                <w:rFonts w:ascii="Arial" w:hAnsi="Arial"/>
                <w:sz w:val="22"/>
                <w:szCs w:val="22"/>
                <w:lang w:val="en-US"/>
              </w:rPr>
            </w:pPr>
            <w:r>
              <w:rPr>
                <w:rFonts w:ascii="Arial" w:hAnsi="Arial"/>
                <w:sz w:val="22"/>
                <w:szCs w:val="22"/>
                <w:lang w:val="en-US"/>
              </w:rPr>
              <w:t>2</w:t>
            </w:r>
            <w:r w:rsidR="009667E7" w:rsidRPr="005D0BF9">
              <w:rPr>
                <w:rFonts w:ascii="Arial" w:hAnsi="Arial"/>
                <w:sz w:val="22"/>
                <w:szCs w:val="22"/>
                <w:lang w:val="en-US"/>
              </w:rPr>
              <w:t>52,000.00</w:t>
            </w:r>
          </w:p>
        </w:tc>
        <w:tc>
          <w:tcPr>
            <w:tcW w:w="3994" w:type="dxa"/>
            <w:vAlign w:val="center"/>
          </w:tcPr>
          <w:p w14:paraId="7145F08C" w14:textId="0B67F3CC" w:rsidR="00CD46CE" w:rsidRPr="005D0BF9" w:rsidRDefault="009667E7" w:rsidP="00CD46CE">
            <w:pPr>
              <w:rPr>
                <w:rFonts w:ascii="Arial" w:hAnsi="Arial"/>
                <w:sz w:val="22"/>
                <w:szCs w:val="22"/>
                <w:lang w:val="en-US"/>
              </w:rPr>
            </w:pPr>
            <w:r w:rsidRPr="005D0BF9">
              <w:rPr>
                <w:rFonts w:ascii="Arial" w:hAnsi="Arial"/>
                <w:color w:val="000000"/>
                <w:sz w:val="22"/>
                <w:szCs w:val="22"/>
              </w:rPr>
              <w:t>Capacity building of the staff &amp; improvement of the facilities would boost the NRL capacity to perform up to 10,000 smears, 5,000 cultures, 1,000 – 2,000 LPAs, and 500 DSTs per year (Annex-23, p13-14). This is important considering wide network of rapid molecular diagnostics, DR</w:t>
            </w:r>
            <w:r w:rsidR="0083147C">
              <w:rPr>
                <w:rFonts w:ascii="Arial" w:hAnsi="Arial"/>
                <w:color w:val="000000"/>
                <w:sz w:val="22"/>
                <w:szCs w:val="22"/>
              </w:rPr>
              <w:t>-</w:t>
            </w:r>
            <w:r w:rsidRPr="005D0BF9">
              <w:rPr>
                <w:rFonts w:ascii="Arial" w:hAnsi="Arial"/>
                <w:color w:val="000000"/>
                <w:sz w:val="22"/>
                <w:szCs w:val="22"/>
              </w:rPr>
              <w:t>TB manag</w:t>
            </w:r>
            <w:r w:rsidR="005D0BF9" w:rsidRPr="005D0BF9">
              <w:rPr>
                <w:rFonts w:ascii="Arial" w:hAnsi="Arial"/>
                <w:color w:val="000000"/>
                <w:sz w:val="22"/>
                <w:szCs w:val="22"/>
              </w:rPr>
              <w:t>e</w:t>
            </w:r>
            <w:r w:rsidRPr="005D0BF9">
              <w:rPr>
                <w:rFonts w:ascii="Arial" w:hAnsi="Arial"/>
                <w:color w:val="000000"/>
                <w:sz w:val="22"/>
                <w:szCs w:val="22"/>
              </w:rPr>
              <w:t xml:space="preserve">ment with newer regimen and newer drugs requiring quality assured uninterrupted </w:t>
            </w:r>
            <w:r w:rsidR="005D0BF9" w:rsidRPr="005D0BF9">
              <w:rPr>
                <w:rFonts w:ascii="Arial" w:hAnsi="Arial"/>
                <w:color w:val="000000"/>
                <w:sz w:val="22"/>
                <w:szCs w:val="22"/>
              </w:rPr>
              <w:t>culture</w:t>
            </w:r>
            <w:r w:rsidR="00CD46CE">
              <w:rPr>
                <w:rFonts w:ascii="Arial" w:hAnsi="Arial"/>
                <w:color w:val="000000"/>
                <w:sz w:val="22"/>
                <w:szCs w:val="22"/>
              </w:rPr>
              <w:t>/</w:t>
            </w:r>
            <w:r w:rsidRPr="005D0BF9">
              <w:rPr>
                <w:rFonts w:ascii="Arial" w:hAnsi="Arial"/>
                <w:color w:val="000000"/>
                <w:sz w:val="22"/>
                <w:szCs w:val="22"/>
              </w:rPr>
              <w:t>DST facilities.</w:t>
            </w:r>
          </w:p>
        </w:tc>
      </w:tr>
      <w:tr w:rsidR="009667E7" w:rsidRPr="00D57C02" w14:paraId="13050BD4" w14:textId="77777777" w:rsidTr="00BA5BF5">
        <w:trPr>
          <w:trHeight w:val="420"/>
        </w:trPr>
        <w:tc>
          <w:tcPr>
            <w:tcW w:w="1696" w:type="dxa"/>
            <w:vAlign w:val="center"/>
          </w:tcPr>
          <w:p w14:paraId="7442A0A2" w14:textId="69EC8A93" w:rsidR="009667E7" w:rsidRPr="005D0BF9" w:rsidRDefault="009667E7" w:rsidP="00E123FA">
            <w:pPr>
              <w:rPr>
                <w:rFonts w:ascii="Arial" w:hAnsi="Arial"/>
                <w:sz w:val="22"/>
                <w:szCs w:val="22"/>
                <w:lang w:val="en-US"/>
              </w:rPr>
            </w:pPr>
            <w:r w:rsidRPr="005D0BF9">
              <w:rPr>
                <w:rFonts w:ascii="Arial" w:hAnsi="Arial"/>
                <w:sz w:val="22"/>
                <w:szCs w:val="22"/>
                <w:lang w:val="en-US"/>
              </w:rPr>
              <w:t>TB care and prevention</w:t>
            </w:r>
          </w:p>
        </w:tc>
        <w:tc>
          <w:tcPr>
            <w:tcW w:w="1985" w:type="dxa"/>
          </w:tcPr>
          <w:p w14:paraId="190767F4" w14:textId="77777777" w:rsidR="009667E7" w:rsidRPr="005D0BF9" w:rsidRDefault="009667E7" w:rsidP="009667E7">
            <w:pPr>
              <w:rPr>
                <w:rFonts w:ascii="Arial" w:hAnsi="Arial"/>
                <w:color w:val="000000"/>
                <w:sz w:val="22"/>
                <w:szCs w:val="22"/>
              </w:rPr>
            </w:pPr>
            <w:r w:rsidRPr="005D0BF9">
              <w:rPr>
                <w:rFonts w:ascii="Arial" w:hAnsi="Arial"/>
                <w:color w:val="000000"/>
                <w:sz w:val="22"/>
                <w:szCs w:val="22"/>
              </w:rPr>
              <w:t>Expansion of PPM activities with introduction of pay for performance for diagnostics</w:t>
            </w:r>
          </w:p>
          <w:p w14:paraId="3B196E19" w14:textId="77777777" w:rsidR="009667E7" w:rsidRPr="005D0BF9" w:rsidRDefault="009667E7" w:rsidP="00F31923">
            <w:pPr>
              <w:rPr>
                <w:rFonts w:ascii="Arial" w:hAnsi="Arial"/>
                <w:sz w:val="22"/>
                <w:szCs w:val="22"/>
                <w:lang w:val="en-US"/>
              </w:rPr>
            </w:pPr>
          </w:p>
        </w:tc>
        <w:tc>
          <w:tcPr>
            <w:tcW w:w="1534" w:type="dxa"/>
            <w:vAlign w:val="center"/>
          </w:tcPr>
          <w:p w14:paraId="59A189AD" w14:textId="738A286E" w:rsidR="009667E7" w:rsidRPr="005D0BF9" w:rsidRDefault="009667E7" w:rsidP="00F50E3B">
            <w:pPr>
              <w:jc w:val="right"/>
              <w:rPr>
                <w:rFonts w:ascii="Arial" w:hAnsi="Arial"/>
                <w:sz w:val="22"/>
                <w:szCs w:val="22"/>
                <w:lang w:val="en-US"/>
              </w:rPr>
            </w:pPr>
            <w:r w:rsidRPr="005D0BF9">
              <w:rPr>
                <w:rFonts w:ascii="Arial" w:hAnsi="Arial"/>
                <w:sz w:val="22"/>
                <w:szCs w:val="22"/>
                <w:lang w:val="en-US"/>
              </w:rPr>
              <w:t>1</w:t>
            </w:r>
            <w:r w:rsidR="00DF2412">
              <w:rPr>
                <w:rFonts w:ascii="Arial" w:hAnsi="Arial"/>
                <w:sz w:val="22"/>
                <w:szCs w:val="22"/>
                <w:lang w:val="en-US"/>
              </w:rPr>
              <w:t>,</w:t>
            </w:r>
            <w:r w:rsidRPr="005D0BF9">
              <w:rPr>
                <w:rFonts w:ascii="Arial" w:hAnsi="Arial"/>
                <w:sz w:val="22"/>
                <w:szCs w:val="22"/>
                <w:lang w:val="en-US"/>
              </w:rPr>
              <w:t>000,000.00</w:t>
            </w:r>
          </w:p>
        </w:tc>
        <w:tc>
          <w:tcPr>
            <w:tcW w:w="3994" w:type="dxa"/>
            <w:vAlign w:val="center"/>
          </w:tcPr>
          <w:p w14:paraId="252B8E76" w14:textId="0058627E" w:rsidR="009667E7" w:rsidRPr="005D0BF9" w:rsidRDefault="009667E7" w:rsidP="0083147C">
            <w:pPr>
              <w:rPr>
                <w:rFonts w:ascii="Arial" w:hAnsi="Arial"/>
                <w:sz w:val="22"/>
                <w:szCs w:val="22"/>
                <w:lang w:val="en-US"/>
              </w:rPr>
            </w:pPr>
            <w:r w:rsidRPr="005D0BF9">
              <w:rPr>
                <w:rFonts w:ascii="Arial" w:hAnsi="Arial"/>
                <w:color w:val="000000"/>
                <w:sz w:val="22"/>
                <w:szCs w:val="22"/>
              </w:rPr>
              <w:t>For improving access</w:t>
            </w:r>
            <w:r w:rsidR="006E032E">
              <w:rPr>
                <w:rFonts w:ascii="Arial" w:hAnsi="Arial"/>
                <w:color w:val="000000"/>
                <w:sz w:val="22"/>
                <w:szCs w:val="22"/>
              </w:rPr>
              <w:t>,</w:t>
            </w:r>
            <w:r w:rsidRPr="005D0BF9">
              <w:rPr>
                <w:rFonts w:ascii="Arial" w:hAnsi="Arial"/>
                <w:color w:val="000000"/>
                <w:sz w:val="22"/>
                <w:szCs w:val="22"/>
              </w:rPr>
              <w:t xml:space="preserve"> enabling early diagnosis with introduction of the pay for performance for the diagnosis, </w:t>
            </w:r>
            <w:r w:rsidR="0083147C">
              <w:rPr>
                <w:rFonts w:ascii="Arial" w:hAnsi="Arial"/>
                <w:color w:val="000000"/>
                <w:sz w:val="22"/>
                <w:szCs w:val="22"/>
              </w:rPr>
              <w:t>DOT</w:t>
            </w:r>
            <w:r w:rsidRPr="005D0BF9">
              <w:rPr>
                <w:rFonts w:ascii="Arial" w:hAnsi="Arial"/>
                <w:color w:val="000000"/>
                <w:sz w:val="22"/>
                <w:szCs w:val="22"/>
              </w:rPr>
              <w:t xml:space="preserve"> provision and further expansion to the remaining </w:t>
            </w:r>
            <w:r w:rsidR="005D0BF9" w:rsidRPr="005D0BF9">
              <w:rPr>
                <w:rFonts w:ascii="Arial" w:hAnsi="Arial"/>
                <w:color w:val="000000"/>
                <w:sz w:val="22"/>
                <w:szCs w:val="22"/>
              </w:rPr>
              <w:t>districts. This</w:t>
            </w:r>
            <w:r w:rsidRPr="005D0BF9">
              <w:rPr>
                <w:rFonts w:ascii="Arial" w:hAnsi="Arial"/>
                <w:color w:val="000000"/>
                <w:sz w:val="22"/>
                <w:szCs w:val="22"/>
              </w:rPr>
              <w:t xml:space="preserve"> can further improve the notification </w:t>
            </w:r>
            <w:r w:rsidR="006E032E">
              <w:rPr>
                <w:rFonts w:ascii="Arial" w:hAnsi="Arial"/>
                <w:color w:val="000000"/>
                <w:sz w:val="22"/>
                <w:szCs w:val="22"/>
              </w:rPr>
              <w:t xml:space="preserve">of additional </w:t>
            </w:r>
            <w:r w:rsidRPr="005D0BF9">
              <w:rPr>
                <w:rFonts w:ascii="Arial" w:hAnsi="Arial"/>
                <w:color w:val="000000"/>
                <w:sz w:val="22"/>
                <w:szCs w:val="22"/>
              </w:rPr>
              <w:t>5</w:t>
            </w:r>
            <w:r w:rsidR="0083147C">
              <w:rPr>
                <w:rFonts w:ascii="Arial" w:hAnsi="Arial"/>
                <w:color w:val="000000"/>
                <w:sz w:val="22"/>
                <w:szCs w:val="22"/>
              </w:rPr>
              <w:t>,</w:t>
            </w:r>
            <w:r w:rsidRPr="005D0BF9">
              <w:rPr>
                <w:rFonts w:ascii="Arial" w:hAnsi="Arial"/>
                <w:color w:val="000000"/>
                <w:sz w:val="22"/>
                <w:szCs w:val="22"/>
              </w:rPr>
              <w:t xml:space="preserve">000 cases over </w:t>
            </w:r>
            <w:r w:rsidR="006E032E">
              <w:rPr>
                <w:rFonts w:ascii="Arial" w:hAnsi="Arial"/>
                <w:color w:val="000000"/>
                <w:sz w:val="22"/>
                <w:szCs w:val="22"/>
              </w:rPr>
              <w:t xml:space="preserve">3 </w:t>
            </w:r>
            <w:r w:rsidRPr="005D0BF9">
              <w:rPr>
                <w:rFonts w:ascii="Arial" w:hAnsi="Arial"/>
                <w:color w:val="000000"/>
                <w:sz w:val="22"/>
                <w:szCs w:val="22"/>
              </w:rPr>
              <w:t>years.</w:t>
            </w:r>
          </w:p>
        </w:tc>
      </w:tr>
      <w:tr w:rsidR="00E123FA" w:rsidRPr="00D57C02" w14:paraId="78DE36A8" w14:textId="77777777" w:rsidTr="00BA5BF5">
        <w:trPr>
          <w:trHeight w:val="420"/>
        </w:trPr>
        <w:tc>
          <w:tcPr>
            <w:tcW w:w="1696" w:type="dxa"/>
            <w:vAlign w:val="center"/>
          </w:tcPr>
          <w:p w14:paraId="2BBD747A" w14:textId="464DADF3" w:rsidR="00E123FA" w:rsidRPr="005D0BF9" w:rsidRDefault="009667E7" w:rsidP="00E123FA">
            <w:pPr>
              <w:rPr>
                <w:rFonts w:ascii="Arial" w:hAnsi="Arial"/>
                <w:sz w:val="22"/>
                <w:szCs w:val="22"/>
                <w:lang w:val="en-US" w:eastAsia="en-US"/>
              </w:rPr>
            </w:pPr>
            <w:r w:rsidRPr="005D0BF9">
              <w:rPr>
                <w:rFonts w:ascii="Arial" w:hAnsi="Arial"/>
                <w:sz w:val="22"/>
                <w:szCs w:val="22"/>
                <w:lang w:val="en-US" w:eastAsia="en-US"/>
              </w:rPr>
              <w:t>TB care and prevention</w:t>
            </w:r>
          </w:p>
        </w:tc>
        <w:tc>
          <w:tcPr>
            <w:tcW w:w="1985" w:type="dxa"/>
          </w:tcPr>
          <w:p w14:paraId="050145DD" w14:textId="77777777" w:rsidR="009667E7" w:rsidRPr="005D0BF9" w:rsidRDefault="009667E7" w:rsidP="009667E7">
            <w:pPr>
              <w:rPr>
                <w:rFonts w:ascii="Arial" w:hAnsi="Arial"/>
                <w:color w:val="000000"/>
                <w:sz w:val="22"/>
                <w:szCs w:val="22"/>
              </w:rPr>
            </w:pPr>
            <w:r w:rsidRPr="005D0BF9">
              <w:rPr>
                <w:rFonts w:ascii="Arial" w:hAnsi="Arial"/>
                <w:color w:val="000000"/>
                <w:sz w:val="22"/>
                <w:szCs w:val="22"/>
              </w:rPr>
              <w:t>Expansion of ACF activity with replacement of smear microscopy with GX in high work-load settings</w:t>
            </w:r>
          </w:p>
          <w:p w14:paraId="1E2A47BC" w14:textId="5FAEB93A" w:rsidR="00EF385C" w:rsidRPr="005D0BF9" w:rsidRDefault="00EF385C" w:rsidP="00F31923">
            <w:pPr>
              <w:rPr>
                <w:rFonts w:ascii="Arial" w:hAnsi="Arial"/>
                <w:sz w:val="22"/>
                <w:szCs w:val="22"/>
                <w:lang w:val="en-US"/>
              </w:rPr>
            </w:pPr>
          </w:p>
        </w:tc>
        <w:tc>
          <w:tcPr>
            <w:tcW w:w="1534" w:type="dxa"/>
            <w:vAlign w:val="center"/>
          </w:tcPr>
          <w:p w14:paraId="570EC1D9" w14:textId="32A67C3A" w:rsidR="00E123FA" w:rsidRPr="005D0BF9" w:rsidRDefault="00DF2412" w:rsidP="00F50E3B">
            <w:pPr>
              <w:jc w:val="right"/>
              <w:rPr>
                <w:rFonts w:ascii="Arial" w:hAnsi="Arial"/>
                <w:sz w:val="22"/>
                <w:szCs w:val="22"/>
                <w:lang w:val="en-US" w:eastAsia="en-US"/>
              </w:rPr>
            </w:pPr>
            <w:r>
              <w:rPr>
                <w:rFonts w:ascii="Arial" w:hAnsi="Arial"/>
                <w:sz w:val="22"/>
                <w:szCs w:val="22"/>
                <w:lang w:val="en-US" w:eastAsia="en-US"/>
              </w:rPr>
              <w:t>8</w:t>
            </w:r>
            <w:r w:rsidR="009667E7" w:rsidRPr="005D0BF9">
              <w:rPr>
                <w:rFonts w:ascii="Arial" w:hAnsi="Arial"/>
                <w:sz w:val="22"/>
                <w:szCs w:val="22"/>
                <w:lang w:val="en-US" w:eastAsia="en-US"/>
              </w:rPr>
              <w:t>53,786.66</w:t>
            </w:r>
          </w:p>
        </w:tc>
        <w:tc>
          <w:tcPr>
            <w:tcW w:w="3994" w:type="dxa"/>
            <w:vAlign w:val="center"/>
          </w:tcPr>
          <w:p w14:paraId="6C2F97C4" w14:textId="5054C149" w:rsidR="00E123FA" w:rsidRPr="005D0BF9" w:rsidRDefault="009667E7" w:rsidP="0083147C">
            <w:pPr>
              <w:rPr>
                <w:rFonts w:ascii="Arial" w:hAnsi="Arial"/>
                <w:sz w:val="22"/>
                <w:szCs w:val="22"/>
                <w:lang w:val="en-US" w:eastAsia="en-US"/>
              </w:rPr>
            </w:pPr>
            <w:proofErr w:type="spellStart"/>
            <w:r w:rsidRPr="005D0BF9">
              <w:rPr>
                <w:rFonts w:ascii="Arial" w:hAnsi="Arial"/>
                <w:color w:val="000000"/>
                <w:sz w:val="22"/>
                <w:szCs w:val="22"/>
              </w:rPr>
              <w:t>GeneXpert</w:t>
            </w:r>
            <w:proofErr w:type="spellEnd"/>
            <w:r w:rsidRPr="005D0BF9">
              <w:rPr>
                <w:rFonts w:ascii="Arial" w:hAnsi="Arial"/>
                <w:color w:val="000000"/>
                <w:sz w:val="22"/>
                <w:szCs w:val="22"/>
              </w:rPr>
              <w:t xml:space="preserve"> expansion to the remaining inaccessible districts is required though the testing load is less, but access remains a challenge. Additional 15 machines with provision of 3</w:t>
            </w:r>
            <w:r w:rsidR="0083147C">
              <w:rPr>
                <w:rFonts w:ascii="Arial" w:hAnsi="Arial"/>
                <w:color w:val="000000"/>
                <w:sz w:val="22"/>
                <w:szCs w:val="22"/>
              </w:rPr>
              <w:t>,</w:t>
            </w:r>
            <w:r w:rsidRPr="005D0BF9">
              <w:rPr>
                <w:rFonts w:ascii="Arial" w:hAnsi="Arial"/>
                <w:color w:val="000000"/>
                <w:sz w:val="22"/>
                <w:szCs w:val="22"/>
              </w:rPr>
              <w:t xml:space="preserve">000 cartridges for grant period can enable access to major parts of remaining </w:t>
            </w:r>
            <w:r w:rsidR="005D0BF9" w:rsidRPr="005D0BF9">
              <w:rPr>
                <w:rFonts w:ascii="Arial" w:hAnsi="Arial"/>
                <w:color w:val="000000"/>
                <w:sz w:val="22"/>
                <w:szCs w:val="22"/>
              </w:rPr>
              <w:t>districts. This</w:t>
            </w:r>
            <w:r w:rsidRPr="005D0BF9">
              <w:rPr>
                <w:rFonts w:ascii="Arial" w:hAnsi="Arial"/>
                <w:color w:val="000000"/>
                <w:sz w:val="22"/>
                <w:szCs w:val="22"/>
              </w:rPr>
              <w:t xml:space="preserve"> will enable 45</w:t>
            </w:r>
            <w:r w:rsidR="0083147C">
              <w:rPr>
                <w:rFonts w:ascii="Arial" w:hAnsi="Arial"/>
                <w:color w:val="000000"/>
                <w:sz w:val="22"/>
                <w:szCs w:val="22"/>
              </w:rPr>
              <w:t>,</w:t>
            </w:r>
            <w:r w:rsidRPr="005D0BF9">
              <w:rPr>
                <w:rFonts w:ascii="Arial" w:hAnsi="Arial"/>
                <w:color w:val="000000"/>
                <w:sz w:val="22"/>
                <w:szCs w:val="22"/>
              </w:rPr>
              <w:t xml:space="preserve">000 presumptive </w:t>
            </w:r>
            <w:r w:rsidR="0083147C">
              <w:rPr>
                <w:rFonts w:ascii="Arial" w:hAnsi="Arial"/>
                <w:color w:val="000000"/>
                <w:sz w:val="22"/>
                <w:szCs w:val="22"/>
              </w:rPr>
              <w:t xml:space="preserve">TB </w:t>
            </w:r>
            <w:r w:rsidRPr="005D0BF9">
              <w:rPr>
                <w:rFonts w:ascii="Arial" w:hAnsi="Arial"/>
                <w:color w:val="000000"/>
                <w:sz w:val="22"/>
                <w:szCs w:val="22"/>
              </w:rPr>
              <w:t>patients to get the rapid molecular test with expected 4</w:t>
            </w:r>
            <w:r w:rsidR="0083147C">
              <w:rPr>
                <w:rFonts w:ascii="Arial" w:hAnsi="Arial"/>
                <w:color w:val="000000"/>
                <w:sz w:val="22"/>
                <w:szCs w:val="22"/>
              </w:rPr>
              <w:t>,</w:t>
            </w:r>
            <w:r w:rsidRPr="005D0BF9">
              <w:rPr>
                <w:rFonts w:ascii="Arial" w:hAnsi="Arial"/>
                <w:color w:val="000000"/>
                <w:sz w:val="22"/>
                <w:szCs w:val="22"/>
              </w:rPr>
              <w:t>000 notifications of TB patients.</w:t>
            </w:r>
          </w:p>
        </w:tc>
      </w:tr>
      <w:tr w:rsidR="0083147C" w:rsidRPr="00D57C02" w14:paraId="16A68C04" w14:textId="77777777" w:rsidTr="00BA5BF5">
        <w:trPr>
          <w:trHeight w:val="413"/>
        </w:trPr>
        <w:tc>
          <w:tcPr>
            <w:tcW w:w="1696" w:type="dxa"/>
            <w:vAlign w:val="center"/>
          </w:tcPr>
          <w:p w14:paraId="080BB823" w14:textId="55AEEC13" w:rsidR="0083147C" w:rsidRDefault="0083147C" w:rsidP="00287617">
            <w:pPr>
              <w:rPr>
                <w:rFonts w:ascii="Arial" w:hAnsi="Arial"/>
                <w:color w:val="000000"/>
                <w:sz w:val="22"/>
                <w:szCs w:val="22"/>
              </w:rPr>
            </w:pPr>
            <w:r w:rsidRPr="005D0BF9">
              <w:rPr>
                <w:rFonts w:ascii="Arial" w:hAnsi="Arial"/>
                <w:color w:val="000000"/>
                <w:sz w:val="22"/>
                <w:szCs w:val="22"/>
              </w:rPr>
              <w:t>Program Management</w:t>
            </w:r>
          </w:p>
          <w:p w14:paraId="087240D0" w14:textId="2B2A1245" w:rsidR="00287617" w:rsidRPr="005D0BF9" w:rsidRDefault="00287617" w:rsidP="00287617">
            <w:pPr>
              <w:rPr>
                <w:rFonts w:ascii="Arial" w:hAnsi="Arial"/>
                <w:lang w:val="en-US"/>
              </w:rPr>
            </w:pPr>
          </w:p>
        </w:tc>
        <w:tc>
          <w:tcPr>
            <w:tcW w:w="1985" w:type="dxa"/>
          </w:tcPr>
          <w:p w14:paraId="222D0F3B" w14:textId="68DA8432" w:rsidR="0083147C" w:rsidRPr="005D0BF9" w:rsidRDefault="0083147C" w:rsidP="0083147C">
            <w:pPr>
              <w:rPr>
                <w:rFonts w:ascii="Arial" w:hAnsi="Arial"/>
                <w:color w:val="000000"/>
              </w:rPr>
            </w:pPr>
            <w:r w:rsidRPr="005D0BF9">
              <w:rPr>
                <w:rFonts w:ascii="Arial" w:hAnsi="Arial"/>
                <w:color w:val="000000"/>
                <w:sz w:val="22"/>
                <w:szCs w:val="22"/>
              </w:rPr>
              <w:t xml:space="preserve">TA </w:t>
            </w:r>
            <w:r w:rsidR="00CD46CE">
              <w:rPr>
                <w:rFonts w:ascii="Arial" w:hAnsi="Arial"/>
                <w:color w:val="000000"/>
                <w:sz w:val="22"/>
                <w:szCs w:val="22"/>
              </w:rPr>
              <w:t>(</w:t>
            </w:r>
            <w:r w:rsidR="00113970">
              <w:rPr>
                <w:rFonts w:ascii="Arial" w:hAnsi="Arial"/>
                <w:color w:val="000000"/>
                <w:sz w:val="22"/>
                <w:szCs w:val="22"/>
              </w:rPr>
              <w:t>international</w:t>
            </w:r>
            <w:r w:rsidRPr="005D0BF9">
              <w:rPr>
                <w:rFonts w:ascii="Arial" w:hAnsi="Arial"/>
                <w:color w:val="000000"/>
                <w:sz w:val="22"/>
                <w:szCs w:val="22"/>
              </w:rPr>
              <w:t xml:space="preserve"> position</w:t>
            </w:r>
            <w:r w:rsidR="00CD46CE">
              <w:rPr>
                <w:rFonts w:ascii="Arial" w:hAnsi="Arial"/>
                <w:color w:val="000000"/>
                <w:sz w:val="22"/>
                <w:szCs w:val="22"/>
              </w:rPr>
              <w:t>-1</w:t>
            </w:r>
            <w:r w:rsidRPr="005D0BF9">
              <w:rPr>
                <w:rFonts w:ascii="Arial" w:hAnsi="Arial"/>
                <w:color w:val="000000"/>
                <w:sz w:val="22"/>
                <w:szCs w:val="22"/>
              </w:rPr>
              <w:t xml:space="preserve">) </w:t>
            </w:r>
          </w:p>
        </w:tc>
        <w:tc>
          <w:tcPr>
            <w:tcW w:w="1534" w:type="dxa"/>
            <w:vAlign w:val="center"/>
          </w:tcPr>
          <w:p w14:paraId="006C9222" w14:textId="4562AC1A" w:rsidR="0083147C" w:rsidRDefault="0083147C" w:rsidP="00F50E3B">
            <w:pPr>
              <w:jc w:val="right"/>
              <w:rPr>
                <w:rFonts w:ascii="Arial" w:hAnsi="Arial"/>
                <w:color w:val="000000"/>
                <w:sz w:val="22"/>
                <w:szCs w:val="22"/>
              </w:rPr>
            </w:pPr>
            <w:r w:rsidRPr="005D0BF9">
              <w:rPr>
                <w:rFonts w:ascii="Arial" w:hAnsi="Arial"/>
                <w:color w:val="000000"/>
                <w:sz w:val="22"/>
                <w:szCs w:val="22"/>
              </w:rPr>
              <w:t xml:space="preserve">          </w:t>
            </w:r>
            <w:r w:rsidR="00203CBF">
              <w:rPr>
                <w:rFonts w:ascii="Arial" w:hAnsi="Arial"/>
                <w:color w:val="000000"/>
                <w:sz w:val="22"/>
                <w:szCs w:val="22"/>
              </w:rPr>
              <w:t>1,180,000</w:t>
            </w:r>
            <w:r w:rsidR="00F50E3B">
              <w:rPr>
                <w:rFonts w:ascii="Arial" w:hAnsi="Arial"/>
                <w:color w:val="000000"/>
                <w:sz w:val="22"/>
                <w:szCs w:val="22"/>
              </w:rPr>
              <w:t>.00</w:t>
            </w:r>
          </w:p>
          <w:p w14:paraId="35AE0F98" w14:textId="37B5D451" w:rsidR="00203CBF" w:rsidRPr="005D0BF9" w:rsidRDefault="00203CBF" w:rsidP="00F50E3B">
            <w:pPr>
              <w:jc w:val="right"/>
              <w:rPr>
                <w:rFonts w:ascii="Arial" w:hAnsi="Arial"/>
                <w:lang w:val="en-US"/>
              </w:rPr>
            </w:pPr>
          </w:p>
        </w:tc>
        <w:tc>
          <w:tcPr>
            <w:tcW w:w="3994" w:type="dxa"/>
            <w:vAlign w:val="center"/>
          </w:tcPr>
          <w:p w14:paraId="3F70B40F" w14:textId="77777777" w:rsidR="0083147C" w:rsidRDefault="0083147C" w:rsidP="00287617">
            <w:pPr>
              <w:rPr>
                <w:rFonts w:ascii="Arial" w:hAnsi="Arial"/>
                <w:color w:val="000000"/>
                <w:sz w:val="22"/>
                <w:szCs w:val="22"/>
              </w:rPr>
            </w:pPr>
            <w:r w:rsidRPr="005D0BF9">
              <w:rPr>
                <w:rFonts w:ascii="Arial" w:hAnsi="Arial"/>
                <w:color w:val="000000"/>
                <w:sz w:val="22"/>
                <w:szCs w:val="22"/>
              </w:rPr>
              <w:t>To provide high</w:t>
            </w:r>
            <w:r>
              <w:rPr>
                <w:rFonts w:ascii="Arial" w:hAnsi="Arial"/>
                <w:color w:val="000000"/>
                <w:sz w:val="22"/>
                <w:szCs w:val="22"/>
              </w:rPr>
              <w:t>-</w:t>
            </w:r>
            <w:r w:rsidRPr="005D0BF9">
              <w:rPr>
                <w:rFonts w:ascii="Arial" w:hAnsi="Arial"/>
                <w:color w:val="000000"/>
                <w:sz w:val="22"/>
                <w:szCs w:val="22"/>
              </w:rPr>
              <w:t xml:space="preserve">end </w:t>
            </w:r>
            <w:r w:rsidR="00287617">
              <w:rPr>
                <w:rFonts w:ascii="Arial" w:hAnsi="Arial"/>
                <w:color w:val="000000"/>
                <w:sz w:val="22"/>
                <w:szCs w:val="22"/>
              </w:rPr>
              <w:t xml:space="preserve">international </w:t>
            </w:r>
            <w:r w:rsidRPr="005D0BF9">
              <w:rPr>
                <w:rFonts w:ascii="Arial" w:hAnsi="Arial"/>
                <w:color w:val="000000"/>
                <w:sz w:val="22"/>
                <w:szCs w:val="22"/>
              </w:rPr>
              <w:t xml:space="preserve">technical assistance to the </w:t>
            </w:r>
            <w:r w:rsidR="00CD46CE">
              <w:rPr>
                <w:rFonts w:ascii="Arial" w:hAnsi="Arial"/>
                <w:color w:val="000000"/>
                <w:sz w:val="22"/>
                <w:szCs w:val="22"/>
              </w:rPr>
              <w:t>NTP</w:t>
            </w:r>
            <w:r w:rsidRPr="005D0BF9">
              <w:rPr>
                <w:rFonts w:ascii="Arial" w:hAnsi="Arial"/>
                <w:color w:val="000000"/>
                <w:sz w:val="22"/>
                <w:szCs w:val="22"/>
              </w:rPr>
              <w:t>.</w:t>
            </w:r>
          </w:p>
          <w:p w14:paraId="719906CB" w14:textId="0B29034F" w:rsidR="00287617" w:rsidRPr="005D0BF9" w:rsidRDefault="00287617" w:rsidP="00287617">
            <w:pPr>
              <w:rPr>
                <w:rFonts w:ascii="Arial" w:hAnsi="Arial"/>
                <w:color w:val="000000"/>
              </w:rPr>
            </w:pPr>
          </w:p>
        </w:tc>
      </w:tr>
      <w:tr w:rsidR="0083147C" w:rsidRPr="00D57C02" w14:paraId="64E6E76D" w14:textId="77777777" w:rsidTr="00BA5BF5">
        <w:trPr>
          <w:trHeight w:val="413"/>
        </w:trPr>
        <w:tc>
          <w:tcPr>
            <w:tcW w:w="1696" w:type="dxa"/>
            <w:vAlign w:val="center"/>
          </w:tcPr>
          <w:p w14:paraId="2570FADA" w14:textId="77777777" w:rsidR="0083147C" w:rsidRDefault="0083147C" w:rsidP="0083147C">
            <w:pPr>
              <w:rPr>
                <w:rFonts w:ascii="Arial" w:hAnsi="Arial"/>
                <w:sz w:val="22"/>
                <w:szCs w:val="22"/>
                <w:lang w:val="en-US" w:eastAsia="en-US"/>
              </w:rPr>
            </w:pPr>
            <w:r w:rsidRPr="005D0BF9">
              <w:rPr>
                <w:rFonts w:ascii="Arial" w:hAnsi="Arial"/>
                <w:sz w:val="22"/>
                <w:szCs w:val="22"/>
                <w:lang w:val="en-US" w:eastAsia="en-US"/>
              </w:rPr>
              <w:lastRenderedPageBreak/>
              <w:t>TB care and prevention</w:t>
            </w:r>
          </w:p>
          <w:p w14:paraId="6DB30546" w14:textId="77777777" w:rsidR="00E55BED" w:rsidRDefault="00E55BED" w:rsidP="0083147C">
            <w:pPr>
              <w:rPr>
                <w:rFonts w:ascii="Arial" w:hAnsi="Arial"/>
                <w:sz w:val="22"/>
                <w:szCs w:val="22"/>
                <w:lang w:val="en-US" w:eastAsia="en-US"/>
              </w:rPr>
            </w:pPr>
          </w:p>
          <w:p w14:paraId="657CD6E9" w14:textId="77777777" w:rsidR="00E55BED" w:rsidRDefault="00E55BED" w:rsidP="0083147C">
            <w:pPr>
              <w:rPr>
                <w:rFonts w:ascii="Arial" w:hAnsi="Arial"/>
                <w:sz w:val="22"/>
                <w:szCs w:val="22"/>
                <w:lang w:val="en-US" w:eastAsia="en-US"/>
              </w:rPr>
            </w:pPr>
          </w:p>
          <w:p w14:paraId="4469077F" w14:textId="77777777" w:rsidR="00E55BED" w:rsidRDefault="00E55BED" w:rsidP="0083147C">
            <w:pPr>
              <w:rPr>
                <w:rFonts w:ascii="Arial" w:hAnsi="Arial"/>
                <w:sz w:val="22"/>
                <w:szCs w:val="22"/>
                <w:lang w:val="en-US" w:eastAsia="en-US"/>
              </w:rPr>
            </w:pPr>
          </w:p>
          <w:p w14:paraId="2B19ACC1" w14:textId="77777777" w:rsidR="00E55BED" w:rsidRDefault="00E55BED" w:rsidP="0083147C">
            <w:pPr>
              <w:rPr>
                <w:rFonts w:ascii="Arial" w:hAnsi="Arial"/>
                <w:sz w:val="22"/>
                <w:szCs w:val="22"/>
                <w:lang w:val="en-US" w:eastAsia="en-US"/>
              </w:rPr>
            </w:pPr>
          </w:p>
          <w:p w14:paraId="5716FD62" w14:textId="77777777" w:rsidR="00E55BED" w:rsidRDefault="00E55BED" w:rsidP="0083147C">
            <w:pPr>
              <w:rPr>
                <w:rFonts w:ascii="Arial" w:hAnsi="Arial"/>
                <w:sz w:val="22"/>
                <w:szCs w:val="22"/>
                <w:lang w:val="en-US" w:eastAsia="en-US"/>
              </w:rPr>
            </w:pPr>
          </w:p>
          <w:p w14:paraId="7FE3BFFE" w14:textId="36CFA5C3" w:rsidR="00E55BED" w:rsidRPr="005D0BF9" w:rsidRDefault="00E55BED" w:rsidP="0083147C">
            <w:pPr>
              <w:rPr>
                <w:rFonts w:ascii="Arial" w:hAnsi="Arial"/>
                <w:sz w:val="22"/>
                <w:szCs w:val="22"/>
                <w:lang w:val="en-US" w:eastAsia="en-US"/>
              </w:rPr>
            </w:pPr>
          </w:p>
        </w:tc>
        <w:tc>
          <w:tcPr>
            <w:tcW w:w="1985" w:type="dxa"/>
          </w:tcPr>
          <w:p w14:paraId="47C15106" w14:textId="77777777" w:rsidR="0083147C" w:rsidRPr="005D0BF9" w:rsidRDefault="0083147C" w:rsidP="0083147C">
            <w:pPr>
              <w:rPr>
                <w:rFonts w:ascii="Arial" w:hAnsi="Arial"/>
                <w:color w:val="000000"/>
                <w:sz w:val="22"/>
                <w:szCs w:val="22"/>
              </w:rPr>
            </w:pPr>
            <w:r w:rsidRPr="005D0BF9">
              <w:rPr>
                <w:rFonts w:ascii="Arial" w:hAnsi="Arial"/>
                <w:color w:val="000000"/>
                <w:sz w:val="22"/>
                <w:szCs w:val="22"/>
              </w:rPr>
              <w:t>SMS to mobiles on key TB messages- public awareness program</w:t>
            </w:r>
          </w:p>
          <w:p w14:paraId="5F4961F1" w14:textId="4D04DE54" w:rsidR="0083147C" w:rsidRPr="005D0BF9" w:rsidRDefault="0083147C" w:rsidP="0083147C">
            <w:pPr>
              <w:rPr>
                <w:rFonts w:ascii="Arial" w:hAnsi="Arial"/>
                <w:sz w:val="22"/>
                <w:szCs w:val="22"/>
                <w:lang w:val="en-US" w:eastAsia="en-US"/>
              </w:rPr>
            </w:pPr>
          </w:p>
        </w:tc>
        <w:tc>
          <w:tcPr>
            <w:tcW w:w="1534" w:type="dxa"/>
            <w:vAlign w:val="center"/>
          </w:tcPr>
          <w:p w14:paraId="1D3F3F55" w14:textId="6D638EAB" w:rsidR="0083147C" w:rsidRPr="005D0BF9" w:rsidRDefault="0083147C" w:rsidP="00F50E3B">
            <w:pPr>
              <w:jc w:val="right"/>
              <w:rPr>
                <w:rFonts w:ascii="Arial" w:hAnsi="Arial"/>
                <w:sz w:val="22"/>
                <w:szCs w:val="22"/>
                <w:lang w:val="en-US" w:eastAsia="en-US"/>
              </w:rPr>
            </w:pPr>
            <w:r w:rsidRPr="005D0BF9">
              <w:rPr>
                <w:rFonts w:ascii="Arial" w:hAnsi="Arial"/>
                <w:sz w:val="22"/>
                <w:szCs w:val="22"/>
                <w:lang w:val="en-US" w:eastAsia="en-US"/>
              </w:rPr>
              <w:t>18,732.26</w:t>
            </w:r>
          </w:p>
        </w:tc>
        <w:tc>
          <w:tcPr>
            <w:tcW w:w="3994" w:type="dxa"/>
            <w:vAlign w:val="center"/>
          </w:tcPr>
          <w:p w14:paraId="1E6D5F1F" w14:textId="3D8E84C4" w:rsidR="0083147C" w:rsidRPr="005D0BF9" w:rsidRDefault="0083147C" w:rsidP="0083147C">
            <w:pPr>
              <w:rPr>
                <w:rFonts w:ascii="Arial" w:hAnsi="Arial"/>
                <w:sz w:val="22"/>
                <w:szCs w:val="22"/>
                <w:lang w:val="en-US" w:eastAsia="en-US"/>
              </w:rPr>
            </w:pPr>
            <w:r w:rsidRPr="005D0BF9">
              <w:rPr>
                <w:rFonts w:ascii="Arial" w:hAnsi="Arial"/>
                <w:color w:val="000000"/>
                <w:sz w:val="22"/>
                <w:szCs w:val="22"/>
              </w:rPr>
              <w:t xml:space="preserve">Reaching the community with mobile messages (9 million SMS) across three years effectively covering the population. This can contribute </w:t>
            </w:r>
            <w:r w:rsidR="005A2497">
              <w:rPr>
                <w:rFonts w:ascii="Arial" w:hAnsi="Arial"/>
                <w:color w:val="000000"/>
                <w:sz w:val="22"/>
                <w:szCs w:val="22"/>
              </w:rPr>
              <w:t xml:space="preserve">to an </w:t>
            </w:r>
            <w:r w:rsidRPr="005D0BF9">
              <w:rPr>
                <w:rFonts w:ascii="Arial" w:hAnsi="Arial"/>
                <w:color w:val="000000"/>
                <w:sz w:val="22"/>
                <w:szCs w:val="22"/>
              </w:rPr>
              <w:t xml:space="preserve">enabling environment with education of community for early diagnosis, complete treatment and reducing lost to follow-up </w:t>
            </w:r>
            <w:r w:rsidR="005A2497">
              <w:rPr>
                <w:rFonts w:ascii="Arial" w:hAnsi="Arial"/>
                <w:color w:val="000000"/>
                <w:sz w:val="22"/>
                <w:szCs w:val="22"/>
              </w:rPr>
              <w:t>cases</w:t>
            </w:r>
            <w:r w:rsidRPr="005D0BF9">
              <w:rPr>
                <w:rFonts w:ascii="Arial" w:hAnsi="Arial"/>
                <w:color w:val="000000"/>
                <w:sz w:val="22"/>
                <w:szCs w:val="22"/>
              </w:rPr>
              <w:t>.</w:t>
            </w:r>
          </w:p>
        </w:tc>
      </w:tr>
      <w:tr w:rsidR="0083147C" w:rsidRPr="00D57C02" w14:paraId="517595BA" w14:textId="77777777" w:rsidTr="00BA5BF5">
        <w:trPr>
          <w:trHeight w:val="1349"/>
        </w:trPr>
        <w:tc>
          <w:tcPr>
            <w:tcW w:w="1696" w:type="dxa"/>
            <w:vAlign w:val="center"/>
          </w:tcPr>
          <w:p w14:paraId="60ECBA0F" w14:textId="77777777" w:rsidR="0083147C" w:rsidRDefault="0083147C" w:rsidP="0083147C">
            <w:pPr>
              <w:rPr>
                <w:rFonts w:ascii="Arial" w:hAnsi="Arial"/>
                <w:sz w:val="22"/>
                <w:szCs w:val="22"/>
                <w:lang w:val="en-US"/>
              </w:rPr>
            </w:pPr>
            <w:r w:rsidRPr="005D0BF9">
              <w:rPr>
                <w:rFonts w:ascii="Arial" w:hAnsi="Arial"/>
                <w:sz w:val="22"/>
                <w:szCs w:val="22"/>
                <w:lang w:val="en-US"/>
              </w:rPr>
              <w:t>TB care and prevention</w:t>
            </w:r>
          </w:p>
          <w:p w14:paraId="0A751949" w14:textId="77777777" w:rsidR="00E55BED" w:rsidRDefault="00E55BED" w:rsidP="0083147C">
            <w:pPr>
              <w:rPr>
                <w:rFonts w:ascii="Arial" w:hAnsi="Arial"/>
                <w:sz w:val="22"/>
                <w:szCs w:val="22"/>
                <w:lang w:val="en-US"/>
              </w:rPr>
            </w:pPr>
          </w:p>
          <w:p w14:paraId="54A0F869" w14:textId="77777777" w:rsidR="008379E8" w:rsidRDefault="008379E8" w:rsidP="0083147C">
            <w:pPr>
              <w:rPr>
                <w:rFonts w:ascii="Arial" w:hAnsi="Arial"/>
                <w:sz w:val="22"/>
                <w:szCs w:val="22"/>
                <w:lang w:val="en-US"/>
              </w:rPr>
            </w:pPr>
          </w:p>
          <w:p w14:paraId="5CDF7CF5" w14:textId="77777777" w:rsidR="008379E8" w:rsidRDefault="008379E8" w:rsidP="0083147C">
            <w:pPr>
              <w:rPr>
                <w:rFonts w:ascii="Arial" w:hAnsi="Arial"/>
                <w:sz w:val="22"/>
                <w:szCs w:val="22"/>
                <w:lang w:val="en-US"/>
              </w:rPr>
            </w:pPr>
          </w:p>
          <w:p w14:paraId="7C39AFE5" w14:textId="77777777" w:rsidR="008379E8" w:rsidRDefault="008379E8" w:rsidP="0083147C">
            <w:pPr>
              <w:rPr>
                <w:rFonts w:ascii="Arial" w:hAnsi="Arial"/>
                <w:sz w:val="22"/>
                <w:szCs w:val="22"/>
                <w:lang w:val="en-US"/>
              </w:rPr>
            </w:pPr>
          </w:p>
          <w:p w14:paraId="50A6C19B" w14:textId="77777777" w:rsidR="008379E8" w:rsidRDefault="008379E8" w:rsidP="0083147C">
            <w:pPr>
              <w:rPr>
                <w:rFonts w:ascii="Arial" w:hAnsi="Arial"/>
                <w:sz w:val="22"/>
                <w:szCs w:val="22"/>
                <w:lang w:val="en-US"/>
              </w:rPr>
            </w:pPr>
          </w:p>
          <w:p w14:paraId="0168A25F" w14:textId="1AE4A551" w:rsidR="008379E8" w:rsidRPr="005D0BF9" w:rsidRDefault="008379E8" w:rsidP="0083147C">
            <w:pPr>
              <w:rPr>
                <w:rFonts w:ascii="Arial" w:hAnsi="Arial"/>
                <w:sz w:val="22"/>
                <w:szCs w:val="22"/>
                <w:lang w:val="en-US"/>
              </w:rPr>
            </w:pPr>
          </w:p>
        </w:tc>
        <w:tc>
          <w:tcPr>
            <w:tcW w:w="1985" w:type="dxa"/>
          </w:tcPr>
          <w:p w14:paraId="2629C592" w14:textId="6A34A81F" w:rsidR="0083147C" w:rsidRPr="005D0BF9" w:rsidRDefault="0083147C" w:rsidP="008379E8">
            <w:pPr>
              <w:rPr>
                <w:rFonts w:ascii="Arial" w:hAnsi="Arial"/>
                <w:bCs/>
                <w:sz w:val="22"/>
                <w:szCs w:val="22"/>
                <w:lang w:val="en-US"/>
              </w:rPr>
            </w:pPr>
            <w:r w:rsidRPr="005D0BF9">
              <w:rPr>
                <w:rFonts w:ascii="Arial" w:hAnsi="Arial"/>
                <w:color w:val="000000"/>
                <w:sz w:val="22"/>
                <w:szCs w:val="22"/>
              </w:rPr>
              <w:t>Expansion of Community DOT in remaining districts (37)</w:t>
            </w:r>
          </w:p>
        </w:tc>
        <w:tc>
          <w:tcPr>
            <w:tcW w:w="1534" w:type="dxa"/>
            <w:vAlign w:val="center"/>
          </w:tcPr>
          <w:p w14:paraId="65019B6E" w14:textId="77777777" w:rsidR="0083147C" w:rsidRPr="005D0BF9" w:rsidRDefault="0083147C" w:rsidP="00F50E3B">
            <w:pPr>
              <w:jc w:val="right"/>
              <w:rPr>
                <w:rFonts w:ascii="Arial" w:hAnsi="Arial"/>
                <w:color w:val="000000"/>
                <w:sz w:val="22"/>
                <w:szCs w:val="22"/>
              </w:rPr>
            </w:pPr>
            <w:r w:rsidRPr="005D0BF9">
              <w:rPr>
                <w:rFonts w:ascii="Arial" w:hAnsi="Arial"/>
                <w:color w:val="000000"/>
                <w:sz w:val="22"/>
                <w:szCs w:val="22"/>
              </w:rPr>
              <w:t xml:space="preserve">                781,111.11 </w:t>
            </w:r>
          </w:p>
          <w:p w14:paraId="2B8D2837" w14:textId="77777777" w:rsidR="0083147C" w:rsidRPr="005D0BF9" w:rsidRDefault="0083147C" w:rsidP="00F50E3B">
            <w:pPr>
              <w:jc w:val="right"/>
              <w:rPr>
                <w:rFonts w:ascii="Arial" w:hAnsi="Arial"/>
                <w:sz w:val="22"/>
                <w:szCs w:val="22"/>
                <w:lang w:val="en-US"/>
              </w:rPr>
            </w:pPr>
          </w:p>
        </w:tc>
        <w:tc>
          <w:tcPr>
            <w:tcW w:w="3994" w:type="dxa"/>
            <w:vAlign w:val="center"/>
          </w:tcPr>
          <w:p w14:paraId="7356AB75" w14:textId="77777777" w:rsidR="008379E8" w:rsidRDefault="0083147C" w:rsidP="008379E8">
            <w:pPr>
              <w:rPr>
                <w:rFonts w:ascii="Arial" w:hAnsi="Arial"/>
                <w:color w:val="000000"/>
                <w:sz w:val="22"/>
                <w:szCs w:val="22"/>
              </w:rPr>
            </w:pPr>
            <w:r w:rsidRPr="005D0BF9">
              <w:rPr>
                <w:rFonts w:ascii="Arial" w:hAnsi="Arial"/>
                <w:color w:val="000000"/>
                <w:sz w:val="22"/>
                <w:szCs w:val="22"/>
              </w:rPr>
              <w:t>To improve accessibility to TB services and make treatment adherence ‘user-friendly’ in the remaining districts</w:t>
            </w:r>
            <w:r w:rsidR="004A4456">
              <w:rPr>
                <w:rFonts w:ascii="Arial" w:hAnsi="Arial"/>
                <w:color w:val="000000"/>
                <w:sz w:val="22"/>
                <w:szCs w:val="22"/>
              </w:rPr>
              <w:t xml:space="preserve">; districts </w:t>
            </w:r>
            <w:r w:rsidRPr="005D0BF9">
              <w:rPr>
                <w:rFonts w:ascii="Arial" w:hAnsi="Arial"/>
                <w:color w:val="000000"/>
                <w:sz w:val="22"/>
                <w:szCs w:val="22"/>
              </w:rPr>
              <w:t xml:space="preserve">with sparse population would require more investments then the existing districts, but important </w:t>
            </w:r>
            <w:r w:rsidR="004A4456">
              <w:rPr>
                <w:rFonts w:ascii="Arial" w:hAnsi="Arial"/>
                <w:color w:val="000000"/>
                <w:sz w:val="22"/>
                <w:szCs w:val="22"/>
              </w:rPr>
              <w:t>from</w:t>
            </w:r>
            <w:r w:rsidRPr="005D0BF9">
              <w:rPr>
                <w:rFonts w:ascii="Arial" w:hAnsi="Arial"/>
                <w:color w:val="000000"/>
                <w:sz w:val="22"/>
                <w:szCs w:val="22"/>
              </w:rPr>
              <w:t xml:space="preserve"> patient perspective.</w:t>
            </w:r>
          </w:p>
          <w:p w14:paraId="614C9178" w14:textId="695169D9" w:rsidR="008379E8" w:rsidRPr="005D0BF9" w:rsidRDefault="008379E8" w:rsidP="008379E8">
            <w:pPr>
              <w:rPr>
                <w:rFonts w:ascii="Arial" w:hAnsi="Arial"/>
                <w:sz w:val="22"/>
                <w:szCs w:val="22"/>
                <w:lang w:val="en-US"/>
              </w:rPr>
            </w:pPr>
          </w:p>
        </w:tc>
      </w:tr>
      <w:tr w:rsidR="0083147C" w:rsidRPr="00D57C02" w14:paraId="0F66D8B8" w14:textId="77777777" w:rsidTr="00BA5BF5">
        <w:trPr>
          <w:trHeight w:val="782"/>
        </w:trPr>
        <w:tc>
          <w:tcPr>
            <w:tcW w:w="1696" w:type="dxa"/>
            <w:vAlign w:val="center"/>
          </w:tcPr>
          <w:p w14:paraId="27F2064A" w14:textId="77777777" w:rsidR="0083147C" w:rsidRDefault="0083147C" w:rsidP="0083147C">
            <w:pPr>
              <w:rPr>
                <w:rFonts w:ascii="Arial" w:hAnsi="Arial"/>
                <w:sz w:val="22"/>
                <w:szCs w:val="22"/>
                <w:lang w:val="en-US"/>
              </w:rPr>
            </w:pPr>
            <w:r w:rsidRPr="005D0BF9">
              <w:rPr>
                <w:rFonts w:ascii="Arial" w:hAnsi="Arial"/>
                <w:sz w:val="22"/>
                <w:szCs w:val="22"/>
                <w:lang w:val="en-US"/>
              </w:rPr>
              <w:t>TB care and prevention</w:t>
            </w:r>
          </w:p>
          <w:p w14:paraId="62F66510" w14:textId="77777777" w:rsidR="00E55BED" w:rsidRDefault="00E55BED" w:rsidP="0083147C">
            <w:pPr>
              <w:rPr>
                <w:rFonts w:ascii="Arial" w:hAnsi="Arial"/>
                <w:sz w:val="22"/>
                <w:szCs w:val="22"/>
                <w:lang w:val="en-US"/>
              </w:rPr>
            </w:pPr>
          </w:p>
          <w:p w14:paraId="180D1A36" w14:textId="77777777" w:rsidR="00E55BED" w:rsidRDefault="00E55BED" w:rsidP="0083147C">
            <w:pPr>
              <w:rPr>
                <w:rFonts w:ascii="Arial" w:hAnsi="Arial"/>
                <w:sz w:val="22"/>
                <w:szCs w:val="22"/>
                <w:lang w:val="en-US"/>
              </w:rPr>
            </w:pPr>
          </w:p>
          <w:p w14:paraId="7DB0300F" w14:textId="77777777" w:rsidR="00E55BED" w:rsidRDefault="00E55BED" w:rsidP="0083147C">
            <w:pPr>
              <w:rPr>
                <w:rFonts w:ascii="Arial" w:hAnsi="Arial"/>
                <w:sz w:val="22"/>
                <w:szCs w:val="22"/>
                <w:lang w:val="en-US"/>
              </w:rPr>
            </w:pPr>
          </w:p>
          <w:p w14:paraId="7AC8293C" w14:textId="77777777" w:rsidR="00E55BED" w:rsidRDefault="00E55BED" w:rsidP="0083147C">
            <w:pPr>
              <w:rPr>
                <w:rFonts w:ascii="Arial" w:hAnsi="Arial"/>
                <w:sz w:val="22"/>
                <w:szCs w:val="22"/>
                <w:lang w:val="en-US"/>
              </w:rPr>
            </w:pPr>
          </w:p>
          <w:p w14:paraId="520B11EA" w14:textId="77777777" w:rsidR="00E55BED" w:rsidRDefault="00E55BED" w:rsidP="0083147C">
            <w:pPr>
              <w:rPr>
                <w:rFonts w:ascii="Arial" w:hAnsi="Arial"/>
                <w:sz w:val="22"/>
                <w:szCs w:val="22"/>
                <w:lang w:val="en-US"/>
              </w:rPr>
            </w:pPr>
          </w:p>
          <w:p w14:paraId="622629CE" w14:textId="11A069E4" w:rsidR="00E55BED" w:rsidRPr="005D0BF9" w:rsidRDefault="00E55BED" w:rsidP="0083147C">
            <w:pPr>
              <w:rPr>
                <w:rFonts w:ascii="Arial" w:hAnsi="Arial"/>
                <w:sz w:val="22"/>
                <w:szCs w:val="22"/>
                <w:lang w:val="en-US"/>
              </w:rPr>
            </w:pPr>
          </w:p>
        </w:tc>
        <w:tc>
          <w:tcPr>
            <w:tcW w:w="1985" w:type="dxa"/>
          </w:tcPr>
          <w:p w14:paraId="7317036A" w14:textId="2BAF8604" w:rsidR="0083147C" w:rsidRPr="005D0BF9" w:rsidRDefault="0083147C" w:rsidP="0083147C">
            <w:pPr>
              <w:rPr>
                <w:rFonts w:ascii="Arial" w:hAnsi="Arial"/>
                <w:color w:val="000000"/>
                <w:sz w:val="22"/>
                <w:szCs w:val="22"/>
              </w:rPr>
            </w:pPr>
            <w:r w:rsidRPr="005D0BF9">
              <w:rPr>
                <w:rFonts w:ascii="Arial" w:hAnsi="Arial"/>
                <w:color w:val="000000"/>
                <w:sz w:val="22"/>
                <w:szCs w:val="22"/>
              </w:rPr>
              <w:t>Extension of the ACF in remaining 35 districts in prioritized groups</w:t>
            </w:r>
          </w:p>
          <w:p w14:paraId="6D1EAFBB" w14:textId="3B325C6C" w:rsidR="0083147C" w:rsidRPr="005D0BF9" w:rsidRDefault="0083147C" w:rsidP="0083147C">
            <w:pPr>
              <w:rPr>
                <w:rFonts w:ascii="Arial" w:hAnsi="Arial"/>
                <w:bCs/>
                <w:sz w:val="22"/>
                <w:szCs w:val="22"/>
                <w:lang w:val="en-US"/>
              </w:rPr>
            </w:pPr>
          </w:p>
        </w:tc>
        <w:tc>
          <w:tcPr>
            <w:tcW w:w="1534" w:type="dxa"/>
            <w:vAlign w:val="center"/>
          </w:tcPr>
          <w:p w14:paraId="39D8CE3D" w14:textId="77777777" w:rsidR="0083147C" w:rsidRPr="005D0BF9" w:rsidRDefault="0083147C" w:rsidP="00F50E3B">
            <w:pPr>
              <w:jc w:val="right"/>
              <w:rPr>
                <w:rFonts w:ascii="Arial" w:hAnsi="Arial"/>
                <w:color w:val="000000"/>
                <w:sz w:val="22"/>
                <w:szCs w:val="22"/>
              </w:rPr>
            </w:pPr>
            <w:r w:rsidRPr="005D0BF9">
              <w:rPr>
                <w:rFonts w:ascii="Arial" w:hAnsi="Arial"/>
                <w:color w:val="000000"/>
                <w:sz w:val="22"/>
                <w:szCs w:val="22"/>
              </w:rPr>
              <w:t xml:space="preserve">             3,000,000.00 </w:t>
            </w:r>
          </w:p>
          <w:p w14:paraId="4D48885A" w14:textId="77777777" w:rsidR="0083147C" w:rsidRPr="005D0BF9" w:rsidRDefault="0083147C" w:rsidP="00F50E3B">
            <w:pPr>
              <w:jc w:val="right"/>
              <w:rPr>
                <w:rFonts w:ascii="Arial" w:hAnsi="Arial"/>
                <w:sz w:val="22"/>
                <w:szCs w:val="22"/>
                <w:lang w:val="en-US"/>
              </w:rPr>
            </w:pPr>
          </w:p>
        </w:tc>
        <w:tc>
          <w:tcPr>
            <w:tcW w:w="3994" w:type="dxa"/>
            <w:vAlign w:val="center"/>
          </w:tcPr>
          <w:p w14:paraId="72A3C26E" w14:textId="18B041A0" w:rsidR="0083147C" w:rsidRPr="005D0BF9" w:rsidRDefault="0083147C" w:rsidP="0083147C">
            <w:pPr>
              <w:rPr>
                <w:rFonts w:ascii="Arial" w:hAnsi="Arial"/>
                <w:sz w:val="22"/>
                <w:szCs w:val="22"/>
                <w:lang w:val="en-US"/>
              </w:rPr>
            </w:pPr>
            <w:r>
              <w:rPr>
                <w:rFonts w:ascii="Arial" w:hAnsi="Arial"/>
                <w:color w:val="000000"/>
                <w:sz w:val="22"/>
                <w:szCs w:val="22"/>
              </w:rPr>
              <w:t>ACF</w:t>
            </w:r>
            <w:r w:rsidRPr="005D0BF9">
              <w:rPr>
                <w:rFonts w:ascii="Arial" w:hAnsi="Arial"/>
                <w:color w:val="000000"/>
                <w:sz w:val="22"/>
                <w:szCs w:val="22"/>
              </w:rPr>
              <w:t xml:space="preserve"> in remaining districts with very less population will be relative</w:t>
            </w:r>
            <w:r w:rsidR="00440524">
              <w:rPr>
                <w:rFonts w:ascii="Arial" w:hAnsi="Arial"/>
                <w:color w:val="000000"/>
                <w:sz w:val="22"/>
                <w:szCs w:val="22"/>
              </w:rPr>
              <w:t>ly</w:t>
            </w:r>
            <w:r w:rsidRPr="005D0BF9">
              <w:rPr>
                <w:rFonts w:ascii="Arial" w:hAnsi="Arial"/>
                <w:color w:val="000000"/>
                <w:sz w:val="22"/>
                <w:szCs w:val="22"/>
              </w:rPr>
              <w:t xml:space="preserve"> costlier, but will be crucial </w:t>
            </w:r>
            <w:r>
              <w:rPr>
                <w:rFonts w:ascii="Arial" w:hAnsi="Arial"/>
                <w:color w:val="000000"/>
                <w:sz w:val="22"/>
                <w:szCs w:val="22"/>
              </w:rPr>
              <w:t>from</w:t>
            </w:r>
            <w:r w:rsidRPr="005D0BF9">
              <w:rPr>
                <w:rFonts w:ascii="Arial" w:hAnsi="Arial"/>
                <w:color w:val="000000"/>
                <w:sz w:val="22"/>
                <w:szCs w:val="22"/>
              </w:rPr>
              <w:t xml:space="preserve"> patient and community perspective. Investment will provide an opportunity to this population for early diagnosis, prompt treatment initiation and reduce morbidity and mortality.</w:t>
            </w:r>
          </w:p>
        </w:tc>
      </w:tr>
      <w:tr w:rsidR="0083147C" w:rsidRPr="00D57C02" w14:paraId="463AF462" w14:textId="77777777" w:rsidTr="00BA5BF5">
        <w:trPr>
          <w:trHeight w:val="419"/>
        </w:trPr>
        <w:tc>
          <w:tcPr>
            <w:tcW w:w="1696" w:type="dxa"/>
            <w:vAlign w:val="center"/>
          </w:tcPr>
          <w:p w14:paraId="6856C944" w14:textId="4227B4D1" w:rsidR="0083147C" w:rsidRDefault="0083147C" w:rsidP="0083147C">
            <w:pPr>
              <w:rPr>
                <w:rFonts w:ascii="Arial" w:hAnsi="Arial"/>
                <w:color w:val="000000"/>
                <w:sz w:val="22"/>
                <w:szCs w:val="22"/>
              </w:rPr>
            </w:pPr>
            <w:r w:rsidRPr="005D0BF9">
              <w:rPr>
                <w:rFonts w:ascii="Arial" w:hAnsi="Arial"/>
                <w:color w:val="000000"/>
                <w:sz w:val="22"/>
                <w:szCs w:val="22"/>
              </w:rPr>
              <w:t>MDRTB</w:t>
            </w:r>
          </w:p>
          <w:p w14:paraId="08509F47" w14:textId="35F73DCA" w:rsidR="00E55BED" w:rsidRDefault="00E55BED" w:rsidP="0083147C">
            <w:pPr>
              <w:rPr>
                <w:rFonts w:ascii="Arial" w:hAnsi="Arial"/>
                <w:color w:val="000000"/>
                <w:sz w:val="22"/>
                <w:szCs w:val="22"/>
              </w:rPr>
            </w:pPr>
          </w:p>
          <w:p w14:paraId="690A467F" w14:textId="18DF547C" w:rsidR="00E55BED" w:rsidRDefault="00E55BED" w:rsidP="0083147C">
            <w:pPr>
              <w:rPr>
                <w:rFonts w:ascii="Arial" w:hAnsi="Arial"/>
                <w:color w:val="000000"/>
                <w:sz w:val="22"/>
                <w:szCs w:val="22"/>
              </w:rPr>
            </w:pPr>
          </w:p>
          <w:p w14:paraId="4AB8C63A" w14:textId="77777777" w:rsidR="00E55BED" w:rsidRPr="005D0BF9" w:rsidRDefault="00E55BED" w:rsidP="0083147C">
            <w:pPr>
              <w:rPr>
                <w:rFonts w:ascii="Arial" w:hAnsi="Arial"/>
                <w:color w:val="000000"/>
                <w:sz w:val="22"/>
                <w:szCs w:val="22"/>
              </w:rPr>
            </w:pPr>
          </w:p>
          <w:p w14:paraId="09491F29" w14:textId="7FA27B5A" w:rsidR="0083147C" w:rsidRPr="005D0BF9" w:rsidRDefault="0083147C" w:rsidP="0083147C">
            <w:pPr>
              <w:rPr>
                <w:rFonts w:ascii="Arial" w:hAnsi="Arial"/>
                <w:sz w:val="22"/>
                <w:szCs w:val="22"/>
                <w:lang w:val="en-US" w:eastAsia="en-US"/>
              </w:rPr>
            </w:pPr>
          </w:p>
        </w:tc>
        <w:tc>
          <w:tcPr>
            <w:tcW w:w="1985" w:type="dxa"/>
          </w:tcPr>
          <w:p w14:paraId="7FA95F4E" w14:textId="3EEDFC7D" w:rsidR="0083147C" w:rsidRPr="005D0BF9" w:rsidRDefault="0083147C" w:rsidP="0083147C">
            <w:pPr>
              <w:rPr>
                <w:rFonts w:ascii="Arial" w:hAnsi="Arial"/>
                <w:color w:val="000000"/>
                <w:sz w:val="22"/>
                <w:szCs w:val="22"/>
              </w:rPr>
            </w:pPr>
            <w:r w:rsidRPr="005D0BF9">
              <w:rPr>
                <w:rFonts w:ascii="Arial" w:hAnsi="Arial"/>
                <w:color w:val="000000"/>
                <w:sz w:val="22"/>
                <w:szCs w:val="22"/>
              </w:rPr>
              <w:t>Additional support for the remaining 600 DRTB patients</w:t>
            </w:r>
          </w:p>
          <w:p w14:paraId="553D2436" w14:textId="36DD7259" w:rsidR="0083147C" w:rsidRPr="005D0BF9" w:rsidRDefault="0083147C" w:rsidP="0083147C">
            <w:pPr>
              <w:spacing w:line="259" w:lineRule="auto"/>
              <w:rPr>
                <w:rFonts w:ascii="Arial" w:hAnsi="Arial"/>
                <w:sz w:val="22"/>
                <w:szCs w:val="22"/>
                <w:lang w:val="en-US"/>
              </w:rPr>
            </w:pPr>
          </w:p>
        </w:tc>
        <w:tc>
          <w:tcPr>
            <w:tcW w:w="1534" w:type="dxa"/>
            <w:vAlign w:val="center"/>
          </w:tcPr>
          <w:p w14:paraId="38A03823" w14:textId="77777777" w:rsidR="0083147C" w:rsidRPr="005D0BF9" w:rsidRDefault="0083147C" w:rsidP="00F50E3B">
            <w:pPr>
              <w:jc w:val="right"/>
              <w:rPr>
                <w:rFonts w:ascii="Arial" w:hAnsi="Arial"/>
                <w:color w:val="000000"/>
                <w:sz w:val="22"/>
                <w:szCs w:val="22"/>
              </w:rPr>
            </w:pPr>
            <w:r w:rsidRPr="005D0BF9">
              <w:rPr>
                <w:rFonts w:ascii="Arial" w:hAnsi="Arial"/>
                <w:color w:val="000000"/>
                <w:sz w:val="22"/>
                <w:szCs w:val="22"/>
              </w:rPr>
              <w:t xml:space="preserve">             1,200,000.00 </w:t>
            </w:r>
          </w:p>
          <w:p w14:paraId="25A30DED" w14:textId="77777777" w:rsidR="0083147C" w:rsidRPr="005D0BF9" w:rsidRDefault="0083147C" w:rsidP="00F50E3B">
            <w:pPr>
              <w:jc w:val="right"/>
              <w:rPr>
                <w:rFonts w:ascii="Arial" w:hAnsi="Arial"/>
                <w:sz w:val="22"/>
                <w:szCs w:val="22"/>
                <w:lang w:val="en-US" w:eastAsia="en-US"/>
              </w:rPr>
            </w:pPr>
          </w:p>
        </w:tc>
        <w:tc>
          <w:tcPr>
            <w:tcW w:w="3994" w:type="dxa"/>
            <w:vAlign w:val="center"/>
          </w:tcPr>
          <w:p w14:paraId="7B59FC8F" w14:textId="512D4A02" w:rsidR="0083147C" w:rsidRPr="005D0BF9" w:rsidRDefault="0083147C" w:rsidP="0083147C">
            <w:pPr>
              <w:rPr>
                <w:rFonts w:ascii="Arial" w:hAnsi="Arial"/>
                <w:sz w:val="22"/>
                <w:szCs w:val="22"/>
                <w:lang w:val="en-US" w:eastAsia="en-US"/>
              </w:rPr>
            </w:pPr>
            <w:r w:rsidRPr="005D0BF9">
              <w:rPr>
                <w:rFonts w:ascii="Arial" w:hAnsi="Arial"/>
                <w:color w:val="000000"/>
                <w:sz w:val="22"/>
                <w:szCs w:val="22"/>
              </w:rPr>
              <w:t>Additional support for the remaining gap of 600 DR</w:t>
            </w:r>
            <w:r>
              <w:rPr>
                <w:rFonts w:ascii="Arial" w:hAnsi="Arial"/>
                <w:color w:val="000000"/>
                <w:sz w:val="22"/>
                <w:szCs w:val="22"/>
              </w:rPr>
              <w:t>-</w:t>
            </w:r>
            <w:r w:rsidRPr="005D0BF9">
              <w:rPr>
                <w:rFonts w:ascii="Arial" w:hAnsi="Arial"/>
                <w:color w:val="000000"/>
                <w:sz w:val="22"/>
                <w:szCs w:val="22"/>
              </w:rPr>
              <w:t>TB patients for diagnosis and treatment and associated activities through the private sector involvement.</w:t>
            </w:r>
          </w:p>
        </w:tc>
      </w:tr>
      <w:tr w:rsidR="0083147C" w:rsidRPr="00D57C02" w14:paraId="65ABBE0D" w14:textId="77777777" w:rsidTr="00BA5BF5">
        <w:trPr>
          <w:trHeight w:val="410"/>
        </w:trPr>
        <w:tc>
          <w:tcPr>
            <w:tcW w:w="1696" w:type="dxa"/>
            <w:vAlign w:val="center"/>
          </w:tcPr>
          <w:p w14:paraId="3EBEE857" w14:textId="47D716AB" w:rsidR="0083147C" w:rsidRDefault="0083147C" w:rsidP="0083147C">
            <w:pPr>
              <w:rPr>
                <w:rFonts w:ascii="Arial" w:hAnsi="Arial"/>
                <w:color w:val="000000"/>
                <w:sz w:val="22"/>
                <w:szCs w:val="22"/>
              </w:rPr>
            </w:pPr>
            <w:r w:rsidRPr="005D0BF9">
              <w:rPr>
                <w:rFonts w:ascii="Arial" w:hAnsi="Arial"/>
                <w:color w:val="000000"/>
                <w:sz w:val="22"/>
                <w:szCs w:val="22"/>
              </w:rPr>
              <w:t>Program Management</w:t>
            </w:r>
          </w:p>
          <w:p w14:paraId="218D73FE" w14:textId="12602CCC" w:rsidR="00E55BED" w:rsidRDefault="00E55BED" w:rsidP="0083147C">
            <w:pPr>
              <w:rPr>
                <w:rFonts w:ascii="Arial" w:hAnsi="Arial"/>
                <w:color w:val="000000"/>
                <w:sz w:val="22"/>
                <w:szCs w:val="22"/>
              </w:rPr>
            </w:pPr>
          </w:p>
          <w:p w14:paraId="0EA339F2" w14:textId="77777777" w:rsidR="00E55BED" w:rsidRPr="005D0BF9" w:rsidRDefault="00E55BED" w:rsidP="0083147C">
            <w:pPr>
              <w:rPr>
                <w:rFonts w:ascii="Arial" w:hAnsi="Arial"/>
                <w:color w:val="000000"/>
                <w:sz w:val="22"/>
                <w:szCs w:val="22"/>
              </w:rPr>
            </w:pPr>
          </w:p>
          <w:p w14:paraId="5EBE25F2" w14:textId="3EB19510" w:rsidR="0083147C" w:rsidRPr="005D0BF9" w:rsidRDefault="0083147C" w:rsidP="0083147C">
            <w:pPr>
              <w:rPr>
                <w:rFonts w:ascii="Arial" w:hAnsi="Arial"/>
                <w:sz w:val="22"/>
                <w:szCs w:val="22"/>
                <w:lang w:val="en-US" w:eastAsia="en-US"/>
              </w:rPr>
            </w:pPr>
          </w:p>
        </w:tc>
        <w:tc>
          <w:tcPr>
            <w:tcW w:w="1985" w:type="dxa"/>
          </w:tcPr>
          <w:p w14:paraId="3FC2A6A8" w14:textId="11CBCFE0" w:rsidR="0083147C" w:rsidRPr="005D0BF9" w:rsidRDefault="0083147C" w:rsidP="0083147C">
            <w:pPr>
              <w:rPr>
                <w:rFonts w:ascii="Arial" w:hAnsi="Arial"/>
                <w:sz w:val="22"/>
                <w:szCs w:val="22"/>
                <w:lang w:val="en-US"/>
              </w:rPr>
            </w:pPr>
            <w:r w:rsidRPr="005D0BF9">
              <w:rPr>
                <w:rFonts w:ascii="Arial" w:hAnsi="Arial"/>
                <w:sz w:val="22"/>
                <w:szCs w:val="22"/>
                <w:lang w:val="en-US"/>
              </w:rPr>
              <w:t>Mid-term evaluation of NSP</w:t>
            </w:r>
          </w:p>
        </w:tc>
        <w:tc>
          <w:tcPr>
            <w:tcW w:w="1534" w:type="dxa"/>
            <w:vAlign w:val="center"/>
          </w:tcPr>
          <w:p w14:paraId="29804A88" w14:textId="5CEFD702" w:rsidR="0083147C" w:rsidRPr="005D0BF9" w:rsidRDefault="0083147C" w:rsidP="00F50E3B">
            <w:pPr>
              <w:jc w:val="right"/>
              <w:rPr>
                <w:rFonts w:ascii="Arial" w:hAnsi="Arial"/>
                <w:sz w:val="22"/>
                <w:szCs w:val="22"/>
                <w:lang w:val="en-US" w:eastAsia="en-US"/>
              </w:rPr>
            </w:pPr>
            <w:r w:rsidRPr="005D0BF9">
              <w:rPr>
                <w:rFonts w:ascii="Arial" w:hAnsi="Arial"/>
                <w:sz w:val="22"/>
                <w:szCs w:val="22"/>
                <w:lang w:val="en-US" w:eastAsia="en-US"/>
              </w:rPr>
              <w:t>78,300.00</w:t>
            </w:r>
          </w:p>
        </w:tc>
        <w:tc>
          <w:tcPr>
            <w:tcW w:w="3994" w:type="dxa"/>
            <w:vAlign w:val="center"/>
          </w:tcPr>
          <w:p w14:paraId="39B81288" w14:textId="2B5BDD4E" w:rsidR="0083147C" w:rsidRPr="005D0BF9" w:rsidRDefault="0083147C" w:rsidP="0083147C">
            <w:pPr>
              <w:rPr>
                <w:rFonts w:ascii="Arial" w:hAnsi="Arial"/>
                <w:sz w:val="22"/>
                <w:szCs w:val="22"/>
                <w:lang w:val="en-US" w:eastAsia="en-US"/>
              </w:rPr>
            </w:pPr>
            <w:r w:rsidRPr="005D0BF9">
              <w:rPr>
                <w:rFonts w:ascii="Arial" w:hAnsi="Arial"/>
                <w:color w:val="000000"/>
                <w:sz w:val="22"/>
                <w:szCs w:val="22"/>
              </w:rPr>
              <w:t xml:space="preserve">To review the implementation of the NSP, recommend mid-course corrections and provide inputs for better planning and preparation for </w:t>
            </w:r>
            <w:r w:rsidR="001C3666">
              <w:rPr>
                <w:rFonts w:ascii="Arial" w:hAnsi="Arial"/>
                <w:color w:val="000000"/>
                <w:sz w:val="22"/>
                <w:szCs w:val="22"/>
              </w:rPr>
              <w:t xml:space="preserve">the </w:t>
            </w:r>
            <w:r w:rsidRPr="005D0BF9">
              <w:rPr>
                <w:rFonts w:ascii="Arial" w:hAnsi="Arial"/>
                <w:color w:val="000000"/>
                <w:sz w:val="22"/>
                <w:szCs w:val="22"/>
              </w:rPr>
              <w:t>next phase.</w:t>
            </w:r>
          </w:p>
        </w:tc>
      </w:tr>
      <w:tr w:rsidR="0083147C" w:rsidRPr="00D57C02" w14:paraId="171A1FC0" w14:textId="77777777" w:rsidTr="00BA5BF5">
        <w:trPr>
          <w:trHeight w:val="410"/>
        </w:trPr>
        <w:tc>
          <w:tcPr>
            <w:tcW w:w="1696" w:type="dxa"/>
            <w:vAlign w:val="center"/>
          </w:tcPr>
          <w:p w14:paraId="204C2A65" w14:textId="77777777" w:rsidR="0083147C" w:rsidRDefault="0083147C" w:rsidP="0083147C">
            <w:pPr>
              <w:rPr>
                <w:rFonts w:ascii="Arial" w:hAnsi="Arial"/>
                <w:color w:val="000000"/>
                <w:sz w:val="22"/>
                <w:szCs w:val="22"/>
              </w:rPr>
            </w:pPr>
            <w:r w:rsidRPr="005D0BF9">
              <w:rPr>
                <w:rFonts w:ascii="Arial" w:hAnsi="Arial"/>
                <w:color w:val="000000"/>
                <w:sz w:val="22"/>
                <w:szCs w:val="22"/>
              </w:rPr>
              <w:t>RSSH</w:t>
            </w:r>
            <w:r w:rsidR="00CB1198">
              <w:rPr>
                <w:rFonts w:ascii="Arial" w:hAnsi="Arial"/>
                <w:color w:val="000000"/>
                <w:sz w:val="22"/>
                <w:szCs w:val="22"/>
              </w:rPr>
              <w:t xml:space="preserve">: </w:t>
            </w:r>
            <w:r w:rsidR="00AD6F73">
              <w:rPr>
                <w:rFonts w:ascii="Arial" w:hAnsi="Arial"/>
                <w:color w:val="000000"/>
                <w:sz w:val="22"/>
                <w:szCs w:val="22"/>
              </w:rPr>
              <w:t>Community responses and systems</w:t>
            </w:r>
          </w:p>
          <w:p w14:paraId="14BAF0A8" w14:textId="77777777" w:rsidR="00E55BED" w:rsidRDefault="00E55BED" w:rsidP="0083147C">
            <w:pPr>
              <w:rPr>
                <w:rFonts w:ascii="Arial" w:hAnsi="Arial"/>
                <w:color w:val="000000"/>
                <w:sz w:val="22"/>
                <w:szCs w:val="22"/>
              </w:rPr>
            </w:pPr>
          </w:p>
          <w:p w14:paraId="6F85062F" w14:textId="77777777" w:rsidR="00E55BED" w:rsidRDefault="00E55BED" w:rsidP="0083147C">
            <w:pPr>
              <w:rPr>
                <w:rFonts w:ascii="Arial" w:hAnsi="Arial"/>
                <w:color w:val="000000"/>
                <w:sz w:val="22"/>
                <w:szCs w:val="22"/>
              </w:rPr>
            </w:pPr>
          </w:p>
          <w:p w14:paraId="65475190" w14:textId="6C0DFBE2" w:rsidR="00E55BED" w:rsidRPr="005D0BF9" w:rsidRDefault="00E55BED" w:rsidP="0083147C">
            <w:pPr>
              <w:rPr>
                <w:rFonts w:ascii="Arial" w:hAnsi="Arial"/>
                <w:color w:val="000000"/>
                <w:sz w:val="22"/>
                <w:szCs w:val="22"/>
              </w:rPr>
            </w:pPr>
          </w:p>
        </w:tc>
        <w:tc>
          <w:tcPr>
            <w:tcW w:w="1985" w:type="dxa"/>
          </w:tcPr>
          <w:p w14:paraId="7C10FCDE" w14:textId="6A5BE257" w:rsidR="0083147C" w:rsidRPr="005D0BF9" w:rsidRDefault="0083147C" w:rsidP="0083147C">
            <w:pPr>
              <w:rPr>
                <w:rFonts w:ascii="Arial" w:hAnsi="Arial"/>
                <w:sz w:val="22"/>
                <w:szCs w:val="22"/>
                <w:lang w:val="en-US"/>
              </w:rPr>
            </w:pPr>
            <w:r w:rsidRPr="005D0BF9">
              <w:rPr>
                <w:rFonts w:ascii="Arial" w:hAnsi="Arial"/>
                <w:color w:val="000000"/>
                <w:sz w:val="22"/>
                <w:szCs w:val="22"/>
              </w:rPr>
              <w:t xml:space="preserve">Conduct orientation workshops to empower the newly elected members of </w:t>
            </w:r>
            <w:r w:rsidR="0064319B">
              <w:rPr>
                <w:rFonts w:ascii="Arial" w:hAnsi="Arial"/>
                <w:color w:val="000000"/>
                <w:sz w:val="22"/>
                <w:szCs w:val="22"/>
              </w:rPr>
              <w:t xml:space="preserve">the </w:t>
            </w:r>
            <w:r w:rsidR="00D6100E">
              <w:rPr>
                <w:rFonts w:ascii="Arial" w:hAnsi="Arial"/>
                <w:color w:val="000000"/>
                <w:sz w:val="22"/>
                <w:szCs w:val="22"/>
              </w:rPr>
              <w:t>l</w:t>
            </w:r>
            <w:r w:rsidRPr="005D0BF9">
              <w:rPr>
                <w:rFonts w:ascii="Arial" w:hAnsi="Arial"/>
                <w:color w:val="000000"/>
                <w:sz w:val="22"/>
                <w:szCs w:val="22"/>
              </w:rPr>
              <w:t xml:space="preserve">ocal </w:t>
            </w:r>
            <w:proofErr w:type="spellStart"/>
            <w:r w:rsidR="00170BD4" w:rsidRPr="0064319B">
              <w:rPr>
                <w:rFonts w:ascii="Arial" w:hAnsi="Arial"/>
                <w:i/>
                <w:color w:val="000000"/>
                <w:sz w:val="22"/>
                <w:szCs w:val="22"/>
              </w:rPr>
              <w:t>palikas</w:t>
            </w:r>
            <w:proofErr w:type="spellEnd"/>
            <w:r w:rsidR="00170BD4">
              <w:rPr>
                <w:rFonts w:ascii="Arial" w:hAnsi="Arial"/>
                <w:color w:val="000000"/>
                <w:sz w:val="22"/>
                <w:szCs w:val="22"/>
              </w:rPr>
              <w:t xml:space="preserve"> </w:t>
            </w:r>
          </w:p>
        </w:tc>
        <w:tc>
          <w:tcPr>
            <w:tcW w:w="1534" w:type="dxa"/>
            <w:vAlign w:val="center"/>
          </w:tcPr>
          <w:p w14:paraId="7DEB532C" w14:textId="28819363" w:rsidR="0083147C" w:rsidRPr="005D0BF9" w:rsidRDefault="0083147C" w:rsidP="00F50E3B">
            <w:pPr>
              <w:jc w:val="right"/>
              <w:rPr>
                <w:rFonts w:ascii="Arial" w:hAnsi="Arial"/>
                <w:color w:val="000000"/>
                <w:sz w:val="22"/>
                <w:szCs w:val="22"/>
              </w:rPr>
            </w:pPr>
            <w:r w:rsidRPr="005D0BF9">
              <w:rPr>
                <w:rFonts w:ascii="Arial" w:hAnsi="Arial"/>
                <w:color w:val="000000"/>
                <w:sz w:val="22"/>
                <w:szCs w:val="22"/>
              </w:rPr>
              <w:t xml:space="preserve">                  </w:t>
            </w:r>
            <w:r w:rsidR="0061432B">
              <w:rPr>
                <w:rFonts w:ascii="Arial" w:hAnsi="Arial"/>
                <w:color w:val="000000"/>
                <w:sz w:val="22"/>
                <w:szCs w:val="22"/>
              </w:rPr>
              <w:t>297,80</w:t>
            </w:r>
            <w:r w:rsidR="0050315F">
              <w:rPr>
                <w:rFonts w:ascii="Arial" w:hAnsi="Arial"/>
                <w:color w:val="000000"/>
                <w:sz w:val="22"/>
                <w:szCs w:val="22"/>
              </w:rPr>
              <w:t>7</w:t>
            </w:r>
            <w:r w:rsidR="00AD2452">
              <w:rPr>
                <w:rFonts w:ascii="Arial" w:hAnsi="Arial"/>
                <w:color w:val="000000"/>
                <w:sz w:val="22"/>
                <w:szCs w:val="22"/>
              </w:rPr>
              <w:t>.</w:t>
            </w:r>
            <w:r w:rsidR="0050315F">
              <w:rPr>
                <w:rFonts w:ascii="Arial" w:hAnsi="Arial"/>
                <w:color w:val="000000"/>
                <w:sz w:val="22"/>
                <w:szCs w:val="22"/>
              </w:rPr>
              <w:t>06</w:t>
            </w:r>
            <w:r w:rsidRPr="005D0BF9">
              <w:rPr>
                <w:rFonts w:ascii="Arial" w:hAnsi="Arial"/>
                <w:color w:val="000000"/>
                <w:sz w:val="22"/>
                <w:szCs w:val="22"/>
              </w:rPr>
              <w:t xml:space="preserve"> </w:t>
            </w:r>
          </w:p>
          <w:p w14:paraId="32C1CA1C" w14:textId="77777777" w:rsidR="0083147C" w:rsidRPr="005D0BF9" w:rsidRDefault="0083147C" w:rsidP="00F50E3B">
            <w:pPr>
              <w:jc w:val="right"/>
              <w:rPr>
                <w:rFonts w:ascii="Arial" w:hAnsi="Arial"/>
                <w:sz w:val="22"/>
                <w:szCs w:val="22"/>
                <w:lang w:val="en-US"/>
              </w:rPr>
            </w:pPr>
          </w:p>
        </w:tc>
        <w:tc>
          <w:tcPr>
            <w:tcW w:w="3994" w:type="dxa"/>
            <w:vAlign w:val="center"/>
          </w:tcPr>
          <w:p w14:paraId="4F735895" w14:textId="5D068A5A" w:rsidR="00F313FD" w:rsidRPr="005D0BF9" w:rsidRDefault="00AD6F73" w:rsidP="00F313FD">
            <w:pPr>
              <w:rPr>
                <w:rFonts w:ascii="Arial" w:hAnsi="Arial"/>
                <w:color w:val="000000"/>
                <w:sz w:val="22"/>
                <w:szCs w:val="22"/>
              </w:rPr>
            </w:pPr>
            <w:r>
              <w:rPr>
                <w:rFonts w:ascii="Arial" w:hAnsi="Arial"/>
                <w:color w:val="000000"/>
                <w:sz w:val="22"/>
                <w:szCs w:val="22"/>
              </w:rPr>
              <w:t>Under the d</w:t>
            </w:r>
            <w:r w:rsidR="0083147C" w:rsidRPr="005D0BF9">
              <w:rPr>
                <w:rFonts w:ascii="Arial" w:hAnsi="Arial"/>
                <w:color w:val="000000"/>
                <w:sz w:val="22"/>
                <w:szCs w:val="22"/>
              </w:rPr>
              <w:t xml:space="preserve">ecentralized </w:t>
            </w:r>
            <w:r w:rsidR="0087675A">
              <w:rPr>
                <w:rFonts w:ascii="Arial" w:hAnsi="Arial"/>
                <w:color w:val="000000"/>
                <w:sz w:val="22"/>
                <w:szCs w:val="22"/>
              </w:rPr>
              <w:t xml:space="preserve">federal </w:t>
            </w:r>
            <w:r w:rsidR="0083147C" w:rsidRPr="005D0BF9">
              <w:rPr>
                <w:rFonts w:ascii="Arial" w:hAnsi="Arial"/>
                <w:color w:val="000000"/>
                <w:sz w:val="22"/>
                <w:szCs w:val="22"/>
              </w:rPr>
              <w:t>process</w:t>
            </w:r>
            <w:r w:rsidR="00170BD4">
              <w:rPr>
                <w:rFonts w:ascii="Arial" w:hAnsi="Arial"/>
                <w:color w:val="000000"/>
                <w:sz w:val="22"/>
                <w:szCs w:val="22"/>
              </w:rPr>
              <w:t>, invest</w:t>
            </w:r>
            <w:r w:rsidR="00F313FD">
              <w:rPr>
                <w:rFonts w:ascii="Arial" w:hAnsi="Arial"/>
                <w:color w:val="000000"/>
                <w:sz w:val="22"/>
                <w:szCs w:val="22"/>
              </w:rPr>
              <w:t>ment</w:t>
            </w:r>
            <w:r w:rsidR="00170BD4">
              <w:rPr>
                <w:rFonts w:ascii="Arial" w:hAnsi="Arial"/>
                <w:color w:val="000000"/>
                <w:sz w:val="22"/>
                <w:szCs w:val="22"/>
              </w:rPr>
              <w:t xml:space="preserve"> in institutional capacity building</w:t>
            </w:r>
            <w:r w:rsidR="0083147C" w:rsidRPr="005D0BF9">
              <w:rPr>
                <w:rFonts w:ascii="Arial" w:hAnsi="Arial"/>
                <w:color w:val="000000"/>
                <w:sz w:val="22"/>
                <w:szCs w:val="22"/>
              </w:rPr>
              <w:t xml:space="preserve"> </w:t>
            </w:r>
            <w:r w:rsidR="00170BD4">
              <w:rPr>
                <w:rFonts w:ascii="Arial" w:hAnsi="Arial"/>
                <w:color w:val="000000"/>
                <w:sz w:val="22"/>
                <w:szCs w:val="22"/>
              </w:rPr>
              <w:t xml:space="preserve">of </w:t>
            </w:r>
            <w:r w:rsidR="00D330F8">
              <w:rPr>
                <w:rFonts w:ascii="Arial" w:hAnsi="Arial"/>
                <w:color w:val="000000"/>
                <w:sz w:val="22"/>
                <w:szCs w:val="22"/>
              </w:rPr>
              <w:t xml:space="preserve">744 </w:t>
            </w:r>
            <w:proofErr w:type="spellStart"/>
            <w:r w:rsidR="0083147C" w:rsidRPr="0083147C">
              <w:rPr>
                <w:rFonts w:ascii="Arial" w:hAnsi="Arial"/>
                <w:i/>
                <w:color w:val="000000"/>
                <w:sz w:val="22"/>
                <w:szCs w:val="22"/>
              </w:rPr>
              <w:t>palika</w:t>
            </w:r>
            <w:r w:rsidR="0083147C" w:rsidRPr="005D0BF9">
              <w:rPr>
                <w:rFonts w:ascii="Arial" w:hAnsi="Arial"/>
                <w:color w:val="000000"/>
                <w:sz w:val="22"/>
                <w:szCs w:val="22"/>
              </w:rPr>
              <w:t>s</w:t>
            </w:r>
            <w:proofErr w:type="spellEnd"/>
            <w:r w:rsidR="0083147C" w:rsidRPr="005D0BF9">
              <w:rPr>
                <w:rFonts w:ascii="Arial" w:hAnsi="Arial"/>
                <w:color w:val="000000"/>
                <w:sz w:val="22"/>
                <w:szCs w:val="22"/>
              </w:rPr>
              <w:t xml:space="preserve"> </w:t>
            </w:r>
            <w:r w:rsidR="0087675A">
              <w:rPr>
                <w:rFonts w:ascii="Arial" w:hAnsi="Arial"/>
                <w:color w:val="000000"/>
                <w:sz w:val="22"/>
                <w:szCs w:val="22"/>
              </w:rPr>
              <w:t>by training ~1</w:t>
            </w:r>
            <w:r w:rsidR="00F8559E">
              <w:rPr>
                <w:rFonts w:ascii="Arial" w:hAnsi="Arial"/>
                <w:color w:val="000000"/>
                <w:sz w:val="22"/>
                <w:szCs w:val="22"/>
              </w:rPr>
              <w:t>0</w:t>
            </w:r>
            <w:r w:rsidR="0087675A">
              <w:rPr>
                <w:rFonts w:ascii="Arial" w:hAnsi="Arial"/>
                <w:color w:val="000000"/>
                <w:sz w:val="22"/>
                <w:szCs w:val="22"/>
              </w:rPr>
              <w:t>,</w:t>
            </w:r>
            <w:r w:rsidR="0061432B">
              <w:rPr>
                <w:rFonts w:ascii="Arial" w:hAnsi="Arial"/>
                <w:color w:val="000000"/>
                <w:sz w:val="22"/>
                <w:szCs w:val="22"/>
              </w:rPr>
              <w:t>5</w:t>
            </w:r>
            <w:r w:rsidR="00F8559E">
              <w:rPr>
                <w:rFonts w:ascii="Arial" w:hAnsi="Arial"/>
                <w:color w:val="000000"/>
                <w:sz w:val="22"/>
                <w:szCs w:val="22"/>
              </w:rPr>
              <w:t>0</w:t>
            </w:r>
            <w:r w:rsidR="0087675A">
              <w:rPr>
                <w:rFonts w:ascii="Arial" w:hAnsi="Arial"/>
                <w:color w:val="000000"/>
                <w:sz w:val="22"/>
                <w:szCs w:val="22"/>
              </w:rPr>
              <w:t xml:space="preserve">0 members </w:t>
            </w:r>
            <w:r w:rsidR="0061432B">
              <w:rPr>
                <w:rFonts w:ascii="Arial" w:hAnsi="Arial"/>
                <w:color w:val="000000"/>
                <w:sz w:val="22"/>
                <w:szCs w:val="22"/>
              </w:rPr>
              <w:t xml:space="preserve">every </w:t>
            </w:r>
            <w:r w:rsidR="00F313FD">
              <w:rPr>
                <w:rFonts w:ascii="Arial" w:hAnsi="Arial"/>
                <w:color w:val="000000"/>
                <w:sz w:val="22"/>
                <w:szCs w:val="22"/>
              </w:rPr>
              <w:t xml:space="preserve">3 years </w:t>
            </w:r>
            <w:r w:rsidR="00170BD4">
              <w:rPr>
                <w:rFonts w:ascii="Arial" w:hAnsi="Arial"/>
                <w:color w:val="000000"/>
                <w:sz w:val="22"/>
                <w:szCs w:val="22"/>
              </w:rPr>
              <w:t xml:space="preserve">to </w:t>
            </w:r>
            <w:r w:rsidR="0064319B">
              <w:rPr>
                <w:rFonts w:ascii="Arial" w:hAnsi="Arial"/>
                <w:color w:val="000000"/>
                <w:sz w:val="22"/>
                <w:szCs w:val="22"/>
              </w:rPr>
              <w:t xml:space="preserve">ensure </w:t>
            </w:r>
            <w:r w:rsidR="00170BD4">
              <w:rPr>
                <w:rFonts w:ascii="Arial" w:hAnsi="Arial"/>
                <w:color w:val="000000"/>
                <w:sz w:val="22"/>
                <w:szCs w:val="22"/>
              </w:rPr>
              <w:t>political commitment</w:t>
            </w:r>
            <w:r w:rsidR="0064319B">
              <w:rPr>
                <w:rFonts w:ascii="Arial" w:hAnsi="Arial"/>
                <w:color w:val="000000"/>
                <w:sz w:val="22"/>
                <w:szCs w:val="22"/>
              </w:rPr>
              <w:t>, b</w:t>
            </w:r>
            <w:r w:rsidR="00170BD4">
              <w:rPr>
                <w:rFonts w:ascii="Arial" w:hAnsi="Arial"/>
                <w:color w:val="000000"/>
                <w:sz w:val="22"/>
                <w:szCs w:val="22"/>
              </w:rPr>
              <w:t>udget allocation</w:t>
            </w:r>
            <w:r w:rsidR="00F313FD">
              <w:rPr>
                <w:rFonts w:ascii="Arial" w:hAnsi="Arial"/>
                <w:color w:val="000000"/>
                <w:sz w:val="22"/>
                <w:szCs w:val="22"/>
              </w:rPr>
              <w:t xml:space="preserve"> and</w:t>
            </w:r>
            <w:r w:rsidR="00170BD4">
              <w:rPr>
                <w:rFonts w:ascii="Arial" w:hAnsi="Arial"/>
                <w:color w:val="000000"/>
                <w:sz w:val="22"/>
                <w:szCs w:val="22"/>
              </w:rPr>
              <w:t xml:space="preserve"> management </w:t>
            </w:r>
            <w:r w:rsidR="00F313FD">
              <w:rPr>
                <w:rFonts w:ascii="Arial" w:hAnsi="Arial"/>
                <w:color w:val="000000"/>
                <w:sz w:val="22"/>
                <w:szCs w:val="22"/>
              </w:rPr>
              <w:t xml:space="preserve">of community-based health activities. </w:t>
            </w:r>
            <w:r w:rsidR="00170BD4">
              <w:rPr>
                <w:rFonts w:ascii="Arial" w:hAnsi="Arial"/>
                <w:color w:val="000000"/>
                <w:sz w:val="22"/>
                <w:szCs w:val="22"/>
              </w:rPr>
              <w:t xml:space="preserve"> </w:t>
            </w:r>
          </w:p>
        </w:tc>
      </w:tr>
      <w:tr w:rsidR="0083147C" w:rsidRPr="00D57C02" w14:paraId="15662C4E" w14:textId="77777777" w:rsidTr="008379E8">
        <w:trPr>
          <w:trHeight w:val="971"/>
        </w:trPr>
        <w:tc>
          <w:tcPr>
            <w:tcW w:w="1696" w:type="dxa"/>
            <w:vAlign w:val="center"/>
          </w:tcPr>
          <w:p w14:paraId="0F6ED09E" w14:textId="77777777" w:rsidR="008379E8" w:rsidRDefault="0083147C" w:rsidP="008379E8">
            <w:pPr>
              <w:rPr>
                <w:rFonts w:ascii="Arial" w:hAnsi="Arial"/>
                <w:color w:val="000000"/>
                <w:sz w:val="22"/>
                <w:szCs w:val="22"/>
              </w:rPr>
            </w:pPr>
            <w:r w:rsidRPr="005D0BF9">
              <w:rPr>
                <w:rFonts w:ascii="Arial" w:hAnsi="Arial"/>
                <w:color w:val="000000"/>
                <w:sz w:val="22"/>
                <w:szCs w:val="22"/>
              </w:rPr>
              <w:t>RSSH</w:t>
            </w:r>
            <w:r w:rsidR="00170BD4">
              <w:rPr>
                <w:rFonts w:ascii="Arial" w:hAnsi="Arial"/>
                <w:color w:val="000000"/>
                <w:sz w:val="22"/>
                <w:szCs w:val="22"/>
              </w:rPr>
              <w:t>:</w:t>
            </w:r>
            <w:r w:rsidR="00E55BED">
              <w:rPr>
                <w:rFonts w:ascii="Arial" w:hAnsi="Arial"/>
                <w:color w:val="000000"/>
                <w:sz w:val="22"/>
                <w:szCs w:val="22"/>
              </w:rPr>
              <w:t xml:space="preserve"> Community responses and systems</w:t>
            </w:r>
          </w:p>
          <w:p w14:paraId="6D7A9893" w14:textId="2F81538B" w:rsidR="008379E8" w:rsidRPr="005D0BF9" w:rsidRDefault="008379E8" w:rsidP="008379E8">
            <w:pPr>
              <w:rPr>
                <w:rFonts w:ascii="Arial" w:hAnsi="Arial"/>
                <w:color w:val="000000"/>
                <w:sz w:val="22"/>
                <w:szCs w:val="22"/>
              </w:rPr>
            </w:pPr>
          </w:p>
        </w:tc>
        <w:tc>
          <w:tcPr>
            <w:tcW w:w="1985" w:type="dxa"/>
          </w:tcPr>
          <w:p w14:paraId="133C2BE7" w14:textId="2DEE6A5D" w:rsidR="0083147C" w:rsidRPr="005D0BF9" w:rsidRDefault="0083147C" w:rsidP="00287617">
            <w:pPr>
              <w:rPr>
                <w:rFonts w:ascii="Arial" w:hAnsi="Arial"/>
                <w:sz w:val="22"/>
                <w:szCs w:val="22"/>
                <w:lang w:val="en-US"/>
              </w:rPr>
            </w:pPr>
            <w:r w:rsidRPr="005D0BF9">
              <w:rPr>
                <w:rFonts w:ascii="Arial" w:hAnsi="Arial"/>
                <w:color w:val="000000"/>
                <w:sz w:val="22"/>
                <w:szCs w:val="22"/>
              </w:rPr>
              <w:t>Conduct Patient Satisfaction Surveys periodically</w:t>
            </w:r>
          </w:p>
        </w:tc>
        <w:tc>
          <w:tcPr>
            <w:tcW w:w="1534" w:type="dxa"/>
            <w:vAlign w:val="center"/>
          </w:tcPr>
          <w:p w14:paraId="066CF0FF" w14:textId="722B0402" w:rsidR="004B2E37" w:rsidRPr="005D0BF9" w:rsidRDefault="0083147C" w:rsidP="00093CB0">
            <w:pPr>
              <w:jc w:val="right"/>
              <w:rPr>
                <w:rFonts w:ascii="Arial" w:hAnsi="Arial"/>
                <w:sz w:val="22"/>
                <w:szCs w:val="22"/>
                <w:lang w:val="en-US"/>
              </w:rPr>
            </w:pPr>
            <w:r w:rsidRPr="005D0BF9">
              <w:rPr>
                <w:rFonts w:ascii="Arial" w:hAnsi="Arial"/>
                <w:sz w:val="22"/>
                <w:szCs w:val="22"/>
                <w:lang w:val="en-US"/>
              </w:rPr>
              <w:t>60,000.00</w:t>
            </w:r>
          </w:p>
        </w:tc>
        <w:tc>
          <w:tcPr>
            <w:tcW w:w="3994" w:type="dxa"/>
            <w:vAlign w:val="center"/>
          </w:tcPr>
          <w:p w14:paraId="24A76019" w14:textId="77777777" w:rsidR="008379E8" w:rsidRDefault="00E55BED" w:rsidP="008379E8">
            <w:pPr>
              <w:rPr>
                <w:rFonts w:ascii="Arial" w:hAnsi="Arial"/>
                <w:color w:val="000000"/>
                <w:sz w:val="22"/>
                <w:szCs w:val="22"/>
              </w:rPr>
            </w:pPr>
            <w:r>
              <w:rPr>
                <w:rFonts w:ascii="Arial" w:hAnsi="Arial"/>
                <w:color w:val="000000"/>
                <w:sz w:val="22"/>
                <w:szCs w:val="22"/>
              </w:rPr>
              <w:t>Under community-based m</w:t>
            </w:r>
            <w:r w:rsidR="0083147C" w:rsidRPr="005D0BF9">
              <w:rPr>
                <w:rFonts w:ascii="Arial" w:hAnsi="Arial"/>
                <w:color w:val="000000"/>
                <w:sz w:val="22"/>
                <w:szCs w:val="22"/>
              </w:rPr>
              <w:t xml:space="preserve">onitoring by HFOMC </w:t>
            </w:r>
            <w:r w:rsidR="00871223">
              <w:rPr>
                <w:rFonts w:ascii="Arial" w:hAnsi="Arial"/>
                <w:color w:val="000000"/>
                <w:sz w:val="22"/>
                <w:szCs w:val="22"/>
              </w:rPr>
              <w:t xml:space="preserve">to assess </w:t>
            </w:r>
            <w:r w:rsidR="0083147C" w:rsidRPr="005D0BF9">
              <w:rPr>
                <w:rFonts w:ascii="Arial" w:hAnsi="Arial"/>
                <w:color w:val="000000"/>
                <w:sz w:val="22"/>
                <w:szCs w:val="22"/>
              </w:rPr>
              <w:t>stigma</w:t>
            </w:r>
            <w:r w:rsidR="00772922">
              <w:rPr>
                <w:rFonts w:ascii="Arial" w:hAnsi="Arial"/>
                <w:color w:val="000000"/>
                <w:sz w:val="22"/>
                <w:szCs w:val="22"/>
              </w:rPr>
              <w:t>,</w:t>
            </w:r>
            <w:r w:rsidR="0083147C" w:rsidRPr="005D0BF9">
              <w:rPr>
                <w:rFonts w:ascii="Arial" w:hAnsi="Arial"/>
                <w:color w:val="000000"/>
                <w:sz w:val="22"/>
                <w:szCs w:val="22"/>
              </w:rPr>
              <w:t xml:space="preserve"> discrimination </w:t>
            </w:r>
            <w:r w:rsidR="004B2E37">
              <w:rPr>
                <w:rFonts w:ascii="Arial" w:hAnsi="Arial"/>
                <w:color w:val="000000"/>
                <w:sz w:val="22"/>
                <w:szCs w:val="22"/>
              </w:rPr>
              <w:t xml:space="preserve">and </w:t>
            </w:r>
            <w:r w:rsidR="004B2E37" w:rsidRPr="005D0BF9">
              <w:rPr>
                <w:rFonts w:ascii="Arial" w:hAnsi="Arial"/>
                <w:color w:val="000000"/>
                <w:sz w:val="22"/>
                <w:szCs w:val="22"/>
              </w:rPr>
              <w:t xml:space="preserve">staff attitude toward patients </w:t>
            </w:r>
            <w:r w:rsidR="0083147C" w:rsidRPr="005D0BF9">
              <w:rPr>
                <w:rFonts w:ascii="Arial" w:hAnsi="Arial"/>
                <w:color w:val="000000"/>
                <w:sz w:val="22"/>
                <w:szCs w:val="22"/>
              </w:rPr>
              <w:t xml:space="preserve">at </w:t>
            </w:r>
            <w:r w:rsidR="00D7565D">
              <w:rPr>
                <w:rFonts w:ascii="Arial" w:hAnsi="Arial"/>
                <w:color w:val="000000"/>
                <w:sz w:val="22"/>
                <w:szCs w:val="22"/>
              </w:rPr>
              <w:t xml:space="preserve">selected </w:t>
            </w:r>
            <w:r w:rsidR="0083147C" w:rsidRPr="005D0BF9">
              <w:rPr>
                <w:rFonts w:ascii="Arial" w:hAnsi="Arial"/>
                <w:color w:val="000000"/>
                <w:sz w:val="22"/>
                <w:szCs w:val="22"/>
              </w:rPr>
              <w:t>health facilities</w:t>
            </w:r>
            <w:r w:rsidR="004B2E37">
              <w:rPr>
                <w:rFonts w:ascii="Arial" w:hAnsi="Arial"/>
                <w:color w:val="000000"/>
                <w:sz w:val="22"/>
                <w:szCs w:val="22"/>
              </w:rPr>
              <w:t>.</w:t>
            </w:r>
          </w:p>
          <w:p w14:paraId="1C662355" w14:textId="5DC9E01B" w:rsidR="008379E8" w:rsidRPr="005D0BF9" w:rsidRDefault="008379E8" w:rsidP="008379E8">
            <w:pPr>
              <w:rPr>
                <w:rFonts w:ascii="Arial" w:hAnsi="Arial"/>
                <w:color w:val="000000"/>
                <w:sz w:val="22"/>
                <w:szCs w:val="22"/>
              </w:rPr>
            </w:pPr>
          </w:p>
        </w:tc>
      </w:tr>
      <w:tr w:rsidR="0083147C" w:rsidRPr="00D57C02" w14:paraId="678CE75A" w14:textId="77777777" w:rsidTr="00BA5BF5">
        <w:trPr>
          <w:trHeight w:val="410"/>
        </w:trPr>
        <w:tc>
          <w:tcPr>
            <w:tcW w:w="3681" w:type="dxa"/>
            <w:gridSpan w:val="2"/>
            <w:shd w:val="clear" w:color="auto" w:fill="D9D9D9" w:themeFill="background1" w:themeFillShade="D9"/>
            <w:vAlign w:val="center"/>
          </w:tcPr>
          <w:p w14:paraId="21C55FE4" w14:textId="0C698776" w:rsidR="0083147C" w:rsidRPr="005D0BF9" w:rsidRDefault="0083147C" w:rsidP="0083147C">
            <w:pPr>
              <w:jc w:val="center"/>
              <w:rPr>
                <w:rFonts w:ascii="Arial" w:hAnsi="Arial"/>
                <w:bCs/>
                <w:sz w:val="22"/>
                <w:szCs w:val="22"/>
                <w:lang w:val="en-US"/>
              </w:rPr>
            </w:pPr>
            <w:r w:rsidRPr="005D0BF9">
              <w:rPr>
                <w:rFonts w:ascii="Arial" w:hAnsi="Arial"/>
                <w:b/>
                <w:bCs/>
                <w:sz w:val="22"/>
                <w:szCs w:val="22"/>
                <w:lang w:val="en-US" w:eastAsia="en-US"/>
              </w:rPr>
              <w:t>TOTAL AMOUNT</w:t>
            </w:r>
            <w:r w:rsidR="00E13457">
              <w:rPr>
                <w:rFonts w:ascii="Arial" w:hAnsi="Arial"/>
                <w:b/>
                <w:bCs/>
                <w:sz w:val="22"/>
                <w:szCs w:val="22"/>
                <w:lang w:val="en-US" w:eastAsia="en-US"/>
              </w:rPr>
              <w:t xml:space="preserve"> in USD</w:t>
            </w:r>
          </w:p>
        </w:tc>
        <w:tc>
          <w:tcPr>
            <w:tcW w:w="1534" w:type="dxa"/>
            <w:vAlign w:val="center"/>
          </w:tcPr>
          <w:p w14:paraId="2BFC66A0" w14:textId="0B41AE29" w:rsidR="0083147C" w:rsidRPr="005D0BF9" w:rsidRDefault="00203CBF" w:rsidP="0083147C">
            <w:pPr>
              <w:rPr>
                <w:rFonts w:ascii="Arial" w:hAnsi="Arial"/>
                <w:b/>
                <w:sz w:val="22"/>
                <w:szCs w:val="22"/>
                <w:lang w:val="en-US"/>
              </w:rPr>
            </w:pPr>
            <w:r>
              <w:rPr>
                <w:rFonts w:ascii="Arial" w:hAnsi="Arial"/>
                <w:b/>
                <w:sz w:val="22"/>
                <w:szCs w:val="22"/>
                <w:lang w:val="en-US"/>
              </w:rPr>
              <w:t>8,</w:t>
            </w:r>
            <w:r w:rsidR="0050315F">
              <w:rPr>
                <w:rFonts w:ascii="Arial" w:hAnsi="Arial"/>
                <w:b/>
                <w:sz w:val="22"/>
                <w:szCs w:val="22"/>
                <w:lang w:val="en-US"/>
              </w:rPr>
              <w:t>721</w:t>
            </w:r>
            <w:r>
              <w:rPr>
                <w:rFonts w:ascii="Arial" w:hAnsi="Arial"/>
                <w:b/>
                <w:sz w:val="22"/>
                <w:szCs w:val="22"/>
                <w:lang w:val="en-US"/>
              </w:rPr>
              <w:t>,</w:t>
            </w:r>
            <w:r w:rsidR="0050315F">
              <w:rPr>
                <w:rFonts w:ascii="Arial" w:hAnsi="Arial"/>
                <w:b/>
                <w:sz w:val="22"/>
                <w:szCs w:val="22"/>
                <w:lang w:val="en-US"/>
              </w:rPr>
              <w:t>7</w:t>
            </w:r>
            <w:r>
              <w:rPr>
                <w:rFonts w:ascii="Arial" w:hAnsi="Arial"/>
                <w:b/>
                <w:sz w:val="22"/>
                <w:szCs w:val="22"/>
                <w:lang w:val="en-US"/>
              </w:rPr>
              <w:t>37</w:t>
            </w:r>
            <w:r w:rsidR="0050315F">
              <w:rPr>
                <w:rFonts w:ascii="Arial" w:hAnsi="Arial"/>
                <w:b/>
                <w:sz w:val="22"/>
                <w:szCs w:val="22"/>
                <w:lang w:val="en-US"/>
              </w:rPr>
              <w:t>.09</w:t>
            </w:r>
          </w:p>
        </w:tc>
        <w:tc>
          <w:tcPr>
            <w:tcW w:w="3994" w:type="dxa"/>
            <w:vAlign w:val="center"/>
          </w:tcPr>
          <w:p w14:paraId="0CF9D5D4" w14:textId="77777777" w:rsidR="0083147C" w:rsidRPr="005D0BF9" w:rsidRDefault="0083147C" w:rsidP="0083147C">
            <w:pPr>
              <w:rPr>
                <w:rFonts w:ascii="Arial" w:hAnsi="Arial"/>
                <w:sz w:val="22"/>
                <w:szCs w:val="22"/>
                <w:lang w:val="en-US"/>
              </w:rPr>
            </w:pPr>
          </w:p>
        </w:tc>
      </w:tr>
    </w:tbl>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9209"/>
      </w:tblGrid>
      <w:tr w:rsidR="00E123FA" w:rsidRPr="00D57C02" w14:paraId="2FCF6CB9" w14:textId="77777777" w:rsidTr="00EF204E">
        <w:trPr>
          <w:trHeight w:val="557"/>
        </w:trPr>
        <w:tc>
          <w:tcPr>
            <w:tcW w:w="9209" w:type="dxa"/>
            <w:shd w:val="clear" w:color="auto" w:fill="BDD6EE" w:themeFill="accent1" w:themeFillTint="66"/>
            <w:tcMar>
              <w:top w:w="0" w:type="dxa"/>
              <w:left w:w="108" w:type="dxa"/>
              <w:bottom w:w="0" w:type="dxa"/>
              <w:right w:w="108" w:type="dxa"/>
            </w:tcMar>
            <w:vAlign w:val="center"/>
            <w:hideMark/>
          </w:tcPr>
          <w:p w14:paraId="0BB4BD50" w14:textId="77777777" w:rsidR="00E123FA" w:rsidRPr="00D57C02" w:rsidRDefault="00E123FA" w:rsidP="00E123FA">
            <w:pPr>
              <w:spacing w:after="0" w:line="380" w:lineRule="exact"/>
              <w:rPr>
                <w:rFonts w:ascii="Arial" w:eastAsia="Cambria" w:hAnsi="Arial" w:cs="Arial"/>
                <w:b/>
                <w:sz w:val="20"/>
                <w:szCs w:val="20"/>
                <w:lang w:eastAsia="fr-FR"/>
              </w:rPr>
            </w:pPr>
            <w:r w:rsidRPr="00D57C02">
              <w:rPr>
                <w:rFonts w:ascii="Arial" w:hAnsi="Arial"/>
                <w:b/>
                <w:bCs/>
                <w:sz w:val="20"/>
                <w:szCs w:val="20"/>
                <w:lang w:val="en-US"/>
              </w:rPr>
              <w:t>Relevant Additional Information</w:t>
            </w:r>
            <w:r w:rsidRPr="00D57C02">
              <w:rPr>
                <w:rFonts w:ascii="Arial" w:hAnsi="Arial"/>
                <w:b/>
                <w:sz w:val="20"/>
                <w:szCs w:val="20"/>
                <w:lang w:val="en-US"/>
              </w:rPr>
              <w:t xml:space="preserve"> (optional)</w:t>
            </w:r>
          </w:p>
        </w:tc>
      </w:tr>
      <w:tr w:rsidR="00E123FA" w:rsidRPr="00D57C02" w14:paraId="3B1CA03C" w14:textId="77777777" w:rsidTr="00EF204E">
        <w:trPr>
          <w:trHeight w:val="1119"/>
        </w:trPr>
        <w:tc>
          <w:tcPr>
            <w:tcW w:w="9209" w:type="dxa"/>
            <w:shd w:val="clear" w:color="auto" w:fill="F2F2F2" w:themeFill="background1" w:themeFillShade="F2"/>
            <w:tcMar>
              <w:top w:w="0" w:type="dxa"/>
              <w:left w:w="108" w:type="dxa"/>
              <w:bottom w:w="0" w:type="dxa"/>
              <w:right w:w="108" w:type="dxa"/>
            </w:tcMar>
            <w:vAlign w:val="center"/>
          </w:tcPr>
          <w:p w14:paraId="438AB3B3" w14:textId="77777777" w:rsidR="00E123FA" w:rsidRPr="00D57C02" w:rsidRDefault="00E123FA" w:rsidP="00E123FA">
            <w:pPr>
              <w:spacing w:after="0" w:line="240" w:lineRule="auto"/>
              <w:jc w:val="both"/>
              <w:rPr>
                <w:rFonts w:ascii="Arial" w:hAnsi="Arial"/>
                <w:bCs/>
                <w:sz w:val="20"/>
                <w:szCs w:val="20"/>
                <w:lang w:val="en-US"/>
              </w:rPr>
            </w:pPr>
            <w:r w:rsidRPr="00D57C02">
              <w:rPr>
                <w:rFonts w:ascii="Arial" w:hAnsi="Arial"/>
                <w:bCs/>
                <w:sz w:val="20"/>
                <w:szCs w:val="20"/>
                <w:lang w:val="en-US"/>
              </w:rPr>
              <w:t>Provide any additional contextual information relevant to the prioritized above allocation request (e.g. any explanations that further clarify linkages to the allocation funding; any considerations or data that informed the request or updates of the request; etc.)</w:t>
            </w:r>
          </w:p>
        </w:tc>
      </w:tr>
    </w:tbl>
    <w:p w14:paraId="4B033134" w14:textId="09944643" w:rsidR="00467D33" w:rsidRPr="00D57C02" w:rsidRDefault="00467D33" w:rsidP="00467D33">
      <w:pPr>
        <w:jc w:val="center"/>
        <w:rPr>
          <w:rFonts w:ascii="Arial" w:hAnsi="Arial" w:cs="Arial"/>
          <w:b/>
        </w:rPr>
      </w:pPr>
      <w:r w:rsidRPr="00D57C02">
        <w:rPr>
          <w:rFonts w:ascii="Arial" w:hAnsi="Arial" w:cs="Arial"/>
          <w:b/>
        </w:rPr>
        <w:lastRenderedPageBreak/>
        <w:t>References</w:t>
      </w:r>
    </w:p>
    <w:sectPr w:rsidR="00467D33" w:rsidRPr="00D57C02" w:rsidSect="009E6D9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6222" w14:textId="77777777" w:rsidR="00EB1D26" w:rsidRDefault="00EB1D26" w:rsidP="00042DCA">
      <w:pPr>
        <w:spacing w:after="0" w:line="240" w:lineRule="auto"/>
      </w:pPr>
      <w:r>
        <w:separator/>
      </w:r>
    </w:p>
  </w:endnote>
  <w:endnote w:type="continuationSeparator" w:id="0">
    <w:p w14:paraId="4438DE28" w14:textId="77777777" w:rsidR="00EB1D26" w:rsidRDefault="00EB1D26" w:rsidP="00042DCA">
      <w:pPr>
        <w:spacing w:after="0" w:line="240" w:lineRule="auto"/>
      </w:pPr>
      <w:r>
        <w:continuationSeparator/>
      </w:r>
    </w:p>
  </w:endnote>
  <w:endnote w:type="continuationNotice" w:id="1">
    <w:p w14:paraId="6D787E32" w14:textId="77777777" w:rsidR="00EB1D26" w:rsidRDefault="00EB1D26">
      <w:pPr>
        <w:spacing w:after="0" w:line="240" w:lineRule="auto"/>
      </w:pPr>
    </w:p>
  </w:endnote>
  <w:endnote w:id="2">
    <w:p w14:paraId="32551348" w14:textId="7137A207" w:rsidR="00BB67AB" w:rsidRPr="003C279A" w:rsidRDefault="00BB67AB" w:rsidP="003C279A">
      <w:pPr>
        <w:spacing w:after="0" w:line="240" w:lineRule="auto"/>
        <w:rPr>
          <w:lang w:val="en-US"/>
        </w:rPr>
      </w:pPr>
      <w:r>
        <w:rPr>
          <w:rStyle w:val="EndnoteReference"/>
        </w:rPr>
        <w:endnoteRef/>
      </w:r>
      <w:r>
        <w:t xml:space="preserve"> </w:t>
      </w:r>
      <w:r w:rsidRPr="007B1801">
        <w:rPr>
          <w:rFonts w:ascii="Arial" w:hAnsi="Arial" w:cs="Arial"/>
          <w:sz w:val="18"/>
          <w:szCs w:val="18"/>
        </w:rPr>
        <w:t xml:space="preserve">National Population and Housing Census 2011 (Population Projection 2011 – 2031): </w:t>
      </w:r>
      <w:hyperlink r:id="rId1" w:history="1">
        <w:r w:rsidRPr="007B1801">
          <w:rPr>
            <w:rStyle w:val="Hyperlink"/>
            <w:rFonts w:ascii="Arial" w:hAnsi="Arial" w:cs="Arial"/>
            <w:sz w:val="18"/>
            <w:szCs w:val="18"/>
          </w:rPr>
          <w:t>http://cbs.gov.np/image/data/Population/Population%20projection%202011-2031/PopulationProjection2011-2031.pdf</w:t>
        </w:r>
      </w:hyperlink>
    </w:p>
  </w:endnote>
  <w:endnote w:id="3">
    <w:p w14:paraId="28E09D91" w14:textId="4B313A6A" w:rsidR="00BB67AB" w:rsidRPr="008B3D87" w:rsidRDefault="00BB67AB" w:rsidP="003C279A">
      <w:pPr>
        <w:pStyle w:val="EndnoteText"/>
        <w:rPr>
          <w:rFonts w:ascii="Arial" w:hAnsi="Arial" w:cs="Arial"/>
          <w:sz w:val="18"/>
          <w:szCs w:val="18"/>
          <w:lang w:val="en-US"/>
        </w:rPr>
      </w:pPr>
      <w:r w:rsidRPr="008B3D87">
        <w:rPr>
          <w:rStyle w:val="EndnoteReference"/>
          <w:rFonts w:ascii="Arial" w:hAnsi="Arial" w:cs="Arial"/>
          <w:sz w:val="18"/>
          <w:szCs w:val="18"/>
        </w:rPr>
        <w:endnoteRef/>
      </w:r>
      <w:r w:rsidRPr="008B3D87">
        <w:rPr>
          <w:rFonts w:ascii="Arial" w:hAnsi="Arial" w:cs="Arial"/>
          <w:sz w:val="18"/>
          <w:szCs w:val="18"/>
        </w:rPr>
        <w:t xml:space="preserve"> Asian Development Bank- Nepal Economy: </w:t>
      </w:r>
      <w:hyperlink r:id="rId2" w:history="1">
        <w:r w:rsidRPr="008B3D87">
          <w:rPr>
            <w:rStyle w:val="Hyperlink"/>
            <w:rFonts w:ascii="Arial" w:hAnsi="Arial" w:cs="Arial"/>
            <w:sz w:val="18"/>
            <w:szCs w:val="18"/>
          </w:rPr>
          <w:t>https://www.adb.org/countries/nepal/economy</w:t>
        </w:r>
      </w:hyperlink>
    </w:p>
  </w:endnote>
  <w:endnote w:id="4">
    <w:p w14:paraId="71E35433" w14:textId="49B34A01" w:rsidR="00BB67AB" w:rsidRPr="008B3D87" w:rsidRDefault="00BB67AB" w:rsidP="00AE77DF">
      <w:pPr>
        <w:pStyle w:val="EndnoteText"/>
        <w:rPr>
          <w:rFonts w:ascii="Arial" w:hAnsi="Arial" w:cs="Arial"/>
          <w:sz w:val="18"/>
          <w:szCs w:val="18"/>
          <w:lang w:val="en-US"/>
        </w:rPr>
      </w:pPr>
      <w:r w:rsidRPr="008B3D87">
        <w:rPr>
          <w:rStyle w:val="EndnoteReference"/>
          <w:rFonts w:ascii="Arial" w:hAnsi="Arial" w:cs="Arial"/>
          <w:sz w:val="18"/>
          <w:szCs w:val="18"/>
        </w:rPr>
        <w:endnoteRef/>
      </w:r>
      <w:r w:rsidRPr="008B3D87">
        <w:rPr>
          <w:rFonts w:ascii="Arial" w:hAnsi="Arial" w:cs="Arial"/>
          <w:sz w:val="18"/>
          <w:szCs w:val="18"/>
        </w:rPr>
        <w:t xml:space="preserve"> </w:t>
      </w:r>
      <w:r w:rsidRPr="008B3D87">
        <w:rPr>
          <w:rFonts w:ascii="Arial" w:hAnsi="Arial" w:cs="Arial"/>
          <w:sz w:val="18"/>
          <w:szCs w:val="18"/>
          <w:lang w:val="en-US"/>
        </w:rPr>
        <w:t>World Bank in Nepal:</w:t>
      </w:r>
      <w:r w:rsidRPr="008B3D87">
        <w:rPr>
          <w:rFonts w:ascii="Arial" w:hAnsi="Arial" w:cs="Arial"/>
          <w:sz w:val="18"/>
          <w:szCs w:val="18"/>
        </w:rPr>
        <w:t xml:space="preserve"> </w:t>
      </w:r>
      <w:hyperlink r:id="rId3" w:history="1">
        <w:r w:rsidRPr="008B3D87">
          <w:rPr>
            <w:rStyle w:val="Hyperlink"/>
            <w:rFonts w:ascii="Arial" w:hAnsi="Arial" w:cs="Arial"/>
            <w:sz w:val="18"/>
            <w:szCs w:val="18"/>
          </w:rPr>
          <w:t>http://www.worldbank.org/en/country/nepal</w:t>
        </w:r>
      </w:hyperlink>
      <w:r w:rsidRPr="008B3D87">
        <w:rPr>
          <w:rFonts w:ascii="Arial" w:hAnsi="Arial" w:cs="Arial"/>
          <w:sz w:val="18"/>
          <w:szCs w:val="18"/>
          <w:lang w:val="en-US"/>
        </w:rPr>
        <w:t xml:space="preserve"> </w:t>
      </w:r>
    </w:p>
  </w:endnote>
  <w:endnote w:id="5">
    <w:p w14:paraId="0867964D" w14:textId="77777777" w:rsidR="00BB67AB" w:rsidRPr="00894304" w:rsidRDefault="00BB67AB" w:rsidP="000B25D7">
      <w:pPr>
        <w:pStyle w:val="EndnoteText"/>
        <w:rPr>
          <w:lang w:val="en-US"/>
        </w:rPr>
      </w:pPr>
      <w:r>
        <w:rPr>
          <w:rStyle w:val="EndnoteReference"/>
        </w:rPr>
        <w:endnoteRef/>
      </w:r>
      <w:r>
        <w:t xml:space="preserve"> </w:t>
      </w:r>
      <w:r w:rsidRPr="003F45BE">
        <w:rPr>
          <w:rFonts w:ascii="Arial" w:hAnsi="Arial" w:cs="Arial"/>
          <w:sz w:val="18"/>
          <w:szCs w:val="18"/>
        </w:rPr>
        <w:t xml:space="preserve">World </w:t>
      </w:r>
      <w:r>
        <w:rPr>
          <w:rFonts w:ascii="Arial" w:hAnsi="Arial" w:cs="Arial"/>
          <w:sz w:val="18"/>
          <w:szCs w:val="18"/>
        </w:rPr>
        <w:t>B</w:t>
      </w:r>
      <w:r w:rsidRPr="003F45BE">
        <w:rPr>
          <w:rFonts w:ascii="Arial" w:hAnsi="Arial" w:cs="Arial"/>
          <w:sz w:val="18"/>
          <w:szCs w:val="18"/>
        </w:rPr>
        <w:t xml:space="preserve">ank </w:t>
      </w:r>
      <w:hyperlink r:id="rId4" w:history="1">
        <w:r w:rsidRPr="008C59D2">
          <w:rPr>
            <w:rStyle w:val="Hyperlink"/>
            <w:rFonts w:ascii="Arial" w:hAnsi="Arial" w:cs="Arial"/>
            <w:sz w:val="18"/>
            <w:szCs w:val="18"/>
          </w:rPr>
          <w:t>http://beta.data.worldbank.org</w:t>
        </w:r>
      </w:hyperlink>
    </w:p>
  </w:endnote>
  <w:endnote w:id="6">
    <w:p w14:paraId="53D20BDC" w14:textId="0F852AB5" w:rsidR="00BB67AB" w:rsidRPr="008B3D87" w:rsidRDefault="00BB67AB" w:rsidP="00AE77DF">
      <w:pPr>
        <w:pStyle w:val="EndnoteText"/>
        <w:rPr>
          <w:rFonts w:ascii="Arial" w:hAnsi="Arial" w:cs="Arial"/>
          <w:sz w:val="18"/>
          <w:szCs w:val="18"/>
          <w:lang w:val="en-US"/>
        </w:rPr>
      </w:pPr>
      <w:r w:rsidRPr="008B3D87">
        <w:rPr>
          <w:rStyle w:val="EndnoteReference"/>
          <w:rFonts w:ascii="Arial" w:hAnsi="Arial" w:cs="Arial"/>
          <w:sz w:val="18"/>
          <w:szCs w:val="18"/>
        </w:rPr>
        <w:endnoteRef/>
      </w:r>
      <w:r w:rsidRPr="008B3D87">
        <w:rPr>
          <w:rFonts w:ascii="Arial" w:hAnsi="Arial" w:cs="Arial"/>
          <w:sz w:val="18"/>
          <w:szCs w:val="18"/>
        </w:rPr>
        <w:t xml:space="preserve"> </w:t>
      </w:r>
      <w:r>
        <w:rPr>
          <w:rFonts w:ascii="Arial" w:hAnsi="Arial" w:cs="Arial"/>
          <w:sz w:val="18"/>
          <w:szCs w:val="18"/>
        </w:rPr>
        <w:t>HDR,</w:t>
      </w:r>
      <w:r w:rsidRPr="008B3D87">
        <w:rPr>
          <w:rFonts w:ascii="Arial" w:hAnsi="Arial" w:cs="Arial"/>
          <w:sz w:val="18"/>
          <w:szCs w:val="18"/>
        </w:rPr>
        <w:t xml:space="preserve"> 2016, </w:t>
      </w:r>
      <w:r>
        <w:rPr>
          <w:rFonts w:ascii="Arial" w:hAnsi="Arial" w:cs="Arial"/>
          <w:sz w:val="18"/>
          <w:szCs w:val="18"/>
        </w:rPr>
        <w:t xml:space="preserve">UNDP, </w:t>
      </w:r>
      <w:r w:rsidRPr="008B3D87">
        <w:rPr>
          <w:rFonts w:ascii="Arial" w:hAnsi="Arial" w:cs="Arial"/>
          <w:sz w:val="18"/>
          <w:szCs w:val="18"/>
        </w:rPr>
        <w:t xml:space="preserve">page 208: </w:t>
      </w:r>
      <w:hyperlink r:id="rId5" w:history="1">
        <w:r w:rsidRPr="004456BC">
          <w:rPr>
            <w:rStyle w:val="Hyperlink"/>
            <w:rFonts w:ascii="Arial" w:hAnsi="Arial" w:cs="Arial"/>
            <w:sz w:val="18"/>
            <w:szCs w:val="18"/>
            <w:lang w:val="en-US"/>
          </w:rPr>
          <w:t>http://hdr.undp.org/sites/default/files/2016_human_development_report.pdf</w:t>
        </w:r>
      </w:hyperlink>
    </w:p>
  </w:endnote>
  <w:endnote w:id="7">
    <w:p w14:paraId="4D15E918" w14:textId="07A09E36" w:rsidR="00BB67AB" w:rsidRPr="00274301" w:rsidRDefault="00BB67AB" w:rsidP="00AE77DF">
      <w:pPr>
        <w:tabs>
          <w:tab w:val="left" w:pos="338"/>
        </w:tabs>
        <w:spacing w:after="0" w:line="240" w:lineRule="auto"/>
        <w:contextualSpacing/>
        <w:rPr>
          <w:lang w:val="en-US"/>
        </w:rPr>
      </w:pPr>
      <w:r>
        <w:rPr>
          <w:rStyle w:val="EndnoteReference"/>
        </w:rPr>
        <w:endnoteRef/>
      </w:r>
      <w:r>
        <w:t xml:space="preserve"> </w:t>
      </w:r>
      <w:r w:rsidRPr="002B7A4E">
        <w:rPr>
          <w:rFonts w:ascii="Arial" w:hAnsi="Arial" w:cs="Arial"/>
          <w:sz w:val="18"/>
          <w:szCs w:val="18"/>
        </w:rPr>
        <w:t xml:space="preserve">WHO Global TB Report, Country Profile, 2016 Data: </w:t>
      </w:r>
      <w:hyperlink r:id="rId6" w:history="1">
        <w:r w:rsidRPr="002B7A4E">
          <w:rPr>
            <w:rStyle w:val="Hyperlink"/>
            <w:rFonts w:ascii="Arial" w:hAnsi="Arial" w:cs="Arial"/>
            <w:sz w:val="18"/>
            <w:szCs w:val="18"/>
          </w:rPr>
          <w:t>www.who.int/tb/data</w:t>
        </w:r>
      </w:hyperlink>
    </w:p>
  </w:endnote>
  <w:endnote w:id="8">
    <w:p w14:paraId="58A7FF52" w14:textId="43F75ABE" w:rsidR="00BB67AB" w:rsidRPr="002A7F77" w:rsidRDefault="00BB67AB">
      <w:pPr>
        <w:pStyle w:val="EndnoteText"/>
        <w:rPr>
          <w:rFonts w:ascii="Arial" w:hAnsi="Arial" w:cs="Arial"/>
          <w:sz w:val="18"/>
          <w:szCs w:val="18"/>
        </w:rPr>
      </w:pPr>
      <w:r>
        <w:rPr>
          <w:rStyle w:val="EndnoteReference"/>
        </w:rPr>
        <w:endnoteRef/>
      </w:r>
      <w:r w:rsidRPr="002A7F77">
        <w:rPr>
          <w:rFonts w:ascii="Arial" w:hAnsi="Arial" w:cs="Arial"/>
          <w:sz w:val="18"/>
          <w:szCs w:val="18"/>
        </w:rPr>
        <w:t>Annual NTP Report</w:t>
      </w:r>
      <w:r>
        <w:t xml:space="preserve"> </w:t>
      </w:r>
      <w:hyperlink r:id="rId7" w:history="1">
        <w:r w:rsidRPr="008875D9">
          <w:rPr>
            <w:rStyle w:val="Hyperlink"/>
            <w:rFonts w:ascii="Helvetica" w:hAnsi="Helvetica" w:cs="Helvetica"/>
            <w:shd w:val="clear" w:color="auto" w:fill="FFFFFF"/>
          </w:rPr>
          <w:t>http://nepalntp.gov.np/theme/images/uploads/</w:t>
        </w:r>
        <w:r w:rsidRPr="008875D9">
          <w:rPr>
            <w:rStyle w:val="Hyperlink"/>
            <w:rFonts w:ascii="Arial" w:hAnsi="Arial" w:cs="Arial"/>
            <w:sz w:val="18"/>
            <w:szCs w:val="18"/>
          </w:rPr>
          <w:t>1463382367NNUAL_REPORT_2015.pdf</w:t>
        </w:r>
      </w:hyperlink>
    </w:p>
  </w:endnote>
  <w:endnote w:id="9">
    <w:p w14:paraId="3E1463B2" w14:textId="77777777" w:rsidR="00BB67AB" w:rsidRPr="00E65751" w:rsidRDefault="00BB67AB" w:rsidP="00ED5E2D">
      <w:pPr>
        <w:pStyle w:val="EndnoteText"/>
        <w:rPr>
          <w:rFonts w:ascii="Arial" w:hAnsi="Arial" w:cs="Arial"/>
          <w:sz w:val="18"/>
          <w:szCs w:val="18"/>
          <w:lang w:val="en-US"/>
        </w:rPr>
      </w:pPr>
      <w:r>
        <w:rPr>
          <w:rStyle w:val="EndnoteReference"/>
        </w:rPr>
        <w:endnoteRef/>
      </w:r>
      <w:r>
        <w:t xml:space="preserve"> </w:t>
      </w:r>
      <w:r>
        <w:rPr>
          <w:rFonts w:ascii="Arial" w:hAnsi="Arial" w:cs="Arial"/>
          <w:sz w:val="18"/>
          <w:szCs w:val="18"/>
          <w:lang w:val="en-US"/>
        </w:rPr>
        <w:t xml:space="preserve">UN SDGs: </w:t>
      </w:r>
      <w:hyperlink r:id="rId8" w:history="1">
        <w:r w:rsidRPr="007A3788">
          <w:rPr>
            <w:rStyle w:val="Hyperlink"/>
            <w:rFonts w:ascii="Arial" w:hAnsi="Arial" w:cs="Arial"/>
            <w:sz w:val="18"/>
            <w:szCs w:val="18"/>
            <w:lang w:val="en-US"/>
          </w:rPr>
          <w:t>http://www.un.org/sustainabledevelopment/sustainable-development-goals/</w:t>
        </w:r>
      </w:hyperlink>
    </w:p>
  </w:endnote>
  <w:endnote w:id="10">
    <w:p w14:paraId="2F416B86" w14:textId="77777777" w:rsidR="00BB67AB" w:rsidRPr="00AF1E7F" w:rsidRDefault="00BB67AB" w:rsidP="00ED5E2D">
      <w:pPr>
        <w:pStyle w:val="EndnoteText"/>
        <w:rPr>
          <w:sz w:val="18"/>
          <w:szCs w:val="18"/>
          <w:lang w:val="en-US"/>
        </w:rPr>
      </w:pPr>
      <w:r>
        <w:rPr>
          <w:rStyle w:val="EndnoteReference"/>
        </w:rPr>
        <w:endnoteRef/>
      </w:r>
      <w:r>
        <w:t xml:space="preserve"> </w:t>
      </w:r>
      <w:r w:rsidRPr="00AF1E7F">
        <w:rPr>
          <w:rFonts w:ascii="Arial" w:hAnsi="Arial" w:cs="Arial"/>
          <w:sz w:val="18"/>
          <w:szCs w:val="18"/>
        </w:rPr>
        <w:t>WHO End TB Strategy:</w:t>
      </w:r>
      <w:r>
        <w:rPr>
          <w:lang w:val="en-US"/>
        </w:rPr>
        <w:t xml:space="preserve"> </w:t>
      </w:r>
      <w:hyperlink r:id="rId9" w:history="1">
        <w:r w:rsidRPr="00AF1E7F">
          <w:rPr>
            <w:rStyle w:val="Hyperlink"/>
            <w:rFonts w:ascii="Arial" w:hAnsi="Arial" w:cs="Arial"/>
            <w:sz w:val="18"/>
            <w:szCs w:val="18"/>
            <w:shd w:val="clear" w:color="auto" w:fill="FFFFFF"/>
          </w:rPr>
          <w:t>www.who.int/tb/post2015_strategy/en/</w:t>
        </w:r>
      </w:hyperlink>
    </w:p>
  </w:endnote>
  <w:endnote w:id="11">
    <w:p w14:paraId="54AAD7A5" w14:textId="77777777" w:rsidR="00BB67AB" w:rsidRPr="00AE77DF" w:rsidRDefault="00BB67AB" w:rsidP="007968B5">
      <w:pPr>
        <w:shd w:val="clear" w:color="auto" w:fill="FFFFFF"/>
        <w:spacing w:after="0" w:line="240" w:lineRule="auto"/>
        <w:textAlignment w:val="baseline"/>
        <w:outlineLvl w:val="0"/>
        <w:rPr>
          <w:lang w:val="en-US"/>
        </w:rPr>
      </w:pPr>
      <w:r>
        <w:rPr>
          <w:rStyle w:val="EndnoteReference"/>
        </w:rPr>
        <w:endnoteRef/>
      </w:r>
      <w:r>
        <w:t xml:space="preserve"> </w:t>
      </w:r>
      <w:r w:rsidRPr="001E6D77">
        <w:rPr>
          <w:rFonts w:ascii="Arial" w:eastAsia="Times New Roman" w:hAnsi="Arial" w:cs="Arial"/>
          <w:color w:val="131313"/>
          <w:spacing w:val="-7"/>
          <w:kern w:val="36"/>
          <w:sz w:val="18"/>
          <w:szCs w:val="18"/>
        </w:rPr>
        <w:t>Contact investigation for tuberculosis: a systematic review and meta-analysis</w:t>
      </w:r>
      <w:r>
        <w:rPr>
          <w:rFonts w:ascii="Arial" w:eastAsia="Times New Roman" w:hAnsi="Arial" w:cs="Arial"/>
          <w:color w:val="131313"/>
          <w:spacing w:val="-7"/>
          <w:kern w:val="36"/>
          <w:sz w:val="18"/>
          <w:szCs w:val="18"/>
        </w:rPr>
        <w:t xml:space="preserve">: </w:t>
      </w:r>
      <w:hyperlink r:id="rId10" w:history="1">
        <w:r w:rsidRPr="007A3788">
          <w:rPr>
            <w:rStyle w:val="Hyperlink"/>
            <w:rFonts w:ascii="Arial" w:eastAsia="Times New Roman" w:hAnsi="Arial" w:cs="Arial"/>
            <w:spacing w:val="-7"/>
            <w:kern w:val="36"/>
            <w:sz w:val="18"/>
            <w:szCs w:val="18"/>
          </w:rPr>
          <w:t>http://erj.ersjournals.com/content/41/1/140</w:t>
        </w:r>
      </w:hyperlink>
    </w:p>
  </w:endnote>
  <w:endnote w:id="12">
    <w:p w14:paraId="165CB79F" w14:textId="77777777" w:rsidR="00BB67AB" w:rsidRPr="00AD6141" w:rsidRDefault="00BB67AB" w:rsidP="005F6A32">
      <w:pPr>
        <w:spacing w:after="0"/>
        <w:rPr>
          <w:lang w:val="en-US"/>
        </w:rPr>
      </w:pPr>
      <w:r>
        <w:rPr>
          <w:rStyle w:val="EndnoteReference"/>
        </w:rPr>
        <w:endnoteRef/>
      </w:r>
      <w:r>
        <w:t xml:space="preserve"> </w:t>
      </w:r>
      <w:r w:rsidRPr="00851BCF">
        <w:rPr>
          <w:rFonts w:ascii="Arial" w:hAnsi="Arial" w:cs="Arial"/>
          <w:sz w:val="18"/>
          <w:szCs w:val="18"/>
        </w:rPr>
        <w:t xml:space="preserve">Collaborative Framework for </w:t>
      </w:r>
      <w:r>
        <w:rPr>
          <w:rFonts w:ascii="Arial" w:hAnsi="Arial" w:cs="Arial"/>
          <w:sz w:val="18"/>
          <w:szCs w:val="18"/>
        </w:rPr>
        <w:t>C</w:t>
      </w:r>
      <w:r w:rsidRPr="00851BCF">
        <w:rPr>
          <w:rFonts w:ascii="Arial" w:hAnsi="Arial" w:cs="Arial"/>
          <w:sz w:val="18"/>
          <w:szCs w:val="18"/>
        </w:rPr>
        <w:t xml:space="preserve">are and Control of TB and Diabetes </w:t>
      </w:r>
      <w:hyperlink r:id="rId11" w:history="1">
        <w:r w:rsidRPr="00851BCF">
          <w:rPr>
            <w:rStyle w:val="Hyperlink"/>
            <w:rFonts w:ascii="Arial" w:hAnsi="Arial" w:cs="Arial"/>
            <w:sz w:val="18"/>
            <w:szCs w:val="18"/>
          </w:rPr>
          <w:t>http://www.who.int/tb/publications/tb-diabetes-framework/en/</w:t>
        </w:r>
      </w:hyperlink>
    </w:p>
  </w:endnote>
  <w:endnote w:id="13">
    <w:p w14:paraId="7DFD07C7" w14:textId="77777777" w:rsidR="00BB67AB" w:rsidRPr="00D221D7" w:rsidRDefault="00BB67AB" w:rsidP="005F6A32">
      <w:pPr>
        <w:spacing w:after="0"/>
        <w:rPr>
          <w:lang w:val="en-US"/>
        </w:rPr>
      </w:pPr>
      <w:r>
        <w:rPr>
          <w:rStyle w:val="EndnoteReference"/>
        </w:rPr>
        <w:endnoteRef/>
      </w:r>
      <w:r>
        <w:t xml:space="preserve"> </w:t>
      </w:r>
      <w:r w:rsidRPr="00D221D7">
        <w:rPr>
          <w:rFonts w:ascii="Arial" w:hAnsi="Arial" w:cs="Arial"/>
          <w:sz w:val="18"/>
          <w:szCs w:val="18"/>
        </w:rPr>
        <w:t>Prevalence of Type 2 Diabetes in Nepal</w:t>
      </w:r>
      <w:r>
        <w:t xml:space="preserve"> </w:t>
      </w:r>
      <w:hyperlink r:id="rId12" w:history="1">
        <w:r w:rsidRPr="001837A8">
          <w:rPr>
            <w:rStyle w:val="Hyperlink"/>
            <w:rFonts w:ascii="Arial" w:hAnsi="Arial" w:cs="Arial"/>
            <w:sz w:val="18"/>
            <w:szCs w:val="18"/>
          </w:rPr>
          <w:t>https://www.ncbi.nlm.nih.gov/pmc/articles/PMC4662667/</w:t>
        </w:r>
      </w:hyperlink>
    </w:p>
  </w:endnote>
  <w:endnote w:id="14">
    <w:p w14:paraId="39AD7F4B" w14:textId="15910DE7" w:rsidR="00BB67AB" w:rsidRPr="00EB4796" w:rsidRDefault="00BB67AB" w:rsidP="00920D9F">
      <w:pPr>
        <w:pStyle w:val="EndnoteText"/>
        <w:rPr>
          <w:lang w:val="en-US"/>
        </w:rPr>
      </w:pPr>
      <w:r>
        <w:rPr>
          <w:rStyle w:val="EndnoteReference"/>
        </w:rPr>
        <w:endnoteRef/>
      </w:r>
      <w:r>
        <w:t xml:space="preserve"> </w:t>
      </w:r>
      <w:r w:rsidRPr="00F02AED">
        <w:rPr>
          <w:rFonts w:ascii="Arial" w:hAnsi="Arial" w:cs="Arial"/>
          <w:sz w:val="18"/>
          <w:szCs w:val="18"/>
        </w:rPr>
        <w:t xml:space="preserve">Evidence from meta-analysis: WHO-commissioned study (2015) showed that in low and middle-income settings, prevalence of active TB in all contacts was 3.1% </w:t>
      </w:r>
      <w:r w:rsidRPr="00F02AED">
        <w:rPr>
          <w:rFonts w:ascii="Arial" w:hAnsi="Arial" w:cs="Arial"/>
          <w:color w:val="000000"/>
          <w:sz w:val="18"/>
          <w:szCs w:val="18"/>
        </w:rPr>
        <w:t>(95% CI 2.2–4.4%, I</w:t>
      </w:r>
      <w:r w:rsidRPr="00F02AED">
        <w:rPr>
          <w:rFonts w:ascii="Arial" w:hAnsi="Arial" w:cs="Arial"/>
          <w:color w:val="000000"/>
          <w:sz w:val="18"/>
          <w:szCs w:val="18"/>
          <w:bdr w:val="none" w:sz="0" w:space="0" w:color="auto" w:frame="1"/>
          <w:vertAlign w:val="superscript"/>
        </w:rPr>
        <w:t>2</w:t>
      </w:r>
      <w:r w:rsidRPr="00F02AED">
        <w:rPr>
          <w:rFonts w:ascii="Arial" w:hAnsi="Arial" w:cs="Arial"/>
          <w:color w:val="000000"/>
          <w:sz w:val="18"/>
          <w:szCs w:val="18"/>
        </w:rPr>
        <w:t xml:space="preserve">=99.4%) </w:t>
      </w:r>
      <w:r w:rsidRPr="00F02AED">
        <w:rPr>
          <w:rFonts w:ascii="Arial" w:hAnsi="Arial" w:cs="Arial"/>
          <w:sz w:val="18"/>
          <w:szCs w:val="18"/>
        </w:rPr>
        <w:t xml:space="preserve">and </w:t>
      </w:r>
      <w:r w:rsidRPr="00F02AED">
        <w:rPr>
          <w:rFonts w:ascii="Arial" w:hAnsi="Arial" w:cs="Arial"/>
          <w:color w:val="000000"/>
          <w:sz w:val="18"/>
          <w:szCs w:val="18"/>
        </w:rPr>
        <w:t>latent TB infection was 51.5% (95% CI 47.1–55.8%, I</w:t>
      </w:r>
      <w:r w:rsidRPr="00F02AED">
        <w:rPr>
          <w:rFonts w:ascii="Arial" w:hAnsi="Arial" w:cs="Arial"/>
          <w:color w:val="000000"/>
          <w:sz w:val="18"/>
          <w:szCs w:val="18"/>
          <w:bdr w:val="none" w:sz="0" w:space="0" w:color="auto" w:frame="1"/>
          <w:vertAlign w:val="superscript"/>
        </w:rPr>
        <w:t>2</w:t>
      </w:r>
      <w:r w:rsidRPr="00F02AED">
        <w:rPr>
          <w:rFonts w:ascii="Arial" w:hAnsi="Arial" w:cs="Arial"/>
          <w:color w:val="000000"/>
          <w:sz w:val="18"/>
          <w:szCs w:val="18"/>
        </w:rPr>
        <w:t>=98.9%). The prevalence of TB among household contacts was 3.1% (95% CI 2.1–4.5%, I</w:t>
      </w:r>
      <w:r w:rsidRPr="00F02AED">
        <w:rPr>
          <w:rFonts w:ascii="Arial" w:hAnsi="Arial" w:cs="Arial"/>
          <w:color w:val="000000"/>
          <w:sz w:val="18"/>
          <w:szCs w:val="18"/>
          <w:bdr w:val="none" w:sz="0" w:space="0" w:color="auto" w:frame="1"/>
          <w:vertAlign w:val="superscript"/>
        </w:rPr>
        <w:t>2</w:t>
      </w:r>
      <w:r w:rsidRPr="00F02AED">
        <w:rPr>
          <w:rFonts w:ascii="Arial" w:hAnsi="Arial" w:cs="Arial"/>
          <w:color w:val="000000"/>
          <w:sz w:val="18"/>
          <w:szCs w:val="18"/>
        </w:rPr>
        <w:t>=98.8%) and among contacts of patients with multidrug-resistant or extensively drug-resistant TB was 3.4% (95% CI 0.8–12.6%, I</w:t>
      </w:r>
      <w:r w:rsidRPr="00F02AED">
        <w:rPr>
          <w:rFonts w:ascii="Arial" w:hAnsi="Arial" w:cs="Arial"/>
          <w:color w:val="000000"/>
          <w:sz w:val="18"/>
          <w:szCs w:val="18"/>
          <w:bdr w:val="none" w:sz="0" w:space="0" w:color="auto" w:frame="1"/>
          <w:vertAlign w:val="superscript"/>
        </w:rPr>
        <w:t>2</w:t>
      </w:r>
      <w:r w:rsidRPr="00F02AED">
        <w:rPr>
          <w:rFonts w:ascii="Arial" w:hAnsi="Arial" w:cs="Arial"/>
          <w:color w:val="000000"/>
          <w:sz w:val="18"/>
          <w:szCs w:val="18"/>
        </w:rPr>
        <w:t xml:space="preserve">=95.7%). </w:t>
      </w:r>
      <w:proofErr w:type="gramStart"/>
      <w:r w:rsidRPr="00F02AED">
        <w:rPr>
          <w:rFonts w:ascii="Arial" w:hAnsi="Arial" w:cs="Arial"/>
          <w:color w:val="000000"/>
          <w:sz w:val="18"/>
          <w:szCs w:val="18"/>
        </w:rPr>
        <w:t>Incidence highest in the first year</w:t>
      </w:r>
      <w:r w:rsidRPr="00F02AED">
        <w:rPr>
          <w:rFonts w:ascii="Arial" w:hAnsi="Arial" w:cs="Arial"/>
          <w:color w:val="000000"/>
          <w:sz w:val="18"/>
          <w:szCs w:val="18"/>
          <w:shd w:val="clear" w:color="auto" w:fill="FFFFFF"/>
        </w:rPr>
        <w:t xml:space="preserve"> after exposure.</w:t>
      </w:r>
      <w:proofErr w:type="gramEnd"/>
    </w:p>
  </w:endnote>
  <w:endnote w:id="15">
    <w:p w14:paraId="356C1260" w14:textId="77777777" w:rsidR="00BB67AB" w:rsidRPr="00FC0D22" w:rsidRDefault="00BB67AB" w:rsidP="005C263F">
      <w:pPr>
        <w:pStyle w:val="EndnoteText"/>
        <w:rPr>
          <w:lang w:val="en-US"/>
        </w:rPr>
      </w:pPr>
      <w:r>
        <w:rPr>
          <w:rStyle w:val="EndnoteReference"/>
        </w:rPr>
        <w:endnoteRef/>
      </w:r>
      <w:r>
        <w:t xml:space="preserve"> </w:t>
      </w:r>
      <w:r w:rsidRPr="00FC0D22">
        <w:rPr>
          <w:rFonts w:ascii="Arial" w:hAnsi="Arial" w:cs="Arial"/>
          <w:sz w:val="18"/>
          <w:szCs w:val="18"/>
        </w:rPr>
        <w:t>National</w:t>
      </w:r>
      <w:r>
        <w:t xml:space="preserve"> </w:t>
      </w:r>
      <w:r w:rsidRPr="00FC0D22">
        <w:rPr>
          <w:rFonts w:ascii="Arial" w:hAnsi="Arial" w:cs="Arial"/>
          <w:sz w:val="18"/>
          <w:szCs w:val="18"/>
        </w:rPr>
        <w:t>Guidelines</w:t>
      </w:r>
      <w:r>
        <w:rPr>
          <w:rFonts w:ascii="Arial" w:hAnsi="Arial" w:cs="Arial"/>
          <w:sz w:val="18"/>
          <w:szCs w:val="18"/>
        </w:rPr>
        <w:t xml:space="preserve"> for Cervical Cancer Screening in Nepal:</w:t>
      </w:r>
      <w:r>
        <w:t xml:space="preserve"> </w:t>
      </w:r>
      <w:hyperlink r:id="rId13" w:history="1">
        <w:r w:rsidRPr="00FC0D22">
          <w:rPr>
            <w:rStyle w:val="Hyperlink"/>
            <w:rFonts w:ascii="Arial" w:hAnsi="Arial" w:cs="Arial"/>
            <w:sz w:val="18"/>
            <w:szCs w:val="18"/>
          </w:rPr>
          <w:t>https://phaseworldwide.org/publications/national-guideline-cervical-cancer-screening-prevention-nepal/</w:t>
        </w:r>
      </w:hyperlink>
    </w:p>
  </w:endnote>
  <w:endnote w:id="16">
    <w:p w14:paraId="3F327FA3" w14:textId="77777777" w:rsidR="00BB67AB" w:rsidRPr="00261EE5" w:rsidRDefault="00BB67AB" w:rsidP="009B7CCB">
      <w:pPr>
        <w:pStyle w:val="EndnoteText"/>
        <w:rPr>
          <w:lang w:val="en-US"/>
        </w:rPr>
      </w:pPr>
      <w:r>
        <w:rPr>
          <w:rStyle w:val="EndnoteReference"/>
        </w:rPr>
        <w:endnoteRef/>
      </w:r>
      <w:r>
        <w:t xml:space="preserve"> </w:t>
      </w:r>
      <w:r w:rsidRPr="00261EE5">
        <w:rPr>
          <w:rFonts w:ascii="Arial" w:hAnsi="Arial" w:cs="Arial"/>
          <w:sz w:val="18"/>
          <w:szCs w:val="18"/>
        </w:rPr>
        <w:t>B</w:t>
      </w:r>
      <w:r>
        <w:rPr>
          <w:rFonts w:ascii="Arial" w:hAnsi="Arial" w:cs="Arial"/>
          <w:sz w:val="18"/>
          <w:szCs w:val="18"/>
        </w:rPr>
        <w:t xml:space="preserve">udget Analysis of Nepal Health Sector Programme-2, 2015, </w:t>
      </w:r>
      <w:hyperlink r:id="rId14" w:history="1">
        <w:r w:rsidRPr="00261EE5">
          <w:rPr>
            <w:rStyle w:val="Hyperlink"/>
            <w:rFonts w:ascii="Arial" w:hAnsi="Arial" w:cs="Arial"/>
            <w:sz w:val="18"/>
            <w:szCs w:val="18"/>
          </w:rPr>
          <w:t>http://nhssp.org.np/health_financing/NHSP2_budget_analysis_march2015.pdf</w:t>
        </w:r>
      </w:hyperlink>
    </w:p>
  </w:endnote>
  <w:endnote w:id="17">
    <w:p w14:paraId="7F487EA0" w14:textId="11F0026C" w:rsidR="00BB67AB" w:rsidRDefault="00BB67AB" w:rsidP="00D221D7">
      <w:pPr>
        <w:pStyle w:val="EndnoteText"/>
        <w:rPr>
          <w:rFonts w:ascii="Arial" w:hAnsi="Arial" w:cs="Arial"/>
          <w:sz w:val="18"/>
          <w:szCs w:val="18"/>
        </w:rPr>
      </w:pPr>
      <w:r>
        <w:rPr>
          <w:rStyle w:val="EndnoteReference"/>
        </w:rPr>
        <w:endnoteRef/>
      </w:r>
      <w:r>
        <w:t xml:space="preserve"> </w:t>
      </w:r>
      <w:r w:rsidRPr="00613C9F">
        <w:rPr>
          <w:rFonts w:ascii="Arial" w:hAnsi="Arial" w:cs="Arial"/>
          <w:sz w:val="18"/>
          <w:szCs w:val="18"/>
        </w:rPr>
        <w:t>State of Migration in Nepal,</w:t>
      </w:r>
      <w:r>
        <w:rPr>
          <w:rFonts w:ascii="Arial" w:hAnsi="Arial" w:cs="Arial"/>
          <w:sz w:val="18"/>
          <w:szCs w:val="18"/>
        </w:rPr>
        <w:t xml:space="preserve"> page 65,</w:t>
      </w:r>
    </w:p>
    <w:p w14:paraId="7C574DEF" w14:textId="0CCE1B08" w:rsidR="00BB67AB" w:rsidRPr="00613C9F" w:rsidRDefault="00EB1D26" w:rsidP="00D221D7">
      <w:pPr>
        <w:pStyle w:val="EndnoteText"/>
        <w:rPr>
          <w:lang w:val="en-US"/>
        </w:rPr>
      </w:pPr>
      <w:hyperlink r:id="rId15" w:history="1">
        <w:r w:rsidR="00BB67AB" w:rsidRPr="00613C9F">
          <w:rPr>
            <w:rStyle w:val="Hyperlink"/>
            <w:rFonts w:ascii="Arial" w:hAnsi="Arial" w:cs="Arial"/>
            <w:sz w:val="18"/>
            <w:szCs w:val="18"/>
          </w:rPr>
          <w:t>http://ceslam.org/docs/publicationManagement/STATE%20OF%20MIGRATION%20IN%20NEPAL1404964819.pdf</w:t>
        </w:r>
      </w:hyperlink>
      <w:r w:rsidR="00BB67AB">
        <w:rPr>
          <w:rFonts w:ascii="Arial" w:hAnsi="Arial" w:cs="Arial"/>
          <w:sz w:val="18"/>
          <w:szCs w:val="18"/>
        </w:rPr>
        <w:t xml:space="preserve"> </w:t>
      </w:r>
    </w:p>
  </w:endnote>
  <w:endnote w:id="18">
    <w:p w14:paraId="6AB43DDC" w14:textId="0414EAB2" w:rsidR="00BB67AB" w:rsidRPr="008F6A2C" w:rsidRDefault="00BB67AB" w:rsidP="007B029A">
      <w:pPr>
        <w:pStyle w:val="EndnoteText"/>
        <w:rPr>
          <w:rFonts w:ascii="Arial" w:hAnsi="Arial" w:cs="Arial"/>
          <w:sz w:val="18"/>
          <w:szCs w:val="18"/>
        </w:rPr>
      </w:pPr>
      <w:r>
        <w:rPr>
          <w:rStyle w:val="EndnoteReference"/>
        </w:rPr>
        <w:endnoteRef/>
      </w:r>
      <w:r>
        <w:t xml:space="preserve"> </w:t>
      </w:r>
      <w:r w:rsidRPr="008B3D87">
        <w:rPr>
          <w:rFonts w:ascii="Arial" w:hAnsi="Arial" w:cs="Arial"/>
          <w:sz w:val="18"/>
          <w:szCs w:val="18"/>
        </w:rPr>
        <w:t xml:space="preserve">Asian Development Bank- Nepal Economy: </w:t>
      </w:r>
      <w:hyperlink r:id="rId16" w:history="1">
        <w:r w:rsidRPr="008B3D87">
          <w:rPr>
            <w:rStyle w:val="Hyperlink"/>
            <w:rFonts w:ascii="Arial" w:hAnsi="Arial" w:cs="Arial"/>
            <w:sz w:val="18"/>
            <w:szCs w:val="18"/>
          </w:rPr>
          <w:t>https://www.adb.org/countries/nepal/economy</w:t>
        </w:r>
      </w:hyperlink>
    </w:p>
  </w:endnote>
  <w:endnote w:id="19">
    <w:p w14:paraId="58EF3763" w14:textId="0F52B4C2" w:rsidR="00BB67AB" w:rsidRPr="008F6A2C" w:rsidRDefault="00BB67AB" w:rsidP="007B029A">
      <w:pPr>
        <w:pStyle w:val="EndnoteText"/>
        <w:rPr>
          <w:rFonts w:ascii="Arial" w:hAnsi="Arial" w:cs="Arial"/>
          <w:sz w:val="18"/>
          <w:szCs w:val="18"/>
          <w:lang w:val="en-US"/>
        </w:rPr>
      </w:pPr>
      <w:r w:rsidRPr="008F6A2C">
        <w:rPr>
          <w:rStyle w:val="EndnoteReference"/>
        </w:rPr>
        <w:endnoteRef/>
      </w:r>
      <w:r w:rsidRPr="008F6A2C">
        <w:rPr>
          <w:rStyle w:val="EndnoteReference"/>
        </w:rPr>
        <w:t xml:space="preserve"> </w:t>
      </w:r>
      <w:r>
        <w:rPr>
          <w:rFonts w:ascii="Arial" w:hAnsi="Arial" w:cs="Arial"/>
          <w:sz w:val="18"/>
          <w:szCs w:val="18"/>
        </w:rPr>
        <w:t xml:space="preserve">Agriculture and Food Security, USAID: </w:t>
      </w:r>
      <w:hyperlink r:id="rId17" w:history="1">
        <w:r w:rsidRPr="008F6A2C">
          <w:rPr>
            <w:rStyle w:val="Hyperlink"/>
            <w:rFonts w:ascii="Arial" w:hAnsi="Arial" w:cs="Arial"/>
            <w:sz w:val="18"/>
            <w:szCs w:val="18"/>
            <w:shd w:val="clear" w:color="auto" w:fill="FFFFFF"/>
          </w:rPr>
          <w:t>https://www.usaid.gov/nepal/agriculture-and-food-security</w:t>
        </w:r>
      </w:hyperlink>
    </w:p>
  </w:endnote>
  <w:endnote w:id="20">
    <w:p w14:paraId="5E1EC8A9" w14:textId="1B94E229" w:rsidR="00BB67AB" w:rsidRPr="007B029A" w:rsidRDefault="00BB67AB" w:rsidP="007B029A">
      <w:pPr>
        <w:spacing w:line="240" w:lineRule="auto"/>
        <w:rPr>
          <w:rFonts w:ascii="Arial" w:hAnsi="Arial" w:cs="Arial"/>
          <w:sz w:val="18"/>
          <w:szCs w:val="18"/>
        </w:rPr>
      </w:pPr>
      <w:r>
        <w:rPr>
          <w:rStyle w:val="EndnoteReference"/>
        </w:rPr>
        <w:endnoteRef/>
      </w:r>
      <w:r>
        <w:t xml:space="preserve"> </w:t>
      </w:r>
      <w:r w:rsidRPr="007B029A">
        <w:rPr>
          <w:rFonts w:ascii="Arial" w:hAnsi="Arial" w:cs="Arial"/>
          <w:sz w:val="18"/>
          <w:szCs w:val="18"/>
        </w:rPr>
        <w:t xml:space="preserve">Annual Work Planning and Budgeting  ( </w:t>
      </w:r>
      <w:proofErr w:type="spellStart"/>
      <w:r w:rsidRPr="007B029A">
        <w:rPr>
          <w:rFonts w:ascii="Arial" w:hAnsi="Arial" w:cs="Arial"/>
          <w:sz w:val="18"/>
          <w:szCs w:val="18"/>
        </w:rPr>
        <w:t>eAWPB</w:t>
      </w:r>
      <w:proofErr w:type="spellEnd"/>
      <w:r w:rsidRPr="007B029A">
        <w:rPr>
          <w:rFonts w:ascii="Arial" w:hAnsi="Arial" w:cs="Arial"/>
          <w:sz w:val="18"/>
          <w:szCs w:val="18"/>
        </w:rPr>
        <w:t xml:space="preserve"> 1.0) Operating Manual</w:t>
      </w:r>
      <w:r>
        <w:rPr>
          <w:rFonts w:ascii="Arial" w:hAnsi="Arial" w:cs="Arial"/>
          <w:sz w:val="18"/>
          <w:szCs w:val="18"/>
        </w:rPr>
        <w:t xml:space="preserve">, pages-1,4, 26: </w:t>
      </w:r>
      <w:hyperlink r:id="rId18" w:history="1">
        <w:r w:rsidRPr="007B029A">
          <w:rPr>
            <w:rStyle w:val="Hyperlink"/>
            <w:rFonts w:ascii="Arial" w:hAnsi="Arial" w:cs="Arial"/>
            <w:sz w:val="18"/>
            <w:szCs w:val="18"/>
          </w:rPr>
          <w:t>http://eskay.org/health-sector-financing/annual-work-planning-and-budgeting-e-awpb-1-0/</w:t>
        </w:r>
      </w:hyperlink>
    </w:p>
    <w:p w14:paraId="54B24866" w14:textId="79DAED40" w:rsidR="00BB67AB" w:rsidRPr="007B029A" w:rsidRDefault="00BB67AB" w:rsidP="007B029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7510" w14:textId="7AB2F899" w:rsidR="00BB67AB" w:rsidRPr="00374C37" w:rsidRDefault="00BB67AB"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t>15 February 2017</w:t>
    </w:r>
    <w:r w:rsidRPr="00CA7652">
      <w:rPr>
        <w:rFonts w:ascii="Arial" w:hAnsi="Arial" w:cs="Arial"/>
        <w:sz w:val="20"/>
        <w:szCs w:val="20"/>
      </w:rPr>
      <w:t xml:space="preserve"> | </w:t>
    </w:r>
    <w:sdt>
      <w:sdtPr>
        <w:rPr>
          <w:rFonts w:ascii="Arial" w:hAnsi="Arial" w:cs="Arial"/>
          <w:sz w:val="20"/>
          <w:szCs w:val="20"/>
        </w:rPr>
        <w:id w:val="-1136726835"/>
        <w:docPartObj>
          <w:docPartGallery w:val="Page Numbers (Bottom of Page)"/>
          <w:docPartUnique/>
        </w:docPartObj>
      </w:sdtPr>
      <w:sdtEndPr>
        <w:rPr>
          <w:noProof/>
        </w:rPr>
      </w:sdtEndPr>
      <w:sdtContent>
        <w:r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Pr="00374C37">
          <w:rPr>
            <w:rFonts w:ascii="Arial" w:hAnsi="Arial" w:cs="Arial"/>
            <w:b/>
            <w:sz w:val="20"/>
            <w:szCs w:val="20"/>
          </w:rPr>
          <w:fldChar w:fldCharType="separate"/>
        </w:r>
        <w:r w:rsidR="00A21C74">
          <w:rPr>
            <w:rFonts w:ascii="Arial" w:hAnsi="Arial" w:cs="Arial"/>
            <w:b/>
            <w:noProof/>
            <w:sz w:val="20"/>
            <w:szCs w:val="20"/>
          </w:rPr>
          <w:t>25</w:t>
        </w:r>
        <w:r w:rsidRPr="00374C37">
          <w:rPr>
            <w:rFonts w:ascii="Arial" w:hAnsi="Arial" w:cs="Arial"/>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C50A" w14:textId="77777777" w:rsidR="00EB1D26" w:rsidRDefault="00EB1D26" w:rsidP="00042DCA">
      <w:pPr>
        <w:spacing w:after="0" w:line="240" w:lineRule="auto"/>
      </w:pPr>
      <w:r>
        <w:separator/>
      </w:r>
    </w:p>
  </w:footnote>
  <w:footnote w:type="continuationSeparator" w:id="0">
    <w:p w14:paraId="7D6412C8" w14:textId="77777777" w:rsidR="00EB1D26" w:rsidRDefault="00EB1D26" w:rsidP="00042DCA">
      <w:pPr>
        <w:spacing w:after="0" w:line="240" w:lineRule="auto"/>
      </w:pPr>
      <w:r>
        <w:continuationSeparator/>
      </w:r>
    </w:p>
  </w:footnote>
  <w:footnote w:type="continuationNotice" w:id="1">
    <w:p w14:paraId="1E6A589A" w14:textId="77777777" w:rsidR="00EB1D26" w:rsidRDefault="00EB1D26">
      <w:pPr>
        <w:spacing w:after="0" w:line="240" w:lineRule="auto"/>
      </w:pPr>
    </w:p>
  </w:footnote>
  <w:footnote w:id="2">
    <w:p w14:paraId="5C2114C5" w14:textId="737C992A" w:rsidR="00BB67AB" w:rsidRPr="00B54C8C" w:rsidRDefault="00BB67AB" w:rsidP="00340B08">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1" w:history="1">
        <w:r w:rsidRPr="00B54C8C">
          <w:rPr>
            <w:rStyle w:val="Hyperlink"/>
            <w:rFonts w:ascii="Arial" w:hAnsi="Arial" w:cs="Arial"/>
            <w:sz w:val="16"/>
            <w:szCs w:val="16"/>
          </w:rPr>
          <w:t>Global Fund 2017 Eligibility List</w:t>
        </w:r>
      </w:hyperlink>
      <w:r w:rsidRPr="00B54C8C">
        <w:rPr>
          <w:rStyle w:val="Hyperlink"/>
          <w:rFonts w:ascii="Arial" w:hAnsi="Arial" w:cs="Arial"/>
          <w:sz w:val="16"/>
          <w:szCs w:val="16"/>
        </w:rPr>
        <w:t xml:space="preserve"> </w:t>
      </w:r>
      <w:r w:rsidRPr="00B54C8C">
        <w:rPr>
          <w:rFonts w:ascii="Arial" w:hAnsi="Arial" w:cs="Arial"/>
          <w:sz w:val="16"/>
          <w:szCs w:val="16"/>
        </w:rPr>
        <w:t>for income level</w:t>
      </w:r>
      <w:r w:rsidRPr="00B54C8C">
        <w:rPr>
          <w:rStyle w:val="Hyperlink"/>
          <w:rFonts w:ascii="Arial" w:hAnsi="Arial" w:cs="Arial"/>
          <w:sz w:val="16"/>
          <w:szCs w:val="16"/>
          <w:u w:val="none"/>
        </w:rPr>
        <w:t xml:space="preserve">. </w:t>
      </w:r>
      <w:r w:rsidRPr="00B54C8C">
        <w:rPr>
          <w:rFonts w:ascii="Arial" w:hAnsi="Arial" w:cs="Arial"/>
          <w:sz w:val="16"/>
          <w:szCs w:val="16"/>
        </w:rPr>
        <w:t xml:space="preserve">LMI and UMI countries have specific requirements in terms of the focus of applications as set forth in the Global Fund </w:t>
      </w:r>
      <w:hyperlink r:id="rId2"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 w:id="3">
    <w:p w14:paraId="5D0B8BEB" w14:textId="633A9670" w:rsidR="00BB67AB" w:rsidRPr="00B54C8C" w:rsidRDefault="00BB67AB" w:rsidP="00FC77AC">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3"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19D"/>
    <w:multiLevelType w:val="hybridMultilevel"/>
    <w:tmpl w:val="EBB86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37AB4"/>
    <w:multiLevelType w:val="hybridMultilevel"/>
    <w:tmpl w:val="5F2A4F50"/>
    <w:lvl w:ilvl="0" w:tplc="E53E22D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5F5470"/>
    <w:multiLevelType w:val="hybridMultilevel"/>
    <w:tmpl w:val="32403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A4EE4"/>
    <w:multiLevelType w:val="hybridMultilevel"/>
    <w:tmpl w:val="D5104752"/>
    <w:lvl w:ilvl="0" w:tplc="6CB4AC8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3C1EF9"/>
    <w:multiLevelType w:val="hybridMultilevel"/>
    <w:tmpl w:val="6018DC96"/>
    <w:lvl w:ilvl="0" w:tplc="11B836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203EA"/>
    <w:multiLevelType w:val="hybridMultilevel"/>
    <w:tmpl w:val="392814C8"/>
    <w:lvl w:ilvl="0" w:tplc="89F87540">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3A792F"/>
    <w:multiLevelType w:val="hybridMultilevel"/>
    <w:tmpl w:val="A0E2A670"/>
    <w:lvl w:ilvl="0" w:tplc="B8FC3EFE">
      <w:start w:val="1"/>
      <w:numFmt w:val="lowerRoman"/>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EC222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355155"/>
    <w:multiLevelType w:val="hybridMultilevel"/>
    <w:tmpl w:val="C27A5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A92BFD"/>
    <w:multiLevelType w:val="hybridMultilevel"/>
    <w:tmpl w:val="DC3204E4"/>
    <w:lvl w:ilvl="0" w:tplc="FC2246BC">
      <w:start w:val="1"/>
      <w:numFmt w:val="lowerRoman"/>
      <w:lvlText w:val="(%1)"/>
      <w:lvlJc w:val="left"/>
      <w:pPr>
        <w:ind w:left="360" w:hanging="360"/>
      </w:pPr>
      <w:rPr>
        <w:rFonts w:hint="default"/>
        <w:b/>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C83EA8"/>
    <w:multiLevelType w:val="hybridMultilevel"/>
    <w:tmpl w:val="92AC6422"/>
    <w:lvl w:ilvl="0" w:tplc="BE962E7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86C06"/>
    <w:multiLevelType w:val="hybridMultilevel"/>
    <w:tmpl w:val="F8FA2762"/>
    <w:lvl w:ilvl="0" w:tplc="410A6A44">
      <w:start w:val="1"/>
      <w:numFmt w:val="bullet"/>
      <w:lvlText w:val="•"/>
      <w:lvlJc w:val="left"/>
      <w:pPr>
        <w:tabs>
          <w:tab w:val="num" w:pos="360"/>
        </w:tabs>
        <w:ind w:left="360" w:hanging="360"/>
      </w:pPr>
      <w:rPr>
        <w:rFonts w:ascii="Arial" w:hAnsi="Arial" w:hint="default"/>
      </w:rPr>
    </w:lvl>
    <w:lvl w:ilvl="1" w:tplc="5066EBF0" w:tentative="1">
      <w:start w:val="1"/>
      <w:numFmt w:val="bullet"/>
      <w:lvlText w:val="•"/>
      <w:lvlJc w:val="left"/>
      <w:pPr>
        <w:tabs>
          <w:tab w:val="num" w:pos="1080"/>
        </w:tabs>
        <w:ind w:left="1080" w:hanging="360"/>
      </w:pPr>
      <w:rPr>
        <w:rFonts w:ascii="Arial" w:hAnsi="Arial" w:hint="default"/>
      </w:rPr>
    </w:lvl>
    <w:lvl w:ilvl="2" w:tplc="0554B80C" w:tentative="1">
      <w:start w:val="1"/>
      <w:numFmt w:val="bullet"/>
      <w:lvlText w:val="•"/>
      <w:lvlJc w:val="left"/>
      <w:pPr>
        <w:tabs>
          <w:tab w:val="num" w:pos="1800"/>
        </w:tabs>
        <w:ind w:left="1800" w:hanging="360"/>
      </w:pPr>
      <w:rPr>
        <w:rFonts w:ascii="Arial" w:hAnsi="Arial" w:hint="default"/>
      </w:rPr>
    </w:lvl>
    <w:lvl w:ilvl="3" w:tplc="5AD04816" w:tentative="1">
      <w:start w:val="1"/>
      <w:numFmt w:val="bullet"/>
      <w:lvlText w:val="•"/>
      <w:lvlJc w:val="left"/>
      <w:pPr>
        <w:tabs>
          <w:tab w:val="num" w:pos="2520"/>
        </w:tabs>
        <w:ind w:left="2520" w:hanging="360"/>
      </w:pPr>
      <w:rPr>
        <w:rFonts w:ascii="Arial" w:hAnsi="Arial" w:hint="default"/>
      </w:rPr>
    </w:lvl>
    <w:lvl w:ilvl="4" w:tplc="E544F604" w:tentative="1">
      <w:start w:val="1"/>
      <w:numFmt w:val="bullet"/>
      <w:lvlText w:val="•"/>
      <w:lvlJc w:val="left"/>
      <w:pPr>
        <w:tabs>
          <w:tab w:val="num" w:pos="3240"/>
        </w:tabs>
        <w:ind w:left="3240" w:hanging="360"/>
      </w:pPr>
      <w:rPr>
        <w:rFonts w:ascii="Arial" w:hAnsi="Arial" w:hint="default"/>
      </w:rPr>
    </w:lvl>
    <w:lvl w:ilvl="5" w:tplc="91AA933C" w:tentative="1">
      <w:start w:val="1"/>
      <w:numFmt w:val="bullet"/>
      <w:lvlText w:val="•"/>
      <w:lvlJc w:val="left"/>
      <w:pPr>
        <w:tabs>
          <w:tab w:val="num" w:pos="3960"/>
        </w:tabs>
        <w:ind w:left="3960" w:hanging="360"/>
      </w:pPr>
      <w:rPr>
        <w:rFonts w:ascii="Arial" w:hAnsi="Arial" w:hint="default"/>
      </w:rPr>
    </w:lvl>
    <w:lvl w:ilvl="6" w:tplc="0CE4EC92" w:tentative="1">
      <w:start w:val="1"/>
      <w:numFmt w:val="bullet"/>
      <w:lvlText w:val="•"/>
      <w:lvlJc w:val="left"/>
      <w:pPr>
        <w:tabs>
          <w:tab w:val="num" w:pos="4680"/>
        </w:tabs>
        <w:ind w:left="4680" w:hanging="360"/>
      </w:pPr>
      <w:rPr>
        <w:rFonts w:ascii="Arial" w:hAnsi="Arial" w:hint="default"/>
      </w:rPr>
    </w:lvl>
    <w:lvl w:ilvl="7" w:tplc="5322B7BE" w:tentative="1">
      <w:start w:val="1"/>
      <w:numFmt w:val="bullet"/>
      <w:lvlText w:val="•"/>
      <w:lvlJc w:val="left"/>
      <w:pPr>
        <w:tabs>
          <w:tab w:val="num" w:pos="5400"/>
        </w:tabs>
        <w:ind w:left="5400" w:hanging="360"/>
      </w:pPr>
      <w:rPr>
        <w:rFonts w:ascii="Arial" w:hAnsi="Arial" w:hint="default"/>
      </w:rPr>
    </w:lvl>
    <w:lvl w:ilvl="8" w:tplc="7804A430" w:tentative="1">
      <w:start w:val="1"/>
      <w:numFmt w:val="bullet"/>
      <w:lvlText w:val="•"/>
      <w:lvlJc w:val="left"/>
      <w:pPr>
        <w:tabs>
          <w:tab w:val="num" w:pos="6120"/>
        </w:tabs>
        <w:ind w:left="6120" w:hanging="360"/>
      </w:pPr>
      <w:rPr>
        <w:rFonts w:ascii="Arial" w:hAnsi="Arial" w:hint="default"/>
      </w:rPr>
    </w:lvl>
  </w:abstractNum>
  <w:abstractNum w:abstractNumId="14">
    <w:nsid w:val="76347DED"/>
    <w:multiLevelType w:val="hybridMultilevel"/>
    <w:tmpl w:val="08761366"/>
    <w:lvl w:ilvl="0" w:tplc="819A7F16">
      <w:start w:val="1"/>
      <w:numFmt w:val="lowerRoman"/>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7DB5CC4"/>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59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abstractNumId w:val="0"/>
  </w:num>
  <w:num w:numId="2">
    <w:abstractNumId w:val="9"/>
  </w:num>
  <w:num w:numId="3">
    <w:abstractNumId w:val="12"/>
  </w:num>
  <w:num w:numId="4">
    <w:abstractNumId w:val="2"/>
  </w:num>
  <w:num w:numId="5">
    <w:abstractNumId w:val="5"/>
  </w:num>
  <w:num w:numId="6">
    <w:abstractNumId w:val="10"/>
  </w:num>
  <w:num w:numId="7">
    <w:abstractNumId w:val="8"/>
  </w:num>
  <w:num w:numId="8">
    <w:abstractNumId w:val="15"/>
  </w:num>
  <w:num w:numId="9">
    <w:abstractNumId w:val="14"/>
  </w:num>
  <w:num w:numId="10">
    <w:abstractNumId w:val="7"/>
  </w:num>
  <w:num w:numId="11">
    <w:abstractNumId w:val="1"/>
  </w:num>
  <w:num w:numId="12">
    <w:abstractNumId w:val="6"/>
  </w:num>
  <w:num w:numId="13">
    <w:abstractNumId w:val="3"/>
  </w:num>
  <w:num w:numId="14">
    <w:abstractNumId w:val="11"/>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CA"/>
    <w:rsid w:val="00000217"/>
    <w:rsid w:val="00000465"/>
    <w:rsid w:val="0000048B"/>
    <w:rsid w:val="000012B5"/>
    <w:rsid w:val="0000134B"/>
    <w:rsid w:val="000013C4"/>
    <w:rsid w:val="000016CC"/>
    <w:rsid w:val="0000213C"/>
    <w:rsid w:val="00002841"/>
    <w:rsid w:val="00002AA5"/>
    <w:rsid w:val="00003319"/>
    <w:rsid w:val="000037DF"/>
    <w:rsid w:val="00003A29"/>
    <w:rsid w:val="00003D0A"/>
    <w:rsid w:val="000041CF"/>
    <w:rsid w:val="00004C32"/>
    <w:rsid w:val="00004DA8"/>
    <w:rsid w:val="0000536F"/>
    <w:rsid w:val="00005564"/>
    <w:rsid w:val="00005886"/>
    <w:rsid w:val="0000588C"/>
    <w:rsid w:val="000059A1"/>
    <w:rsid w:val="00005E61"/>
    <w:rsid w:val="00006B37"/>
    <w:rsid w:val="00006B97"/>
    <w:rsid w:val="000101C4"/>
    <w:rsid w:val="00011720"/>
    <w:rsid w:val="00011F53"/>
    <w:rsid w:val="00012D42"/>
    <w:rsid w:val="00013E31"/>
    <w:rsid w:val="000144A2"/>
    <w:rsid w:val="0001485D"/>
    <w:rsid w:val="000152C9"/>
    <w:rsid w:val="000159A2"/>
    <w:rsid w:val="0001756C"/>
    <w:rsid w:val="00017AAE"/>
    <w:rsid w:val="00020698"/>
    <w:rsid w:val="00021368"/>
    <w:rsid w:val="00021B49"/>
    <w:rsid w:val="000220A4"/>
    <w:rsid w:val="00023BDF"/>
    <w:rsid w:val="0002510A"/>
    <w:rsid w:val="000256AE"/>
    <w:rsid w:val="00025967"/>
    <w:rsid w:val="000259B5"/>
    <w:rsid w:val="00025BA3"/>
    <w:rsid w:val="000260D5"/>
    <w:rsid w:val="00026114"/>
    <w:rsid w:val="00026E2C"/>
    <w:rsid w:val="00027C38"/>
    <w:rsid w:val="00027C82"/>
    <w:rsid w:val="00027F87"/>
    <w:rsid w:val="000300AF"/>
    <w:rsid w:val="000329A8"/>
    <w:rsid w:val="00033CE9"/>
    <w:rsid w:val="00034B0F"/>
    <w:rsid w:val="00034C84"/>
    <w:rsid w:val="00034DEE"/>
    <w:rsid w:val="000357C4"/>
    <w:rsid w:val="00035FCC"/>
    <w:rsid w:val="00037319"/>
    <w:rsid w:val="00037BC7"/>
    <w:rsid w:val="00041E71"/>
    <w:rsid w:val="0004247F"/>
    <w:rsid w:val="00042885"/>
    <w:rsid w:val="00042B45"/>
    <w:rsid w:val="00042DCA"/>
    <w:rsid w:val="00043529"/>
    <w:rsid w:val="000435DB"/>
    <w:rsid w:val="00044863"/>
    <w:rsid w:val="00044A6D"/>
    <w:rsid w:val="00044BA0"/>
    <w:rsid w:val="00044C49"/>
    <w:rsid w:val="0004558C"/>
    <w:rsid w:val="00045738"/>
    <w:rsid w:val="00046E51"/>
    <w:rsid w:val="0004786C"/>
    <w:rsid w:val="00047A64"/>
    <w:rsid w:val="00047F19"/>
    <w:rsid w:val="000500D4"/>
    <w:rsid w:val="00050CA1"/>
    <w:rsid w:val="00051092"/>
    <w:rsid w:val="000510D4"/>
    <w:rsid w:val="0005237E"/>
    <w:rsid w:val="000528A4"/>
    <w:rsid w:val="00053254"/>
    <w:rsid w:val="00053EC6"/>
    <w:rsid w:val="000551C6"/>
    <w:rsid w:val="00055723"/>
    <w:rsid w:val="000557DA"/>
    <w:rsid w:val="0005670B"/>
    <w:rsid w:val="000573E4"/>
    <w:rsid w:val="000575A3"/>
    <w:rsid w:val="00057691"/>
    <w:rsid w:val="0006000A"/>
    <w:rsid w:val="000608B5"/>
    <w:rsid w:val="000626C8"/>
    <w:rsid w:val="00062F6F"/>
    <w:rsid w:val="00063917"/>
    <w:rsid w:val="00064AA2"/>
    <w:rsid w:val="00064CF9"/>
    <w:rsid w:val="00065988"/>
    <w:rsid w:val="00066C4B"/>
    <w:rsid w:val="00067B50"/>
    <w:rsid w:val="00070ACB"/>
    <w:rsid w:val="00071230"/>
    <w:rsid w:val="00071799"/>
    <w:rsid w:val="00071814"/>
    <w:rsid w:val="0007237B"/>
    <w:rsid w:val="00073A80"/>
    <w:rsid w:val="000748EA"/>
    <w:rsid w:val="00074B82"/>
    <w:rsid w:val="00075768"/>
    <w:rsid w:val="00075DB9"/>
    <w:rsid w:val="00075F40"/>
    <w:rsid w:val="00076C5B"/>
    <w:rsid w:val="000771F0"/>
    <w:rsid w:val="00077277"/>
    <w:rsid w:val="0007750A"/>
    <w:rsid w:val="00077A14"/>
    <w:rsid w:val="00077A3F"/>
    <w:rsid w:val="00077BA5"/>
    <w:rsid w:val="00081201"/>
    <w:rsid w:val="00081B46"/>
    <w:rsid w:val="0008213E"/>
    <w:rsid w:val="000836C9"/>
    <w:rsid w:val="00083C16"/>
    <w:rsid w:val="000841C6"/>
    <w:rsid w:val="00084855"/>
    <w:rsid w:val="00085CE8"/>
    <w:rsid w:val="00085E0C"/>
    <w:rsid w:val="00087A6C"/>
    <w:rsid w:val="00087C3E"/>
    <w:rsid w:val="000902E9"/>
    <w:rsid w:val="00090477"/>
    <w:rsid w:val="0009058F"/>
    <w:rsid w:val="00091684"/>
    <w:rsid w:val="00091D55"/>
    <w:rsid w:val="000924EF"/>
    <w:rsid w:val="00092971"/>
    <w:rsid w:val="0009338E"/>
    <w:rsid w:val="00093455"/>
    <w:rsid w:val="00093CB0"/>
    <w:rsid w:val="000946F3"/>
    <w:rsid w:val="00094D27"/>
    <w:rsid w:val="00096680"/>
    <w:rsid w:val="00096810"/>
    <w:rsid w:val="000968AA"/>
    <w:rsid w:val="00097A63"/>
    <w:rsid w:val="00097DE7"/>
    <w:rsid w:val="000A25C9"/>
    <w:rsid w:val="000A2661"/>
    <w:rsid w:val="000A2B60"/>
    <w:rsid w:val="000A2E58"/>
    <w:rsid w:val="000A2F7B"/>
    <w:rsid w:val="000A31A5"/>
    <w:rsid w:val="000A341D"/>
    <w:rsid w:val="000A35B5"/>
    <w:rsid w:val="000A4C4D"/>
    <w:rsid w:val="000A5B82"/>
    <w:rsid w:val="000A6C13"/>
    <w:rsid w:val="000A72B5"/>
    <w:rsid w:val="000A7894"/>
    <w:rsid w:val="000A7CDA"/>
    <w:rsid w:val="000B0796"/>
    <w:rsid w:val="000B1104"/>
    <w:rsid w:val="000B1180"/>
    <w:rsid w:val="000B1D9C"/>
    <w:rsid w:val="000B25D7"/>
    <w:rsid w:val="000B3CAA"/>
    <w:rsid w:val="000B4174"/>
    <w:rsid w:val="000B4964"/>
    <w:rsid w:val="000B58BA"/>
    <w:rsid w:val="000B5BD4"/>
    <w:rsid w:val="000B719C"/>
    <w:rsid w:val="000B74B4"/>
    <w:rsid w:val="000B7F31"/>
    <w:rsid w:val="000C09EB"/>
    <w:rsid w:val="000C0E33"/>
    <w:rsid w:val="000C1530"/>
    <w:rsid w:val="000C17D9"/>
    <w:rsid w:val="000C1BFD"/>
    <w:rsid w:val="000C3034"/>
    <w:rsid w:val="000C3B82"/>
    <w:rsid w:val="000C408C"/>
    <w:rsid w:val="000C5325"/>
    <w:rsid w:val="000C5C8E"/>
    <w:rsid w:val="000C61B9"/>
    <w:rsid w:val="000C69CC"/>
    <w:rsid w:val="000C6DC1"/>
    <w:rsid w:val="000D05C7"/>
    <w:rsid w:val="000D10B2"/>
    <w:rsid w:val="000D1180"/>
    <w:rsid w:val="000D14AE"/>
    <w:rsid w:val="000D154F"/>
    <w:rsid w:val="000D17A5"/>
    <w:rsid w:val="000D1BBA"/>
    <w:rsid w:val="000D2240"/>
    <w:rsid w:val="000D2769"/>
    <w:rsid w:val="000D3A51"/>
    <w:rsid w:val="000D4064"/>
    <w:rsid w:val="000D41E4"/>
    <w:rsid w:val="000D60C7"/>
    <w:rsid w:val="000D63FF"/>
    <w:rsid w:val="000D7078"/>
    <w:rsid w:val="000E090A"/>
    <w:rsid w:val="000E2009"/>
    <w:rsid w:val="000E25FF"/>
    <w:rsid w:val="000E2D9A"/>
    <w:rsid w:val="000E2E91"/>
    <w:rsid w:val="000E3BE7"/>
    <w:rsid w:val="000E3DE5"/>
    <w:rsid w:val="000E3F6A"/>
    <w:rsid w:val="000E5C80"/>
    <w:rsid w:val="000E63E5"/>
    <w:rsid w:val="000E6C4E"/>
    <w:rsid w:val="000E7A4B"/>
    <w:rsid w:val="000F05ED"/>
    <w:rsid w:val="000F18DD"/>
    <w:rsid w:val="000F26BD"/>
    <w:rsid w:val="000F2DA1"/>
    <w:rsid w:val="000F2F3A"/>
    <w:rsid w:val="000F2F46"/>
    <w:rsid w:val="000F3056"/>
    <w:rsid w:val="000F3F2B"/>
    <w:rsid w:val="000F4051"/>
    <w:rsid w:val="000F5105"/>
    <w:rsid w:val="000F5510"/>
    <w:rsid w:val="000F5597"/>
    <w:rsid w:val="000F5A31"/>
    <w:rsid w:val="000F5E2A"/>
    <w:rsid w:val="000F5EEC"/>
    <w:rsid w:val="000F6C80"/>
    <w:rsid w:val="000F738C"/>
    <w:rsid w:val="0010078F"/>
    <w:rsid w:val="001010AF"/>
    <w:rsid w:val="00101D07"/>
    <w:rsid w:val="001031F2"/>
    <w:rsid w:val="00103DE6"/>
    <w:rsid w:val="00105682"/>
    <w:rsid w:val="00106198"/>
    <w:rsid w:val="00107740"/>
    <w:rsid w:val="001078D8"/>
    <w:rsid w:val="00107A9E"/>
    <w:rsid w:val="00110860"/>
    <w:rsid w:val="00111143"/>
    <w:rsid w:val="00113970"/>
    <w:rsid w:val="001159A4"/>
    <w:rsid w:val="00115E1E"/>
    <w:rsid w:val="00115EF7"/>
    <w:rsid w:val="00115FCB"/>
    <w:rsid w:val="00116DED"/>
    <w:rsid w:val="0011786E"/>
    <w:rsid w:val="00117BE3"/>
    <w:rsid w:val="001203BC"/>
    <w:rsid w:val="00120E5E"/>
    <w:rsid w:val="00121429"/>
    <w:rsid w:val="00121C61"/>
    <w:rsid w:val="00122BCC"/>
    <w:rsid w:val="001236B4"/>
    <w:rsid w:val="00123C4E"/>
    <w:rsid w:val="001241C8"/>
    <w:rsid w:val="001257F2"/>
    <w:rsid w:val="001273E9"/>
    <w:rsid w:val="00127A64"/>
    <w:rsid w:val="001300AD"/>
    <w:rsid w:val="0013041C"/>
    <w:rsid w:val="001305A6"/>
    <w:rsid w:val="00130ECD"/>
    <w:rsid w:val="001312BD"/>
    <w:rsid w:val="0013146E"/>
    <w:rsid w:val="001317B8"/>
    <w:rsid w:val="0013241E"/>
    <w:rsid w:val="0013313C"/>
    <w:rsid w:val="00133FAB"/>
    <w:rsid w:val="0013448B"/>
    <w:rsid w:val="00134523"/>
    <w:rsid w:val="00136537"/>
    <w:rsid w:val="001371CF"/>
    <w:rsid w:val="00141257"/>
    <w:rsid w:val="001412BA"/>
    <w:rsid w:val="00141BF2"/>
    <w:rsid w:val="00142CD2"/>
    <w:rsid w:val="00142F1D"/>
    <w:rsid w:val="001431F2"/>
    <w:rsid w:val="00143952"/>
    <w:rsid w:val="00143EDB"/>
    <w:rsid w:val="0014452D"/>
    <w:rsid w:val="0014490C"/>
    <w:rsid w:val="00144DA1"/>
    <w:rsid w:val="00146065"/>
    <w:rsid w:val="00146134"/>
    <w:rsid w:val="00146865"/>
    <w:rsid w:val="00146F4B"/>
    <w:rsid w:val="00147913"/>
    <w:rsid w:val="001509DA"/>
    <w:rsid w:val="001509E7"/>
    <w:rsid w:val="00150C17"/>
    <w:rsid w:val="00150FF8"/>
    <w:rsid w:val="001522AA"/>
    <w:rsid w:val="001546C9"/>
    <w:rsid w:val="00154F27"/>
    <w:rsid w:val="00155AFF"/>
    <w:rsid w:val="00155B7F"/>
    <w:rsid w:val="00156694"/>
    <w:rsid w:val="00157E1A"/>
    <w:rsid w:val="00160656"/>
    <w:rsid w:val="00160ADD"/>
    <w:rsid w:val="00160D65"/>
    <w:rsid w:val="00161A18"/>
    <w:rsid w:val="00161E94"/>
    <w:rsid w:val="00162A3A"/>
    <w:rsid w:val="001631BD"/>
    <w:rsid w:val="00164B7E"/>
    <w:rsid w:val="00165860"/>
    <w:rsid w:val="00167495"/>
    <w:rsid w:val="00170168"/>
    <w:rsid w:val="0017047E"/>
    <w:rsid w:val="00170BD4"/>
    <w:rsid w:val="00170C72"/>
    <w:rsid w:val="00172B12"/>
    <w:rsid w:val="001734EC"/>
    <w:rsid w:val="00174591"/>
    <w:rsid w:val="001748BA"/>
    <w:rsid w:val="00174F9A"/>
    <w:rsid w:val="00175908"/>
    <w:rsid w:val="00176236"/>
    <w:rsid w:val="001763FC"/>
    <w:rsid w:val="00176C85"/>
    <w:rsid w:val="00180BAF"/>
    <w:rsid w:val="00180F46"/>
    <w:rsid w:val="00181C4C"/>
    <w:rsid w:val="00181CB7"/>
    <w:rsid w:val="001824D3"/>
    <w:rsid w:val="001824E8"/>
    <w:rsid w:val="00183C6D"/>
    <w:rsid w:val="00184667"/>
    <w:rsid w:val="00184E4F"/>
    <w:rsid w:val="00185008"/>
    <w:rsid w:val="001851E2"/>
    <w:rsid w:val="0018529C"/>
    <w:rsid w:val="00185CD3"/>
    <w:rsid w:val="00185F0E"/>
    <w:rsid w:val="001862D3"/>
    <w:rsid w:val="00186BF6"/>
    <w:rsid w:val="001877D0"/>
    <w:rsid w:val="00187A56"/>
    <w:rsid w:val="00190042"/>
    <w:rsid w:val="001901CC"/>
    <w:rsid w:val="001904B0"/>
    <w:rsid w:val="00190D55"/>
    <w:rsid w:val="00190F7A"/>
    <w:rsid w:val="00191D65"/>
    <w:rsid w:val="00191EA3"/>
    <w:rsid w:val="0019251C"/>
    <w:rsid w:val="0019266D"/>
    <w:rsid w:val="00192B36"/>
    <w:rsid w:val="001932A7"/>
    <w:rsid w:val="00193CDA"/>
    <w:rsid w:val="00194ABC"/>
    <w:rsid w:val="00195357"/>
    <w:rsid w:val="00195933"/>
    <w:rsid w:val="0019610C"/>
    <w:rsid w:val="001968F2"/>
    <w:rsid w:val="00196958"/>
    <w:rsid w:val="001A0847"/>
    <w:rsid w:val="001A08D0"/>
    <w:rsid w:val="001A135D"/>
    <w:rsid w:val="001A192C"/>
    <w:rsid w:val="001A221E"/>
    <w:rsid w:val="001A3C66"/>
    <w:rsid w:val="001A4630"/>
    <w:rsid w:val="001A46CF"/>
    <w:rsid w:val="001A4AD5"/>
    <w:rsid w:val="001A4DD9"/>
    <w:rsid w:val="001A519E"/>
    <w:rsid w:val="001A5EA2"/>
    <w:rsid w:val="001A7BC1"/>
    <w:rsid w:val="001B0052"/>
    <w:rsid w:val="001B01DC"/>
    <w:rsid w:val="001B0657"/>
    <w:rsid w:val="001B0C39"/>
    <w:rsid w:val="001B0D89"/>
    <w:rsid w:val="001B1471"/>
    <w:rsid w:val="001B1ABE"/>
    <w:rsid w:val="001B2094"/>
    <w:rsid w:val="001B4B43"/>
    <w:rsid w:val="001B5774"/>
    <w:rsid w:val="001B604D"/>
    <w:rsid w:val="001B74F4"/>
    <w:rsid w:val="001B7A29"/>
    <w:rsid w:val="001C1A41"/>
    <w:rsid w:val="001C281C"/>
    <w:rsid w:val="001C3666"/>
    <w:rsid w:val="001C6668"/>
    <w:rsid w:val="001C7492"/>
    <w:rsid w:val="001C7B90"/>
    <w:rsid w:val="001D05B6"/>
    <w:rsid w:val="001D1116"/>
    <w:rsid w:val="001D1857"/>
    <w:rsid w:val="001D1EBB"/>
    <w:rsid w:val="001D1EF2"/>
    <w:rsid w:val="001D217D"/>
    <w:rsid w:val="001D2553"/>
    <w:rsid w:val="001D2A97"/>
    <w:rsid w:val="001D3118"/>
    <w:rsid w:val="001D36FA"/>
    <w:rsid w:val="001D3AE7"/>
    <w:rsid w:val="001D44F1"/>
    <w:rsid w:val="001D488D"/>
    <w:rsid w:val="001D4BED"/>
    <w:rsid w:val="001D697F"/>
    <w:rsid w:val="001D6AA7"/>
    <w:rsid w:val="001E1697"/>
    <w:rsid w:val="001E22A7"/>
    <w:rsid w:val="001E236D"/>
    <w:rsid w:val="001E247E"/>
    <w:rsid w:val="001E26FB"/>
    <w:rsid w:val="001E2C16"/>
    <w:rsid w:val="001E378E"/>
    <w:rsid w:val="001E4312"/>
    <w:rsid w:val="001E4961"/>
    <w:rsid w:val="001E5BEC"/>
    <w:rsid w:val="001E5D9E"/>
    <w:rsid w:val="001E6136"/>
    <w:rsid w:val="001E660F"/>
    <w:rsid w:val="001E76C0"/>
    <w:rsid w:val="001E78EC"/>
    <w:rsid w:val="001E7A51"/>
    <w:rsid w:val="001F0181"/>
    <w:rsid w:val="001F06ED"/>
    <w:rsid w:val="001F1016"/>
    <w:rsid w:val="001F1E40"/>
    <w:rsid w:val="001F27BD"/>
    <w:rsid w:val="001F2969"/>
    <w:rsid w:val="001F34BF"/>
    <w:rsid w:val="001F45B1"/>
    <w:rsid w:val="001F618E"/>
    <w:rsid w:val="001F6214"/>
    <w:rsid w:val="00200058"/>
    <w:rsid w:val="0020041F"/>
    <w:rsid w:val="00200898"/>
    <w:rsid w:val="002012C3"/>
    <w:rsid w:val="00203CBF"/>
    <w:rsid w:val="00204D82"/>
    <w:rsid w:val="002055E6"/>
    <w:rsid w:val="00205F80"/>
    <w:rsid w:val="00206162"/>
    <w:rsid w:val="002067E5"/>
    <w:rsid w:val="00206C4C"/>
    <w:rsid w:val="0020720B"/>
    <w:rsid w:val="002072D8"/>
    <w:rsid w:val="0020772C"/>
    <w:rsid w:val="0020783F"/>
    <w:rsid w:val="00207E24"/>
    <w:rsid w:val="00210313"/>
    <w:rsid w:val="002111CF"/>
    <w:rsid w:val="0021173A"/>
    <w:rsid w:val="00211762"/>
    <w:rsid w:val="002138CD"/>
    <w:rsid w:val="00213DFC"/>
    <w:rsid w:val="0021440D"/>
    <w:rsid w:val="00214612"/>
    <w:rsid w:val="00214F69"/>
    <w:rsid w:val="002158BA"/>
    <w:rsid w:val="002158CC"/>
    <w:rsid w:val="00215CCE"/>
    <w:rsid w:val="0021698C"/>
    <w:rsid w:val="00216D45"/>
    <w:rsid w:val="002174A0"/>
    <w:rsid w:val="002178FD"/>
    <w:rsid w:val="00220CDF"/>
    <w:rsid w:val="00220D36"/>
    <w:rsid w:val="00220FF4"/>
    <w:rsid w:val="002215E2"/>
    <w:rsid w:val="0022192B"/>
    <w:rsid w:val="002220DC"/>
    <w:rsid w:val="0022250C"/>
    <w:rsid w:val="0022294F"/>
    <w:rsid w:val="00222BE2"/>
    <w:rsid w:val="00223BA2"/>
    <w:rsid w:val="00224085"/>
    <w:rsid w:val="002242A5"/>
    <w:rsid w:val="002252F6"/>
    <w:rsid w:val="002265F9"/>
    <w:rsid w:val="00227271"/>
    <w:rsid w:val="00227353"/>
    <w:rsid w:val="00227599"/>
    <w:rsid w:val="00227E0C"/>
    <w:rsid w:val="00231601"/>
    <w:rsid w:val="002325D6"/>
    <w:rsid w:val="00232882"/>
    <w:rsid w:val="002335F1"/>
    <w:rsid w:val="00236DAA"/>
    <w:rsid w:val="0024086A"/>
    <w:rsid w:val="00240E08"/>
    <w:rsid w:val="00241F34"/>
    <w:rsid w:val="00243047"/>
    <w:rsid w:val="00243AE5"/>
    <w:rsid w:val="00243C8F"/>
    <w:rsid w:val="00243CA4"/>
    <w:rsid w:val="00244DF1"/>
    <w:rsid w:val="00244F19"/>
    <w:rsid w:val="00245AEE"/>
    <w:rsid w:val="0024601B"/>
    <w:rsid w:val="00247C83"/>
    <w:rsid w:val="00251181"/>
    <w:rsid w:val="00251958"/>
    <w:rsid w:val="00251AAD"/>
    <w:rsid w:val="00251C19"/>
    <w:rsid w:val="00252109"/>
    <w:rsid w:val="00252141"/>
    <w:rsid w:val="00252E53"/>
    <w:rsid w:val="00253963"/>
    <w:rsid w:val="00253EB8"/>
    <w:rsid w:val="0025400E"/>
    <w:rsid w:val="0025434A"/>
    <w:rsid w:val="0025466B"/>
    <w:rsid w:val="00255046"/>
    <w:rsid w:val="002552E8"/>
    <w:rsid w:val="00255FB1"/>
    <w:rsid w:val="00256207"/>
    <w:rsid w:val="00256AC3"/>
    <w:rsid w:val="00256EAA"/>
    <w:rsid w:val="002573D2"/>
    <w:rsid w:val="002575D9"/>
    <w:rsid w:val="0026006A"/>
    <w:rsid w:val="002606C1"/>
    <w:rsid w:val="0026087C"/>
    <w:rsid w:val="0026159D"/>
    <w:rsid w:val="00261D75"/>
    <w:rsid w:val="00261EE5"/>
    <w:rsid w:val="00262454"/>
    <w:rsid w:val="0026275F"/>
    <w:rsid w:val="002629AE"/>
    <w:rsid w:val="002629CA"/>
    <w:rsid w:val="00263511"/>
    <w:rsid w:val="00263722"/>
    <w:rsid w:val="00263813"/>
    <w:rsid w:val="00263938"/>
    <w:rsid w:val="00263FD1"/>
    <w:rsid w:val="00264669"/>
    <w:rsid w:val="00264B39"/>
    <w:rsid w:val="00264B9E"/>
    <w:rsid w:val="00264C8E"/>
    <w:rsid w:val="0026535F"/>
    <w:rsid w:val="00266C7B"/>
    <w:rsid w:val="00266CCF"/>
    <w:rsid w:val="00267777"/>
    <w:rsid w:val="00267783"/>
    <w:rsid w:val="00270B29"/>
    <w:rsid w:val="00270D65"/>
    <w:rsid w:val="002717AC"/>
    <w:rsid w:val="00271AAB"/>
    <w:rsid w:val="00271FF3"/>
    <w:rsid w:val="00272BFE"/>
    <w:rsid w:val="00273970"/>
    <w:rsid w:val="00273988"/>
    <w:rsid w:val="00273E39"/>
    <w:rsid w:val="00274301"/>
    <w:rsid w:val="00274766"/>
    <w:rsid w:val="0027495C"/>
    <w:rsid w:val="00275B67"/>
    <w:rsid w:val="002760AC"/>
    <w:rsid w:val="0027625C"/>
    <w:rsid w:val="00277902"/>
    <w:rsid w:val="00277EF1"/>
    <w:rsid w:val="00280181"/>
    <w:rsid w:val="00280290"/>
    <w:rsid w:val="00281145"/>
    <w:rsid w:val="00281242"/>
    <w:rsid w:val="002813B0"/>
    <w:rsid w:val="00283675"/>
    <w:rsid w:val="002837AC"/>
    <w:rsid w:val="002837B3"/>
    <w:rsid w:val="00284330"/>
    <w:rsid w:val="0028444B"/>
    <w:rsid w:val="00284668"/>
    <w:rsid w:val="00284820"/>
    <w:rsid w:val="00284B8F"/>
    <w:rsid w:val="00284DF3"/>
    <w:rsid w:val="00284E8C"/>
    <w:rsid w:val="002867F7"/>
    <w:rsid w:val="00286DEC"/>
    <w:rsid w:val="002871B0"/>
    <w:rsid w:val="00287617"/>
    <w:rsid w:val="0028761C"/>
    <w:rsid w:val="00287DE5"/>
    <w:rsid w:val="002910B8"/>
    <w:rsid w:val="0029155B"/>
    <w:rsid w:val="00291C8B"/>
    <w:rsid w:val="00292A9E"/>
    <w:rsid w:val="00292CAE"/>
    <w:rsid w:val="00293D0B"/>
    <w:rsid w:val="00294A40"/>
    <w:rsid w:val="00296348"/>
    <w:rsid w:val="002974B7"/>
    <w:rsid w:val="0029750B"/>
    <w:rsid w:val="002979BD"/>
    <w:rsid w:val="002A00BE"/>
    <w:rsid w:val="002A0718"/>
    <w:rsid w:val="002A0BF0"/>
    <w:rsid w:val="002A1158"/>
    <w:rsid w:val="002A1EC5"/>
    <w:rsid w:val="002A3573"/>
    <w:rsid w:val="002A3DED"/>
    <w:rsid w:val="002A486B"/>
    <w:rsid w:val="002A4FDC"/>
    <w:rsid w:val="002A544B"/>
    <w:rsid w:val="002A627F"/>
    <w:rsid w:val="002A6888"/>
    <w:rsid w:val="002A6F88"/>
    <w:rsid w:val="002A72FF"/>
    <w:rsid w:val="002A741F"/>
    <w:rsid w:val="002A77CE"/>
    <w:rsid w:val="002A7F77"/>
    <w:rsid w:val="002B1C59"/>
    <w:rsid w:val="002B1EB6"/>
    <w:rsid w:val="002B25DC"/>
    <w:rsid w:val="002B411B"/>
    <w:rsid w:val="002B5385"/>
    <w:rsid w:val="002B5683"/>
    <w:rsid w:val="002B5916"/>
    <w:rsid w:val="002B6025"/>
    <w:rsid w:val="002B7662"/>
    <w:rsid w:val="002B7A4E"/>
    <w:rsid w:val="002C0C59"/>
    <w:rsid w:val="002C1A08"/>
    <w:rsid w:val="002C2B04"/>
    <w:rsid w:val="002C2ECC"/>
    <w:rsid w:val="002C34E9"/>
    <w:rsid w:val="002C3513"/>
    <w:rsid w:val="002C37E8"/>
    <w:rsid w:val="002C3880"/>
    <w:rsid w:val="002C399D"/>
    <w:rsid w:val="002C39BE"/>
    <w:rsid w:val="002C5A3C"/>
    <w:rsid w:val="002C5DFD"/>
    <w:rsid w:val="002C64A9"/>
    <w:rsid w:val="002C6593"/>
    <w:rsid w:val="002C65DD"/>
    <w:rsid w:val="002C7328"/>
    <w:rsid w:val="002C7470"/>
    <w:rsid w:val="002C7AFD"/>
    <w:rsid w:val="002C7DDC"/>
    <w:rsid w:val="002D19E8"/>
    <w:rsid w:val="002D1F58"/>
    <w:rsid w:val="002D27AD"/>
    <w:rsid w:val="002D31C2"/>
    <w:rsid w:val="002D3AEB"/>
    <w:rsid w:val="002D449B"/>
    <w:rsid w:val="002D49E7"/>
    <w:rsid w:val="002D5229"/>
    <w:rsid w:val="002D7EBD"/>
    <w:rsid w:val="002E0175"/>
    <w:rsid w:val="002E3DF8"/>
    <w:rsid w:val="002E4027"/>
    <w:rsid w:val="002E440C"/>
    <w:rsid w:val="002E4D22"/>
    <w:rsid w:val="002E4ECD"/>
    <w:rsid w:val="002E5317"/>
    <w:rsid w:val="002E5839"/>
    <w:rsid w:val="002E5D57"/>
    <w:rsid w:val="002E64F8"/>
    <w:rsid w:val="002E6548"/>
    <w:rsid w:val="002E725C"/>
    <w:rsid w:val="002F1C0E"/>
    <w:rsid w:val="002F1F69"/>
    <w:rsid w:val="002F30ED"/>
    <w:rsid w:val="002F34C6"/>
    <w:rsid w:val="002F3B49"/>
    <w:rsid w:val="002F4667"/>
    <w:rsid w:val="002F4AF0"/>
    <w:rsid w:val="002F5A56"/>
    <w:rsid w:val="002F66F3"/>
    <w:rsid w:val="002F68F6"/>
    <w:rsid w:val="002F6914"/>
    <w:rsid w:val="002F695A"/>
    <w:rsid w:val="002F7A0A"/>
    <w:rsid w:val="003001CC"/>
    <w:rsid w:val="00300973"/>
    <w:rsid w:val="00300D32"/>
    <w:rsid w:val="00301245"/>
    <w:rsid w:val="00301282"/>
    <w:rsid w:val="003019EF"/>
    <w:rsid w:val="003024C0"/>
    <w:rsid w:val="00302B91"/>
    <w:rsid w:val="003033EA"/>
    <w:rsid w:val="00303567"/>
    <w:rsid w:val="003035A9"/>
    <w:rsid w:val="00304484"/>
    <w:rsid w:val="00304852"/>
    <w:rsid w:val="00304F76"/>
    <w:rsid w:val="003058FE"/>
    <w:rsid w:val="00305F7A"/>
    <w:rsid w:val="00306096"/>
    <w:rsid w:val="003061B3"/>
    <w:rsid w:val="003061C2"/>
    <w:rsid w:val="0030754C"/>
    <w:rsid w:val="00307E9B"/>
    <w:rsid w:val="00307F8A"/>
    <w:rsid w:val="003109F5"/>
    <w:rsid w:val="00310BA5"/>
    <w:rsid w:val="003113B4"/>
    <w:rsid w:val="00311A18"/>
    <w:rsid w:val="00311BE2"/>
    <w:rsid w:val="003122D3"/>
    <w:rsid w:val="003128EE"/>
    <w:rsid w:val="0031371C"/>
    <w:rsid w:val="00313739"/>
    <w:rsid w:val="003150E3"/>
    <w:rsid w:val="00315339"/>
    <w:rsid w:val="0031556B"/>
    <w:rsid w:val="00317698"/>
    <w:rsid w:val="00321101"/>
    <w:rsid w:val="0032160C"/>
    <w:rsid w:val="00322634"/>
    <w:rsid w:val="00322898"/>
    <w:rsid w:val="0032297C"/>
    <w:rsid w:val="003237AE"/>
    <w:rsid w:val="00323EA0"/>
    <w:rsid w:val="003243AD"/>
    <w:rsid w:val="00324E27"/>
    <w:rsid w:val="003255BA"/>
    <w:rsid w:val="00325A8C"/>
    <w:rsid w:val="00326415"/>
    <w:rsid w:val="00326CA3"/>
    <w:rsid w:val="00326D64"/>
    <w:rsid w:val="00327A4C"/>
    <w:rsid w:val="00327AAE"/>
    <w:rsid w:val="00327CAE"/>
    <w:rsid w:val="003300F8"/>
    <w:rsid w:val="00330A91"/>
    <w:rsid w:val="00331D6B"/>
    <w:rsid w:val="0033268D"/>
    <w:rsid w:val="00332ED3"/>
    <w:rsid w:val="003334B7"/>
    <w:rsid w:val="00334AB6"/>
    <w:rsid w:val="00336583"/>
    <w:rsid w:val="00337D38"/>
    <w:rsid w:val="003400C5"/>
    <w:rsid w:val="0034068A"/>
    <w:rsid w:val="003409E0"/>
    <w:rsid w:val="00340B08"/>
    <w:rsid w:val="00342E80"/>
    <w:rsid w:val="0034346C"/>
    <w:rsid w:val="00343DF7"/>
    <w:rsid w:val="00344974"/>
    <w:rsid w:val="003457BF"/>
    <w:rsid w:val="00345D55"/>
    <w:rsid w:val="00346119"/>
    <w:rsid w:val="003479B5"/>
    <w:rsid w:val="00347E91"/>
    <w:rsid w:val="00347F3A"/>
    <w:rsid w:val="003521F5"/>
    <w:rsid w:val="003529D2"/>
    <w:rsid w:val="00353DBF"/>
    <w:rsid w:val="00354DC2"/>
    <w:rsid w:val="00355602"/>
    <w:rsid w:val="00356119"/>
    <w:rsid w:val="003561DB"/>
    <w:rsid w:val="00356671"/>
    <w:rsid w:val="003576DF"/>
    <w:rsid w:val="003577B6"/>
    <w:rsid w:val="003604E0"/>
    <w:rsid w:val="00361A00"/>
    <w:rsid w:val="00361F2E"/>
    <w:rsid w:val="0036233C"/>
    <w:rsid w:val="003624A1"/>
    <w:rsid w:val="00362B85"/>
    <w:rsid w:val="00362E9F"/>
    <w:rsid w:val="0036301E"/>
    <w:rsid w:val="00363A0B"/>
    <w:rsid w:val="00366996"/>
    <w:rsid w:val="00366C75"/>
    <w:rsid w:val="00366E9D"/>
    <w:rsid w:val="00366FD5"/>
    <w:rsid w:val="003673D6"/>
    <w:rsid w:val="00367770"/>
    <w:rsid w:val="0037245A"/>
    <w:rsid w:val="00372CD0"/>
    <w:rsid w:val="00372FB4"/>
    <w:rsid w:val="00374C37"/>
    <w:rsid w:val="00375479"/>
    <w:rsid w:val="003758E1"/>
    <w:rsid w:val="003769A5"/>
    <w:rsid w:val="003772EB"/>
    <w:rsid w:val="0037788A"/>
    <w:rsid w:val="00377949"/>
    <w:rsid w:val="003811D5"/>
    <w:rsid w:val="00382233"/>
    <w:rsid w:val="00383AC6"/>
    <w:rsid w:val="00383D5A"/>
    <w:rsid w:val="00383DB0"/>
    <w:rsid w:val="00386699"/>
    <w:rsid w:val="003867D0"/>
    <w:rsid w:val="00386FF7"/>
    <w:rsid w:val="0038714A"/>
    <w:rsid w:val="00387798"/>
    <w:rsid w:val="003877A7"/>
    <w:rsid w:val="00387B73"/>
    <w:rsid w:val="00387FF3"/>
    <w:rsid w:val="0039000B"/>
    <w:rsid w:val="00390CF1"/>
    <w:rsid w:val="00391109"/>
    <w:rsid w:val="00391DE8"/>
    <w:rsid w:val="00392DAF"/>
    <w:rsid w:val="00393BFF"/>
    <w:rsid w:val="00393EAA"/>
    <w:rsid w:val="00394146"/>
    <w:rsid w:val="003942C4"/>
    <w:rsid w:val="00394585"/>
    <w:rsid w:val="003948DC"/>
    <w:rsid w:val="00394940"/>
    <w:rsid w:val="0039561D"/>
    <w:rsid w:val="00395E1D"/>
    <w:rsid w:val="00395F99"/>
    <w:rsid w:val="0039658E"/>
    <w:rsid w:val="003966DD"/>
    <w:rsid w:val="003A0B84"/>
    <w:rsid w:val="003A1116"/>
    <w:rsid w:val="003A28EA"/>
    <w:rsid w:val="003A2DFF"/>
    <w:rsid w:val="003A30A8"/>
    <w:rsid w:val="003A311C"/>
    <w:rsid w:val="003A3D7B"/>
    <w:rsid w:val="003A42E3"/>
    <w:rsid w:val="003A4F17"/>
    <w:rsid w:val="003A50EB"/>
    <w:rsid w:val="003A5C00"/>
    <w:rsid w:val="003A5D03"/>
    <w:rsid w:val="003A66CE"/>
    <w:rsid w:val="003A69AE"/>
    <w:rsid w:val="003A737C"/>
    <w:rsid w:val="003B014F"/>
    <w:rsid w:val="003B11B3"/>
    <w:rsid w:val="003B18CA"/>
    <w:rsid w:val="003B1D2A"/>
    <w:rsid w:val="003B253F"/>
    <w:rsid w:val="003B33F1"/>
    <w:rsid w:val="003B3CE3"/>
    <w:rsid w:val="003B58B6"/>
    <w:rsid w:val="003B6055"/>
    <w:rsid w:val="003B6695"/>
    <w:rsid w:val="003B754D"/>
    <w:rsid w:val="003C0716"/>
    <w:rsid w:val="003C17EB"/>
    <w:rsid w:val="003C1A73"/>
    <w:rsid w:val="003C1C88"/>
    <w:rsid w:val="003C279A"/>
    <w:rsid w:val="003C2F73"/>
    <w:rsid w:val="003C3CEF"/>
    <w:rsid w:val="003C428C"/>
    <w:rsid w:val="003C4C2B"/>
    <w:rsid w:val="003C5792"/>
    <w:rsid w:val="003C6DDF"/>
    <w:rsid w:val="003D0F1C"/>
    <w:rsid w:val="003D10D1"/>
    <w:rsid w:val="003D11E9"/>
    <w:rsid w:val="003D14BD"/>
    <w:rsid w:val="003D1BA9"/>
    <w:rsid w:val="003D2158"/>
    <w:rsid w:val="003D22AA"/>
    <w:rsid w:val="003D2859"/>
    <w:rsid w:val="003D2CEA"/>
    <w:rsid w:val="003D3198"/>
    <w:rsid w:val="003D4036"/>
    <w:rsid w:val="003D4566"/>
    <w:rsid w:val="003D4DBD"/>
    <w:rsid w:val="003D5067"/>
    <w:rsid w:val="003D553C"/>
    <w:rsid w:val="003D6E44"/>
    <w:rsid w:val="003D74AF"/>
    <w:rsid w:val="003D7C94"/>
    <w:rsid w:val="003E058E"/>
    <w:rsid w:val="003E16B6"/>
    <w:rsid w:val="003E27D3"/>
    <w:rsid w:val="003E2B6C"/>
    <w:rsid w:val="003E41F8"/>
    <w:rsid w:val="003E508A"/>
    <w:rsid w:val="003E61E7"/>
    <w:rsid w:val="003E6C15"/>
    <w:rsid w:val="003E7360"/>
    <w:rsid w:val="003E79A0"/>
    <w:rsid w:val="003F00D0"/>
    <w:rsid w:val="003F012C"/>
    <w:rsid w:val="003F0A9F"/>
    <w:rsid w:val="003F264D"/>
    <w:rsid w:val="003F2F44"/>
    <w:rsid w:val="003F39C8"/>
    <w:rsid w:val="003F3AF4"/>
    <w:rsid w:val="003F3B11"/>
    <w:rsid w:val="003F40A7"/>
    <w:rsid w:val="003F4392"/>
    <w:rsid w:val="003F4497"/>
    <w:rsid w:val="003F45BE"/>
    <w:rsid w:val="003F4CFF"/>
    <w:rsid w:val="003F55B3"/>
    <w:rsid w:val="003F599A"/>
    <w:rsid w:val="003F6044"/>
    <w:rsid w:val="003F6471"/>
    <w:rsid w:val="00400F26"/>
    <w:rsid w:val="00401B50"/>
    <w:rsid w:val="00401BF5"/>
    <w:rsid w:val="00401C41"/>
    <w:rsid w:val="00401EBB"/>
    <w:rsid w:val="00402265"/>
    <w:rsid w:val="00402BB4"/>
    <w:rsid w:val="004044E5"/>
    <w:rsid w:val="00405BD1"/>
    <w:rsid w:val="00405DD1"/>
    <w:rsid w:val="00406336"/>
    <w:rsid w:val="0041000D"/>
    <w:rsid w:val="00410585"/>
    <w:rsid w:val="004106A5"/>
    <w:rsid w:val="00410A2D"/>
    <w:rsid w:val="0041161E"/>
    <w:rsid w:val="00411C4A"/>
    <w:rsid w:val="004126EC"/>
    <w:rsid w:val="0041310D"/>
    <w:rsid w:val="00413A1E"/>
    <w:rsid w:val="00413AED"/>
    <w:rsid w:val="00414179"/>
    <w:rsid w:val="004146CC"/>
    <w:rsid w:val="00414985"/>
    <w:rsid w:val="00414EB3"/>
    <w:rsid w:val="00415A64"/>
    <w:rsid w:val="0041630D"/>
    <w:rsid w:val="004169DE"/>
    <w:rsid w:val="00417127"/>
    <w:rsid w:val="00417A75"/>
    <w:rsid w:val="00417E38"/>
    <w:rsid w:val="00420492"/>
    <w:rsid w:val="00421B5E"/>
    <w:rsid w:val="00422326"/>
    <w:rsid w:val="00423187"/>
    <w:rsid w:val="004232BD"/>
    <w:rsid w:val="004239C5"/>
    <w:rsid w:val="00424FF1"/>
    <w:rsid w:val="00425CDF"/>
    <w:rsid w:val="00426597"/>
    <w:rsid w:val="00426885"/>
    <w:rsid w:val="00427E37"/>
    <w:rsid w:val="004303C3"/>
    <w:rsid w:val="00430A7A"/>
    <w:rsid w:val="004311A6"/>
    <w:rsid w:val="00431855"/>
    <w:rsid w:val="00432949"/>
    <w:rsid w:val="00432F8E"/>
    <w:rsid w:val="0043346F"/>
    <w:rsid w:val="00433C5E"/>
    <w:rsid w:val="00434650"/>
    <w:rsid w:val="00435330"/>
    <w:rsid w:val="00435770"/>
    <w:rsid w:val="004359FE"/>
    <w:rsid w:val="0043681C"/>
    <w:rsid w:val="0044041F"/>
    <w:rsid w:val="00440524"/>
    <w:rsid w:val="00441109"/>
    <w:rsid w:val="00441DDD"/>
    <w:rsid w:val="004423BC"/>
    <w:rsid w:val="0044256E"/>
    <w:rsid w:val="00443755"/>
    <w:rsid w:val="004438EB"/>
    <w:rsid w:val="004449C7"/>
    <w:rsid w:val="00445A75"/>
    <w:rsid w:val="00445ACB"/>
    <w:rsid w:val="00446011"/>
    <w:rsid w:val="0044649D"/>
    <w:rsid w:val="004465B3"/>
    <w:rsid w:val="00446E16"/>
    <w:rsid w:val="0045076A"/>
    <w:rsid w:val="00451CCA"/>
    <w:rsid w:val="004523A6"/>
    <w:rsid w:val="004531E6"/>
    <w:rsid w:val="004548F3"/>
    <w:rsid w:val="00454A70"/>
    <w:rsid w:val="00454C9B"/>
    <w:rsid w:val="00454F93"/>
    <w:rsid w:val="00455040"/>
    <w:rsid w:val="00455B24"/>
    <w:rsid w:val="004560C5"/>
    <w:rsid w:val="0045637F"/>
    <w:rsid w:val="004567B6"/>
    <w:rsid w:val="00456841"/>
    <w:rsid w:val="00456C27"/>
    <w:rsid w:val="0045709D"/>
    <w:rsid w:val="004575B1"/>
    <w:rsid w:val="00457852"/>
    <w:rsid w:val="00460681"/>
    <w:rsid w:val="00461D99"/>
    <w:rsid w:val="00462032"/>
    <w:rsid w:val="00463351"/>
    <w:rsid w:val="004634D0"/>
    <w:rsid w:val="004635B9"/>
    <w:rsid w:val="00463A7B"/>
    <w:rsid w:val="00463DCA"/>
    <w:rsid w:val="00464686"/>
    <w:rsid w:val="00464FC3"/>
    <w:rsid w:val="004659FE"/>
    <w:rsid w:val="004667BA"/>
    <w:rsid w:val="004668BC"/>
    <w:rsid w:val="00466B21"/>
    <w:rsid w:val="004675F2"/>
    <w:rsid w:val="00467876"/>
    <w:rsid w:val="00467D33"/>
    <w:rsid w:val="00471016"/>
    <w:rsid w:val="00471635"/>
    <w:rsid w:val="00471B67"/>
    <w:rsid w:val="00472013"/>
    <w:rsid w:val="0047229D"/>
    <w:rsid w:val="0047382F"/>
    <w:rsid w:val="0047454C"/>
    <w:rsid w:val="00475014"/>
    <w:rsid w:val="0047538A"/>
    <w:rsid w:val="004759B7"/>
    <w:rsid w:val="00476645"/>
    <w:rsid w:val="0047693B"/>
    <w:rsid w:val="004775F5"/>
    <w:rsid w:val="00477859"/>
    <w:rsid w:val="00477A7D"/>
    <w:rsid w:val="00481BBA"/>
    <w:rsid w:val="00481BC4"/>
    <w:rsid w:val="00482C0B"/>
    <w:rsid w:val="004835BE"/>
    <w:rsid w:val="00484519"/>
    <w:rsid w:val="00485BE4"/>
    <w:rsid w:val="00485F5B"/>
    <w:rsid w:val="004866AA"/>
    <w:rsid w:val="00487173"/>
    <w:rsid w:val="00487443"/>
    <w:rsid w:val="0048767A"/>
    <w:rsid w:val="004876EA"/>
    <w:rsid w:val="00492498"/>
    <w:rsid w:val="004934FE"/>
    <w:rsid w:val="004935A8"/>
    <w:rsid w:val="00493895"/>
    <w:rsid w:val="00493BF1"/>
    <w:rsid w:val="00494589"/>
    <w:rsid w:val="00494971"/>
    <w:rsid w:val="004951D9"/>
    <w:rsid w:val="00495577"/>
    <w:rsid w:val="0049579B"/>
    <w:rsid w:val="004976A1"/>
    <w:rsid w:val="004A059D"/>
    <w:rsid w:val="004A0EBD"/>
    <w:rsid w:val="004A18CA"/>
    <w:rsid w:val="004A1A6C"/>
    <w:rsid w:val="004A2DDD"/>
    <w:rsid w:val="004A3220"/>
    <w:rsid w:val="004A357F"/>
    <w:rsid w:val="004A376B"/>
    <w:rsid w:val="004A3AB6"/>
    <w:rsid w:val="004A3B36"/>
    <w:rsid w:val="004A3B91"/>
    <w:rsid w:val="004A3E3F"/>
    <w:rsid w:val="004A4448"/>
    <w:rsid w:val="004A4456"/>
    <w:rsid w:val="004A52F5"/>
    <w:rsid w:val="004A558B"/>
    <w:rsid w:val="004A5EC2"/>
    <w:rsid w:val="004A6023"/>
    <w:rsid w:val="004A61EB"/>
    <w:rsid w:val="004A6B88"/>
    <w:rsid w:val="004A70DB"/>
    <w:rsid w:val="004B0D4C"/>
    <w:rsid w:val="004B1431"/>
    <w:rsid w:val="004B14EB"/>
    <w:rsid w:val="004B2032"/>
    <w:rsid w:val="004B20ED"/>
    <w:rsid w:val="004B22AA"/>
    <w:rsid w:val="004B2E37"/>
    <w:rsid w:val="004B3A6E"/>
    <w:rsid w:val="004B42C1"/>
    <w:rsid w:val="004B450D"/>
    <w:rsid w:val="004B49A7"/>
    <w:rsid w:val="004B5DB4"/>
    <w:rsid w:val="004B5FB7"/>
    <w:rsid w:val="004B6D80"/>
    <w:rsid w:val="004B6F79"/>
    <w:rsid w:val="004B7F67"/>
    <w:rsid w:val="004C2A4F"/>
    <w:rsid w:val="004C40D2"/>
    <w:rsid w:val="004C41A6"/>
    <w:rsid w:val="004C49E0"/>
    <w:rsid w:val="004C5CC6"/>
    <w:rsid w:val="004C6BCF"/>
    <w:rsid w:val="004C71A7"/>
    <w:rsid w:val="004C7EB2"/>
    <w:rsid w:val="004D186D"/>
    <w:rsid w:val="004D2FB7"/>
    <w:rsid w:val="004D3060"/>
    <w:rsid w:val="004D38D1"/>
    <w:rsid w:val="004D3C34"/>
    <w:rsid w:val="004D3EAD"/>
    <w:rsid w:val="004D3F3A"/>
    <w:rsid w:val="004D4794"/>
    <w:rsid w:val="004D482A"/>
    <w:rsid w:val="004D4EE6"/>
    <w:rsid w:val="004D56C2"/>
    <w:rsid w:val="004D5DFA"/>
    <w:rsid w:val="004D678D"/>
    <w:rsid w:val="004D7A07"/>
    <w:rsid w:val="004E01FF"/>
    <w:rsid w:val="004E11A0"/>
    <w:rsid w:val="004E14B7"/>
    <w:rsid w:val="004E1BEF"/>
    <w:rsid w:val="004E1F92"/>
    <w:rsid w:val="004E26CD"/>
    <w:rsid w:val="004E2B2F"/>
    <w:rsid w:val="004E2C3B"/>
    <w:rsid w:val="004E3148"/>
    <w:rsid w:val="004E5330"/>
    <w:rsid w:val="004E6165"/>
    <w:rsid w:val="004E6676"/>
    <w:rsid w:val="004E7CB3"/>
    <w:rsid w:val="004F0791"/>
    <w:rsid w:val="004F147D"/>
    <w:rsid w:val="004F1C99"/>
    <w:rsid w:val="004F2E2F"/>
    <w:rsid w:val="004F2E6D"/>
    <w:rsid w:val="004F33AE"/>
    <w:rsid w:val="004F3F39"/>
    <w:rsid w:val="004F4039"/>
    <w:rsid w:val="004F4580"/>
    <w:rsid w:val="004F4F79"/>
    <w:rsid w:val="004F5602"/>
    <w:rsid w:val="004F5CA7"/>
    <w:rsid w:val="004F6A73"/>
    <w:rsid w:val="004F6E63"/>
    <w:rsid w:val="004F7688"/>
    <w:rsid w:val="004F79F0"/>
    <w:rsid w:val="005000EF"/>
    <w:rsid w:val="00500A4D"/>
    <w:rsid w:val="00500D08"/>
    <w:rsid w:val="00500DF1"/>
    <w:rsid w:val="005011CF"/>
    <w:rsid w:val="005014B5"/>
    <w:rsid w:val="00501ED8"/>
    <w:rsid w:val="005027D0"/>
    <w:rsid w:val="0050315F"/>
    <w:rsid w:val="0050364E"/>
    <w:rsid w:val="00503B18"/>
    <w:rsid w:val="005047D1"/>
    <w:rsid w:val="00504F23"/>
    <w:rsid w:val="00505DE3"/>
    <w:rsid w:val="00506021"/>
    <w:rsid w:val="005062AB"/>
    <w:rsid w:val="00506646"/>
    <w:rsid w:val="00506C99"/>
    <w:rsid w:val="00507778"/>
    <w:rsid w:val="00510818"/>
    <w:rsid w:val="00510913"/>
    <w:rsid w:val="00510F24"/>
    <w:rsid w:val="005113CE"/>
    <w:rsid w:val="00513E21"/>
    <w:rsid w:val="00514A9E"/>
    <w:rsid w:val="00515E84"/>
    <w:rsid w:val="005161CA"/>
    <w:rsid w:val="00516489"/>
    <w:rsid w:val="00517371"/>
    <w:rsid w:val="00517DC7"/>
    <w:rsid w:val="00521EBC"/>
    <w:rsid w:val="00522AE2"/>
    <w:rsid w:val="00523741"/>
    <w:rsid w:val="00523E46"/>
    <w:rsid w:val="005247B5"/>
    <w:rsid w:val="00524996"/>
    <w:rsid w:val="0052534E"/>
    <w:rsid w:val="005253E1"/>
    <w:rsid w:val="00525540"/>
    <w:rsid w:val="005262CE"/>
    <w:rsid w:val="005263E0"/>
    <w:rsid w:val="005265DB"/>
    <w:rsid w:val="00527B28"/>
    <w:rsid w:val="00527D62"/>
    <w:rsid w:val="0053019B"/>
    <w:rsid w:val="00530B0A"/>
    <w:rsid w:val="0053152B"/>
    <w:rsid w:val="0053219E"/>
    <w:rsid w:val="005332E9"/>
    <w:rsid w:val="005363DF"/>
    <w:rsid w:val="00536480"/>
    <w:rsid w:val="00536B89"/>
    <w:rsid w:val="00537683"/>
    <w:rsid w:val="005400B8"/>
    <w:rsid w:val="00540211"/>
    <w:rsid w:val="00540475"/>
    <w:rsid w:val="005408D7"/>
    <w:rsid w:val="00541143"/>
    <w:rsid w:val="00542797"/>
    <w:rsid w:val="00542956"/>
    <w:rsid w:val="005432E4"/>
    <w:rsid w:val="00546819"/>
    <w:rsid w:val="005468D0"/>
    <w:rsid w:val="00546E96"/>
    <w:rsid w:val="00547EAF"/>
    <w:rsid w:val="005501C2"/>
    <w:rsid w:val="005503A8"/>
    <w:rsid w:val="005504F8"/>
    <w:rsid w:val="005508D9"/>
    <w:rsid w:val="00551D19"/>
    <w:rsid w:val="00551F5D"/>
    <w:rsid w:val="00551FBB"/>
    <w:rsid w:val="00551FED"/>
    <w:rsid w:val="00551FF0"/>
    <w:rsid w:val="005524F0"/>
    <w:rsid w:val="00552C8C"/>
    <w:rsid w:val="0055302F"/>
    <w:rsid w:val="0055690C"/>
    <w:rsid w:val="005573DD"/>
    <w:rsid w:val="00557615"/>
    <w:rsid w:val="00557675"/>
    <w:rsid w:val="00557893"/>
    <w:rsid w:val="005609E7"/>
    <w:rsid w:val="005614E5"/>
    <w:rsid w:val="005631CF"/>
    <w:rsid w:val="00563437"/>
    <w:rsid w:val="005638BC"/>
    <w:rsid w:val="00564D4D"/>
    <w:rsid w:val="00564FE2"/>
    <w:rsid w:val="00565C37"/>
    <w:rsid w:val="005660DA"/>
    <w:rsid w:val="00566125"/>
    <w:rsid w:val="005664AC"/>
    <w:rsid w:val="005665B5"/>
    <w:rsid w:val="00567223"/>
    <w:rsid w:val="00570008"/>
    <w:rsid w:val="005704A8"/>
    <w:rsid w:val="00571758"/>
    <w:rsid w:val="00571A73"/>
    <w:rsid w:val="00572379"/>
    <w:rsid w:val="0057277F"/>
    <w:rsid w:val="005732CD"/>
    <w:rsid w:val="00574422"/>
    <w:rsid w:val="0057479B"/>
    <w:rsid w:val="005752FE"/>
    <w:rsid w:val="00576DA1"/>
    <w:rsid w:val="0058069F"/>
    <w:rsid w:val="005808C0"/>
    <w:rsid w:val="0058162E"/>
    <w:rsid w:val="005816E9"/>
    <w:rsid w:val="005818F8"/>
    <w:rsid w:val="00581C6F"/>
    <w:rsid w:val="00582341"/>
    <w:rsid w:val="00583392"/>
    <w:rsid w:val="00584BDD"/>
    <w:rsid w:val="005853F1"/>
    <w:rsid w:val="005859BD"/>
    <w:rsid w:val="00586CE1"/>
    <w:rsid w:val="0058738A"/>
    <w:rsid w:val="005875CA"/>
    <w:rsid w:val="00587A22"/>
    <w:rsid w:val="00587C32"/>
    <w:rsid w:val="005900BE"/>
    <w:rsid w:val="00590365"/>
    <w:rsid w:val="00591777"/>
    <w:rsid w:val="005918C6"/>
    <w:rsid w:val="00591B46"/>
    <w:rsid w:val="00592296"/>
    <w:rsid w:val="005933D7"/>
    <w:rsid w:val="00593443"/>
    <w:rsid w:val="00593530"/>
    <w:rsid w:val="00594899"/>
    <w:rsid w:val="00596347"/>
    <w:rsid w:val="00596959"/>
    <w:rsid w:val="00596F92"/>
    <w:rsid w:val="00597B37"/>
    <w:rsid w:val="00597DCF"/>
    <w:rsid w:val="005A2497"/>
    <w:rsid w:val="005A2B44"/>
    <w:rsid w:val="005A2DB7"/>
    <w:rsid w:val="005A3255"/>
    <w:rsid w:val="005A3306"/>
    <w:rsid w:val="005A3FAE"/>
    <w:rsid w:val="005A4284"/>
    <w:rsid w:val="005A47F8"/>
    <w:rsid w:val="005A5D8A"/>
    <w:rsid w:val="005A62F6"/>
    <w:rsid w:val="005A7365"/>
    <w:rsid w:val="005A76F1"/>
    <w:rsid w:val="005A7B0C"/>
    <w:rsid w:val="005B0212"/>
    <w:rsid w:val="005B13F8"/>
    <w:rsid w:val="005B1885"/>
    <w:rsid w:val="005B2B33"/>
    <w:rsid w:val="005B2F99"/>
    <w:rsid w:val="005B30F4"/>
    <w:rsid w:val="005B332C"/>
    <w:rsid w:val="005B392B"/>
    <w:rsid w:val="005B4521"/>
    <w:rsid w:val="005B4C32"/>
    <w:rsid w:val="005B4CF2"/>
    <w:rsid w:val="005B6054"/>
    <w:rsid w:val="005B6108"/>
    <w:rsid w:val="005B720D"/>
    <w:rsid w:val="005B75B3"/>
    <w:rsid w:val="005B7BF6"/>
    <w:rsid w:val="005C00F8"/>
    <w:rsid w:val="005C07C7"/>
    <w:rsid w:val="005C1053"/>
    <w:rsid w:val="005C263F"/>
    <w:rsid w:val="005C3AD5"/>
    <w:rsid w:val="005C4EED"/>
    <w:rsid w:val="005C4F27"/>
    <w:rsid w:val="005C6E93"/>
    <w:rsid w:val="005C6F03"/>
    <w:rsid w:val="005D0002"/>
    <w:rsid w:val="005D0BF9"/>
    <w:rsid w:val="005D0E32"/>
    <w:rsid w:val="005D0E3E"/>
    <w:rsid w:val="005D1C8C"/>
    <w:rsid w:val="005D1F32"/>
    <w:rsid w:val="005D249E"/>
    <w:rsid w:val="005D320E"/>
    <w:rsid w:val="005D3E4B"/>
    <w:rsid w:val="005D4029"/>
    <w:rsid w:val="005D42E1"/>
    <w:rsid w:val="005D4E8E"/>
    <w:rsid w:val="005D616C"/>
    <w:rsid w:val="005D68AE"/>
    <w:rsid w:val="005D6EEB"/>
    <w:rsid w:val="005D7A4C"/>
    <w:rsid w:val="005D7DE4"/>
    <w:rsid w:val="005E0906"/>
    <w:rsid w:val="005E0983"/>
    <w:rsid w:val="005E0F01"/>
    <w:rsid w:val="005E123D"/>
    <w:rsid w:val="005E2605"/>
    <w:rsid w:val="005E2EF3"/>
    <w:rsid w:val="005E30C4"/>
    <w:rsid w:val="005E3D57"/>
    <w:rsid w:val="005E44A7"/>
    <w:rsid w:val="005E44C6"/>
    <w:rsid w:val="005E547C"/>
    <w:rsid w:val="005E54EB"/>
    <w:rsid w:val="005E56E4"/>
    <w:rsid w:val="005E5E8A"/>
    <w:rsid w:val="005E6F66"/>
    <w:rsid w:val="005E7B05"/>
    <w:rsid w:val="005E7B83"/>
    <w:rsid w:val="005F074E"/>
    <w:rsid w:val="005F0D33"/>
    <w:rsid w:val="005F237E"/>
    <w:rsid w:val="005F2993"/>
    <w:rsid w:val="005F2B51"/>
    <w:rsid w:val="005F2E49"/>
    <w:rsid w:val="005F3063"/>
    <w:rsid w:val="005F3748"/>
    <w:rsid w:val="005F3972"/>
    <w:rsid w:val="005F4300"/>
    <w:rsid w:val="005F4FAD"/>
    <w:rsid w:val="005F5365"/>
    <w:rsid w:val="005F57DC"/>
    <w:rsid w:val="005F624B"/>
    <w:rsid w:val="005F6A32"/>
    <w:rsid w:val="005F6C0C"/>
    <w:rsid w:val="005F79E9"/>
    <w:rsid w:val="005F7DB1"/>
    <w:rsid w:val="00600711"/>
    <w:rsid w:val="0060252C"/>
    <w:rsid w:val="0060281F"/>
    <w:rsid w:val="00602D4F"/>
    <w:rsid w:val="006033BD"/>
    <w:rsid w:val="006035C8"/>
    <w:rsid w:val="0060436F"/>
    <w:rsid w:val="0060455A"/>
    <w:rsid w:val="00604C80"/>
    <w:rsid w:val="00606145"/>
    <w:rsid w:val="00606C98"/>
    <w:rsid w:val="00606E21"/>
    <w:rsid w:val="00606EF7"/>
    <w:rsid w:val="00606F07"/>
    <w:rsid w:val="0060729D"/>
    <w:rsid w:val="006072E6"/>
    <w:rsid w:val="00607564"/>
    <w:rsid w:val="00607C4C"/>
    <w:rsid w:val="00607C5E"/>
    <w:rsid w:val="00610597"/>
    <w:rsid w:val="00610B24"/>
    <w:rsid w:val="0061107B"/>
    <w:rsid w:val="0061268C"/>
    <w:rsid w:val="00612D4D"/>
    <w:rsid w:val="0061329D"/>
    <w:rsid w:val="00613665"/>
    <w:rsid w:val="00613C9F"/>
    <w:rsid w:val="0061432B"/>
    <w:rsid w:val="006155D2"/>
    <w:rsid w:val="006171DD"/>
    <w:rsid w:val="0061736A"/>
    <w:rsid w:val="006178E2"/>
    <w:rsid w:val="00621880"/>
    <w:rsid w:val="00621B2E"/>
    <w:rsid w:val="006222D6"/>
    <w:rsid w:val="006225CB"/>
    <w:rsid w:val="00622C41"/>
    <w:rsid w:val="00622DDE"/>
    <w:rsid w:val="00622EF8"/>
    <w:rsid w:val="00622F66"/>
    <w:rsid w:val="00623184"/>
    <w:rsid w:val="0062341A"/>
    <w:rsid w:val="00623BA8"/>
    <w:rsid w:val="006245E2"/>
    <w:rsid w:val="00625596"/>
    <w:rsid w:val="00625DD9"/>
    <w:rsid w:val="006262D7"/>
    <w:rsid w:val="006269C3"/>
    <w:rsid w:val="006279AB"/>
    <w:rsid w:val="00627EEF"/>
    <w:rsid w:val="006317D6"/>
    <w:rsid w:val="006328AB"/>
    <w:rsid w:val="006328C5"/>
    <w:rsid w:val="00633084"/>
    <w:rsid w:val="0063323B"/>
    <w:rsid w:val="00634479"/>
    <w:rsid w:val="00634C4A"/>
    <w:rsid w:val="00634E0C"/>
    <w:rsid w:val="00636124"/>
    <w:rsid w:val="00636FF0"/>
    <w:rsid w:val="0063700A"/>
    <w:rsid w:val="00637B36"/>
    <w:rsid w:val="00640C23"/>
    <w:rsid w:val="006410EF"/>
    <w:rsid w:val="00642016"/>
    <w:rsid w:val="006428E8"/>
    <w:rsid w:val="00642FB3"/>
    <w:rsid w:val="0064319B"/>
    <w:rsid w:val="006439CE"/>
    <w:rsid w:val="00643E15"/>
    <w:rsid w:val="006446D6"/>
    <w:rsid w:val="006448A4"/>
    <w:rsid w:val="006449A3"/>
    <w:rsid w:val="00644B30"/>
    <w:rsid w:val="0064579F"/>
    <w:rsid w:val="006458BE"/>
    <w:rsid w:val="00645AD3"/>
    <w:rsid w:val="00646AB0"/>
    <w:rsid w:val="0064721F"/>
    <w:rsid w:val="006507CF"/>
    <w:rsid w:val="006508F8"/>
    <w:rsid w:val="00650DAB"/>
    <w:rsid w:val="0065103B"/>
    <w:rsid w:val="006524E3"/>
    <w:rsid w:val="00652638"/>
    <w:rsid w:val="00653063"/>
    <w:rsid w:val="0065329A"/>
    <w:rsid w:val="006532EF"/>
    <w:rsid w:val="00653FD2"/>
    <w:rsid w:val="00654E40"/>
    <w:rsid w:val="006550E9"/>
    <w:rsid w:val="00655B0C"/>
    <w:rsid w:val="00655B33"/>
    <w:rsid w:val="006563C4"/>
    <w:rsid w:val="00656B55"/>
    <w:rsid w:val="006616F3"/>
    <w:rsid w:val="0066185D"/>
    <w:rsid w:val="00661EF7"/>
    <w:rsid w:val="00663087"/>
    <w:rsid w:val="00663097"/>
    <w:rsid w:val="00663173"/>
    <w:rsid w:val="00663589"/>
    <w:rsid w:val="00663C3B"/>
    <w:rsid w:val="00664316"/>
    <w:rsid w:val="00664E40"/>
    <w:rsid w:val="00665108"/>
    <w:rsid w:val="00665302"/>
    <w:rsid w:val="006654D5"/>
    <w:rsid w:val="006657D5"/>
    <w:rsid w:val="006659F4"/>
    <w:rsid w:val="00665C85"/>
    <w:rsid w:val="00666C96"/>
    <w:rsid w:val="00667EBA"/>
    <w:rsid w:val="006704A6"/>
    <w:rsid w:val="00670EF1"/>
    <w:rsid w:val="0067144A"/>
    <w:rsid w:val="00671754"/>
    <w:rsid w:val="00672EF5"/>
    <w:rsid w:val="00676137"/>
    <w:rsid w:val="006766F5"/>
    <w:rsid w:val="00676B8B"/>
    <w:rsid w:val="00677778"/>
    <w:rsid w:val="00680674"/>
    <w:rsid w:val="00680978"/>
    <w:rsid w:val="00681904"/>
    <w:rsid w:val="006819C5"/>
    <w:rsid w:val="00681D71"/>
    <w:rsid w:val="0068247F"/>
    <w:rsid w:val="006828C1"/>
    <w:rsid w:val="00683867"/>
    <w:rsid w:val="00684013"/>
    <w:rsid w:val="00684506"/>
    <w:rsid w:val="006851E9"/>
    <w:rsid w:val="00685AD2"/>
    <w:rsid w:val="006868BF"/>
    <w:rsid w:val="006868EF"/>
    <w:rsid w:val="00690D7B"/>
    <w:rsid w:val="00691848"/>
    <w:rsid w:val="006918DD"/>
    <w:rsid w:val="00691DB4"/>
    <w:rsid w:val="006924B6"/>
    <w:rsid w:val="00693435"/>
    <w:rsid w:val="00693C04"/>
    <w:rsid w:val="0069567F"/>
    <w:rsid w:val="00695F39"/>
    <w:rsid w:val="00696510"/>
    <w:rsid w:val="00696B06"/>
    <w:rsid w:val="00696ECD"/>
    <w:rsid w:val="00697428"/>
    <w:rsid w:val="006A22B2"/>
    <w:rsid w:val="006A3901"/>
    <w:rsid w:val="006A3E3C"/>
    <w:rsid w:val="006A4E9F"/>
    <w:rsid w:val="006A533C"/>
    <w:rsid w:val="006A53B4"/>
    <w:rsid w:val="006A62A7"/>
    <w:rsid w:val="006A6CA4"/>
    <w:rsid w:val="006A728A"/>
    <w:rsid w:val="006A7C16"/>
    <w:rsid w:val="006A7E69"/>
    <w:rsid w:val="006B01F0"/>
    <w:rsid w:val="006B05C8"/>
    <w:rsid w:val="006B05DE"/>
    <w:rsid w:val="006B060E"/>
    <w:rsid w:val="006B0889"/>
    <w:rsid w:val="006B0E22"/>
    <w:rsid w:val="006B18D8"/>
    <w:rsid w:val="006B1AFC"/>
    <w:rsid w:val="006B1E81"/>
    <w:rsid w:val="006B30B8"/>
    <w:rsid w:val="006B31CC"/>
    <w:rsid w:val="006B34EB"/>
    <w:rsid w:val="006B3825"/>
    <w:rsid w:val="006B4489"/>
    <w:rsid w:val="006B44DE"/>
    <w:rsid w:val="006B4B9D"/>
    <w:rsid w:val="006B4F7B"/>
    <w:rsid w:val="006B57D2"/>
    <w:rsid w:val="006B5A48"/>
    <w:rsid w:val="006B5E7D"/>
    <w:rsid w:val="006B6B8B"/>
    <w:rsid w:val="006B6F86"/>
    <w:rsid w:val="006B7372"/>
    <w:rsid w:val="006B7572"/>
    <w:rsid w:val="006B7990"/>
    <w:rsid w:val="006C093E"/>
    <w:rsid w:val="006C0AFC"/>
    <w:rsid w:val="006C180A"/>
    <w:rsid w:val="006C1828"/>
    <w:rsid w:val="006C2284"/>
    <w:rsid w:val="006C2A65"/>
    <w:rsid w:val="006C3675"/>
    <w:rsid w:val="006C368F"/>
    <w:rsid w:val="006C3786"/>
    <w:rsid w:val="006C4121"/>
    <w:rsid w:val="006C49B8"/>
    <w:rsid w:val="006C7509"/>
    <w:rsid w:val="006C76A1"/>
    <w:rsid w:val="006D05BB"/>
    <w:rsid w:val="006D0C34"/>
    <w:rsid w:val="006D16EC"/>
    <w:rsid w:val="006D192C"/>
    <w:rsid w:val="006D1E62"/>
    <w:rsid w:val="006D3283"/>
    <w:rsid w:val="006D3418"/>
    <w:rsid w:val="006D3463"/>
    <w:rsid w:val="006D3521"/>
    <w:rsid w:val="006D5940"/>
    <w:rsid w:val="006D610B"/>
    <w:rsid w:val="006D6486"/>
    <w:rsid w:val="006D6669"/>
    <w:rsid w:val="006D7158"/>
    <w:rsid w:val="006E032E"/>
    <w:rsid w:val="006E048B"/>
    <w:rsid w:val="006E050A"/>
    <w:rsid w:val="006E0537"/>
    <w:rsid w:val="006E072F"/>
    <w:rsid w:val="006E074D"/>
    <w:rsid w:val="006E0A65"/>
    <w:rsid w:val="006E0E6D"/>
    <w:rsid w:val="006E1843"/>
    <w:rsid w:val="006E1B00"/>
    <w:rsid w:val="006E3C95"/>
    <w:rsid w:val="006E40EE"/>
    <w:rsid w:val="006E50B3"/>
    <w:rsid w:val="006E56CC"/>
    <w:rsid w:val="006E5AA8"/>
    <w:rsid w:val="006E5C12"/>
    <w:rsid w:val="006E698B"/>
    <w:rsid w:val="006E6CF3"/>
    <w:rsid w:val="006E760E"/>
    <w:rsid w:val="006F032A"/>
    <w:rsid w:val="006F0C1B"/>
    <w:rsid w:val="006F109B"/>
    <w:rsid w:val="006F114D"/>
    <w:rsid w:val="006F15FA"/>
    <w:rsid w:val="006F1B0E"/>
    <w:rsid w:val="006F2116"/>
    <w:rsid w:val="006F267C"/>
    <w:rsid w:val="006F2B04"/>
    <w:rsid w:val="006F3527"/>
    <w:rsid w:val="006F35C3"/>
    <w:rsid w:val="006F40D3"/>
    <w:rsid w:val="006F4571"/>
    <w:rsid w:val="006F4ECC"/>
    <w:rsid w:val="006F69FA"/>
    <w:rsid w:val="006F6E29"/>
    <w:rsid w:val="006F77A8"/>
    <w:rsid w:val="006F7C78"/>
    <w:rsid w:val="00700829"/>
    <w:rsid w:val="007011B2"/>
    <w:rsid w:val="00701F53"/>
    <w:rsid w:val="007026C3"/>
    <w:rsid w:val="007028F1"/>
    <w:rsid w:val="00702D73"/>
    <w:rsid w:val="00702E78"/>
    <w:rsid w:val="00702EF4"/>
    <w:rsid w:val="007030C9"/>
    <w:rsid w:val="00703F14"/>
    <w:rsid w:val="007041F0"/>
    <w:rsid w:val="00705364"/>
    <w:rsid w:val="00705371"/>
    <w:rsid w:val="00706F4A"/>
    <w:rsid w:val="007078C2"/>
    <w:rsid w:val="00707D5C"/>
    <w:rsid w:val="00707DDA"/>
    <w:rsid w:val="007108C0"/>
    <w:rsid w:val="00710D89"/>
    <w:rsid w:val="00710EF8"/>
    <w:rsid w:val="0071120B"/>
    <w:rsid w:val="00711C33"/>
    <w:rsid w:val="00711E33"/>
    <w:rsid w:val="00711E41"/>
    <w:rsid w:val="00712BE9"/>
    <w:rsid w:val="00712C03"/>
    <w:rsid w:val="00713175"/>
    <w:rsid w:val="007139E1"/>
    <w:rsid w:val="00713AEE"/>
    <w:rsid w:val="007142D7"/>
    <w:rsid w:val="00714A4F"/>
    <w:rsid w:val="007156B4"/>
    <w:rsid w:val="00716577"/>
    <w:rsid w:val="0071712A"/>
    <w:rsid w:val="0071716C"/>
    <w:rsid w:val="0071718C"/>
    <w:rsid w:val="00720A0D"/>
    <w:rsid w:val="00720F65"/>
    <w:rsid w:val="007210A7"/>
    <w:rsid w:val="00721B2B"/>
    <w:rsid w:val="00721F3C"/>
    <w:rsid w:val="007221AF"/>
    <w:rsid w:val="007221F5"/>
    <w:rsid w:val="00722C47"/>
    <w:rsid w:val="00723782"/>
    <w:rsid w:val="00723E96"/>
    <w:rsid w:val="00724C77"/>
    <w:rsid w:val="00724F45"/>
    <w:rsid w:val="00725526"/>
    <w:rsid w:val="00725C84"/>
    <w:rsid w:val="0072638F"/>
    <w:rsid w:val="00726670"/>
    <w:rsid w:val="00726700"/>
    <w:rsid w:val="00727024"/>
    <w:rsid w:val="0072776E"/>
    <w:rsid w:val="00730004"/>
    <w:rsid w:val="007307CF"/>
    <w:rsid w:val="00730F70"/>
    <w:rsid w:val="00731F24"/>
    <w:rsid w:val="00732962"/>
    <w:rsid w:val="00732CF6"/>
    <w:rsid w:val="0073336E"/>
    <w:rsid w:val="0073347F"/>
    <w:rsid w:val="00734522"/>
    <w:rsid w:val="00734F95"/>
    <w:rsid w:val="007354FE"/>
    <w:rsid w:val="00736AC4"/>
    <w:rsid w:val="007370B3"/>
    <w:rsid w:val="00737221"/>
    <w:rsid w:val="0073758C"/>
    <w:rsid w:val="0073770B"/>
    <w:rsid w:val="00740642"/>
    <w:rsid w:val="007410BE"/>
    <w:rsid w:val="00741640"/>
    <w:rsid w:val="007418A3"/>
    <w:rsid w:val="00741C35"/>
    <w:rsid w:val="00743035"/>
    <w:rsid w:val="007430EA"/>
    <w:rsid w:val="00743E13"/>
    <w:rsid w:val="00744733"/>
    <w:rsid w:val="00745D42"/>
    <w:rsid w:val="00746404"/>
    <w:rsid w:val="00746A86"/>
    <w:rsid w:val="007475F9"/>
    <w:rsid w:val="00747E40"/>
    <w:rsid w:val="00751AB0"/>
    <w:rsid w:val="00751BA2"/>
    <w:rsid w:val="007536A6"/>
    <w:rsid w:val="00754D3D"/>
    <w:rsid w:val="00754E17"/>
    <w:rsid w:val="007550F8"/>
    <w:rsid w:val="00756D8B"/>
    <w:rsid w:val="007572FA"/>
    <w:rsid w:val="007601F9"/>
    <w:rsid w:val="00761057"/>
    <w:rsid w:val="007612D5"/>
    <w:rsid w:val="00761DC7"/>
    <w:rsid w:val="007623BA"/>
    <w:rsid w:val="007623BC"/>
    <w:rsid w:val="00762659"/>
    <w:rsid w:val="00763FD3"/>
    <w:rsid w:val="00764BC7"/>
    <w:rsid w:val="00765529"/>
    <w:rsid w:val="00767E82"/>
    <w:rsid w:val="00771774"/>
    <w:rsid w:val="00771C5A"/>
    <w:rsid w:val="00772777"/>
    <w:rsid w:val="007727BB"/>
    <w:rsid w:val="0077283C"/>
    <w:rsid w:val="00772922"/>
    <w:rsid w:val="007734C4"/>
    <w:rsid w:val="00773AD2"/>
    <w:rsid w:val="00773BEB"/>
    <w:rsid w:val="00774435"/>
    <w:rsid w:val="00774CE4"/>
    <w:rsid w:val="007750AC"/>
    <w:rsid w:val="00775309"/>
    <w:rsid w:val="00777E6C"/>
    <w:rsid w:val="0078008C"/>
    <w:rsid w:val="0078092F"/>
    <w:rsid w:val="00780ABD"/>
    <w:rsid w:val="00780D15"/>
    <w:rsid w:val="00781794"/>
    <w:rsid w:val="007828A2"/>
    <w:rsid w:val="00782A4E"/>
    <w:rsid w:val="00786609"/>
    <w:rsid w:val="0078780C"/>
    <w:rsid w:val="00787DB7"/>
    <w:rsid w:val="00787F64"/>
    <w:rsid w:val="00790ACD"/>
    <w:rsid w:val="00791B04"/>
    <w:rsid w:val="00792A8F"/>
    <w:rsid w:val="00793006"/>
    <w:rsid w:val="007930A7"/>
    <w:rsid w:val="007937D2"/>
    <w:rsid w:val="00793857"/>
    <w:rsid w:val="00793A7A"/>
    <w:rsid w:val="00793BA5"/>
    <w:rsid w:val="00795201"/>
    <w:rsid w:val="007966D8"/>
    <w:rsid w:val="00796718"/>
    <w:rsid w:val="007968B5"/>
    <w:rsid w:val="00796C5B"/>
    <w:rsid w:val="007A080C"/>
    <w:rsid w:val="007A0D10"/>
    <w:rsid w:val="007A1EC2"/>
    <w:rsid w:val="007A1EDD"/>
    <w:rsid w:val="007A1F40"/>
    <w:rsid w:val="007A2AEB"/>
    <w:rsid w:val="007A2D73"/>
    <w:rsid w:val="007A3394"/>
    <w:rsid w:val="007A4873"/>
    <w:rsid w:val="007A51D0"/>
    <w:rsid w:val="007A5270"/>
    <w:rsid w:val="007A5418"/>
    <w:rsid w:val="007A6C2D"/>
    <w:rsid w:val="007A704C"/>
    <w:rsid w:val="007A7AD4"/>
    <w:rsid w:val="007A7B7A"/>
    <w:rsid w:val="007A7EFC"/>
    <w:rsid w:val="007B029A"/>
    <w:rsid w:val="007B0B95"/>
    <w:rsid w:val="007B0F3D"/>
    <w:rsid w:val="007B1345"/>
    <w:rsid w:val="007B2BFC"/>
    <w:rsid w:val="007B534F"/>
    <w:rsid w:val="007B548A"/>
    <w:rsid w:val="007B552F"/>
    <w:rsid w:val="007B57C7"/>
    <w:rsid w:val="007B5E9D"/>
    <w:rsid w:val="007B6BC3"/>
    <w:rsid w:val="007B7778"/>
    <w:rsid w:val="007C00FA"/>
    <w:rsid w:val="007C0D3B"/>
    <w:rsid w:val="007C0E96"/>
    <w:rsid w:val="007C18C2"/>
    <w:rsid w:val="007C1F6B"/>
    <w:rsid w:val="007C2BAC"/>
    <w:rsid w:val="007C2D73"/>
    <w:rsid w:val="007C3D2F"/>
    <w:rsid w:val="007C4088"/>
    <w:rsid w:val="007C4904"/>
    <w:rsid w:val="007C57BB"/>
    <w:rsid w:val="007C585A"/>
    <w:rsid w:val="007C5EEB"/>
    <w:rsid w:val="007C6845"/>
    <w:rsid w:val="007C68DE"/>
    <w:rsid w:val="007C6A50"/>
    <w:rsid w:val="007C73A9"/>
    <w:rsid w:val="007C73E3"/>
    <w:rsid w:val="007C7B27"/>
    <w:rsid w:val="007D02B5"/>
    <w:rsid w:val="007D0779"/>
    <w:rsid w:val="007D0C47"/>
    <w:rsid w:val="007D149D"/>
    <w:rsid w:val="007D2088"/>
    <w:rsid w:val="007D300B"/>
    <w:rsid w:val="007D38E3"/>
    <w:rsid w:val="007D3A94"/>
    <w:rsid w:val="007D4348"/>
    <w:rsid w:val="007D5FAE"/>
    <w:rsid w:val="007D6B38"/>
    <w:rsid w:val="007D7568"/>
    <w:rsid w:val="007D7FF8"/>
    <w:rsid w:val="007E0EC2"/>
    <w:rsid w:val="007E1483"/>
    <w:rsid w:val="007E158F"/>
    <w:rsid w:val="007E2152"/>
    <w:rsid w:val="007E3C01"/>
    <w:rsid w:val="007E3DE5"/>
    <w:rsid w:val="007E4D0B"/>
    <w:rsid w:val="007E4DC3"/>
    <w:rsid w:val="007E52A2"/>
    <w:rsid w:val="007E5A01"/>
    <w:rsid w:val="007E669F"/>
    <w:rsid w:val="007F06D3"/>
    <w:rsid w:val="007F0F77"/>
    <w:rsid w:val="007F1E66"/>
    <w:rsid w:val="007F354D"/>
    <w:rsid w:val="007F36FB"/>
    <w:rsid w:val="007F3B2A"/>
    <w:rsid w:val="007F4075"/>
    <w:rsid w:val="007F4837"/>
    <w:rsid w:val="007F5555"/>
    <w:rsid w:val="007F7020"/>
    <w:rsid w:val="007F722F"/>
    <w:rsid w:val="007F7298"/>
    <w:rsid w:val="008002B3"/>
    <w:rsid w:val="00801040"/>
    <w:rsid w:val="00801179"/>
    <w:rsid w:val="00801191"/>
    <w:rsid w:val="00801467"/>
    <w:rsid w:val="0080168B"/>
    <w:rsid w:val="00802979"/>
    <w:rsid w:val="008037F7"/>
    <w:rsid w:val="008042FC"/>
    <w:rsid w:val="008046C5"/>
    <w:rsid w:val="00804CDB"/>
    <w:rsid w:val="00805191"/>
    <w:rsid w:val="00805576"/>
    <w:rsid w:val="008055F9"/>
    <w:rsid w:val="00805642"/>
    <w:rsid w:val="00805737"/>
    <w:rsid w:val="00805F0F"/>
    <w:rsid w:val="008069E2"/>
    <w:rsid w:val="00806E3C"/>
    <w:rsid w:val="00807219"/>
    <w:rsid w:val="0080722F"/>
    <w:rsid w:val="00807BD6"/>
    <w:rsid w:val="00807C3C"/>
    <w:rsid w:val="0081080A"/>
    <w:rsid w:val="0081293B"/>
    <w:rsid w:val="00812F2E"/>
    <w:rsid w:val="00813540"/>
    <w:rsid w:val="008136B1"/>
    <w:rsid w:val="00813B9B"/>
    <w:rsid w:val="00813BD0"/>
    <w:rsid w:val="008141CC"/>
    <w:rsid w:val="008141CD"/>
    <w:rsid w:val="008158C7"/>
    <w:rsid w:val="00815CA9"/>
    <w:rsid w:val="00816347"/>
    <w:rsid w:val="0081702B"/>
    <w:rsid w:val="00817E9C"/>
    <w:rsid w:val="0082026F"/>
    <w:rsid w:val="0082083D"/>
    <w:rsid w:val="00820FBE"/>
    <w:rsid w:val="00821210"/>
    <w:rsid w:val="0082140F"/>
    <w:rsid w:val="008217C6"/>
    <w:rsid w:val="00821CE6"/>
    <w:rsid w:val="0082218F"/>
    <w:rsid w:val="008227F1"/>
    <w:rsid w:val="00823296"/>
    <w:rsid w:val="00824D62"/>
    <w:rsid w:val="00824F66"/>
    <w:rsid w:val="00825A72"/>
    <w:rsid w:val="00825D5D"/>
    <w:rsid w:val="00826B18"/>
    <w:rsid w:val="00827090"/>
    <w:rsid w:val="008278E8"/>
    <w:rsid w:val="00827D9E"/>
    <w:rsid w:val="0083016C"/>
    <w:rsid w:val="0083047B"/>
    <w:rsid w:val="00830DFF"/>
    <w:rsid w:val="0083147C"/>
    <w:rsid w:val="00831575"/>
    <w:rsid w:val="00831A1F"/>
    <w:rsid w:val="00831C7A"/>
    <w:rsid w:val="00832B7E"/>
    <w:rsid w:val="00832DBA"/>
    <w:rsid w:val="008338EE"/>
    <w:rsid w:val="00833AA1"/>
    <w:rsid w:val="00833F25"/>
    <w:rsid w:val="00833F47"/>
    <w:rsid w:val="00834C01"/>
    <w:rsid w:val="008353ED"/>
    <w:rsid w:val="008354C6"/>
    <w:rsid w:val="008357BD"/>
    <w:rsid w:val="008368EE"/>
    <w:rsid w:val="008378A1"/>
    <w:rsid w:val="008379E8"/>
    <w:rsid w:val="00837A61"/>
    <w:rsid w:val="008406F2"/>
    <w:rsid w:val="00840974"/>
    <w:rsid w:val="00840EE4"/>
    <w:rsid w:val="0084179D"/>
    <w:rsid w:val="00841FEC"/>
    <w:rsid w:val="008428A4"/>
    <w:rsid w:val="00842F18"/>
    <w:rsid w:val="00843212"/>
    <w:rsid w:val="00843305"/>
    <w:rsid w:val="008434F0"/>
    <w:rsid w:val="008439D3"/>
    <w:rsid w:val="00843C22"/>
    <w:rsid w:val="00844DF0"/>
    <w:rsid w:val="00844DFC"/>
    <w:rsid w:val="00845925"/>
    <w:rsid w:val="00845F19"/>
    <w:rsid w:val="0084634D"/>
    <w:rsid w:val="00846C65"/>
    <w:rsid w:val="00846E95"/>
    <w:rsid w:val="008500B6"/>
    <w:rsid w:val="0085019B"/>
    <w:rsid w:val="008503C3"/>
    <w:rsid w:val="008535CD"/>
    <w:rsid w:val="0085414E"/>
    <w:rsid w:val="008547FF"/>
    <w:rsid w:val="008550F2"/>
    <w:rsid w:val="00855789"/>
    <w:rsid w:val="008557F5"/>
    <w:rsid w:val="00856548"/>
    <w:rsid w:val="008567F7"/>
    <w:rsid w:val="00856F33"/>
    <w:rsid w:val="0086012B"/>
    <w:rsid w:val="0086056F"/>
    <w:rsid w:val="00860BE3"/>
    <w:rsid w:val="00860BE9"/>
    <w:rsid w:val="00861BDD"/>
    <w:rsid w:val="00863FF8"/>
    <w:rsid w:val="008647EA"/>
    <w:rsid w:val="00864DD2"/>
    <w:rsid w:val="00865E84"/>
    <w:rsid w:val="00866174"/>
    <w:rsid w:val="0086719B"/>
    <w:rsid w:val="008709A5"/>
    <w:rsid w:val="00870CA8"/>
    <w:rsid w:val="00871223"/>
    <w:rsid w:val="00871525"/>
    <w:rsid w:val="008717C1"/>
    <w:rsid w:val="008718A5"/>
    <w:rsid w:val="00872479"/>
    <w:rsid w:val="0087281F"/>
    <w:rsid w:val="008743BB"/>
    <w:rsid w:val="008755B8"/>
    <w:rsid w:val="0087591B"/>
    <w:rsid w:val="0087675A"/>
    <w:rsid w:val="008767C8"/>
    <w:rsid w:val="00876F4E"/>
    <w:rsid w:val="008775AC"/>
    <w:rsid w:val="0087790E"/>
    <w:rsid w:val="00877EDE"/>
    <w:rsid w:val="00880952"/>
    <w:rsid w:val="00880D97"/>
    <w:rsid w:val="00880E74"/>
    <w:rsid w:val="00882413"/>
    <w:rsid w:val="00882683"/>
    <w:rsid w:val="00882EF9"/>
    <w:rsid w:val="00883622"/>
    <w:rsid w:val="0088526E"/>
    <w:rsid w:val="008862C3"/>
    <w:rsid w:val="008867FC"/>
    <w:rsid w:val="00887A6F"/>
    <w:rsid w:val="008903DC"/>
    <w:rsid w:val="00890708"/>
    <w:rsid w:val="0089105C"/>
    <w:rsid w:val="0089187E"/>
    <w:rsid w:val="00892E48"/>
    <w:rsid w:val="00894304"/>
    <w:rsid w:val="0089452A"/>
    <w:rsid w:val="008945F5"/>
    <w:rsid w:val="0089492B"/>
    <w:rsid w:val="0089539B"/>
    <w:rsid w:val="0089622D"/>
    <w:rsid w:val="00896333"/>
    <w:rsid w:val="00896D79"/>
    <w:rsid w:val="008A0F74"/>
    <w:rsid w:val="008A131F"/>
    <w:rsid w:val="008A3624"/>
    <w:rsid w:val="008A3BAC"/>
    <w:rsid w:val="008A3DEB"/>
    <w:rsid w:val="008A3F51"/>
    <w:rsid w:val="008A4E63"/>
    <w:rsid w:val="008A562A"/>
    <w:rsid w:val="008A5C59"/>
    <w:rsid w:val="008A5EDF"/>
    <w:rsid w:val="008A63C9"/>
    <w:rsid w:val="008A7423"/>
    <w:rsid w:val="008A7A50"/>
    <w:rsid w:val="008A7B4E"/>
    <w:rsid w:val="008B0E8F"/>
    <w:rsid w:val="008B10C1"/>
    <w:rsid w:val="008B1D06"/>
    <w:rsid w:val="008B1D30"/>
    <w:rsid w:val="008B1ECB"/>
    <w:rsid w:val="008B22C7"/>
    <w:rsid w:val="008B282B"/>
    <w:rsid w:val="008B3D87"/>
    <w:rsid w:val="008B449E"/>
    <w:rsid w:val="008B4EFF"/>
    <w:rsid w:val="008B4FCD"/>
    <w:rsid w:val="008B75BF"/>
    <w:rsid w:val="008B7744"/>
    <w:rsid w:val="008B77AC"/>
    <w:rsid w:val="008B7A89"/>
    <w:rsid w:val="008B7F06"/>
    <w:rsid w:val="008C0F50"/>
    <w:rsid w:val="008C19EB"/>
    <w:rsid w:val="008C1D05"/>
    <w:rsid w:val="008C21F8"/>
    <w:rsid w:val="008C3692"/>
    <w:rsid w:val="008C5007"/>
    <w:rsid w:val="008C6096"/>
    <w:rsid w:val="008C6217"/>
    <w:rsid w:val="008C6C43"/>
    <w:rsid w:val="008D06D5"/>
    <w:rsid w:val="008D0C73"/>
    <w:rsid w:val="008D33BF"/>
    <w:rsid w:val="008D341A"/>
    <w:rsid w:val="008D3BFE"/>
    <w:rsid w:val="008D451D"/>
    <w:rsid w:val="008D556B"/>
    <w:rsid w:val="008D5F0E"/>
    <w:rsid w:val="008D6325"/>
    <w:rsid w:val="008D6FC9"/>
    <w:rsid w:val="008D72AF"/>
    <w:rsid w:val="008D7F0E"/>
    <w:rsid w:val="008E1F43"/>
    <w:rsid w:val="008E2240"/>
    <w:rsid w:val="008E2406"/>
    <w:rsid w:val="008E2BFD"/>
    <w:rsid w:val="008E34EB"/>
    <w:rsid w:val="008E3CF8"/>
    <w:rsid w:val="008E43CA"/>
    <w:rsid w:val="008E48C3"/>
    <w:rsid w:val="008E596B"/>
    <w:rsid w:val="008E5C11"/>
    <w:rsid w:val="008E6873"/>
    <w:rsid w:val="008E6A15"/>
    <w:rsid w:val="008E7071"/>
    <w:rsid w:val="008E74CB"/>
    <w:rsid w:val="008E7C09"/>
    <w:rsid w:val="008F03AA"/>
    <w:rsid w:val="008F03D6"/>
    <w:rsid w:val="008F0B4F"/>
    <w:rsid w:val="008F0E21"/>
    <w:rsid w:val="008F0F95"/>
    <w:rsid w:val="008F13F5"/>
    <w:rsid w:val="008F1BEF"/>
    <w:rsid w:val="008F1ED8"/>
    <w:rsid w:val="008F202D"/>
    <w:rsid w:val="008F2487"/>
    <w:rsid w:val="008F280B"/>
    <w:rsid w:val="008F4E02"/>
    <w:rsid w:val="008F50B5"/>
    <w:rsid w:val="008F52D3"/>
    <w:rsid w:val="008F6494"/>
    <w:rsid w:val="008F6735"/>
    <w:rsid w:val="008F6A2C"/>
    <w:rsid w:val="008F7A75"/>
    <w:rsid w:val="009001EF"/>
    <w:rsid w:val="00900A53"/>
    <w:rsid w:val="00901E83"/>
    <w:rsid w:val="00902F98"/>
    <w:rsid w:val="00903AA4"/>
    <w:rsid w:val="00903D1A"/>
    <w:rsid w:val="00903E8A"/>
    <w:rsid w:val="00904669"/>
    <w:rsid w:val="00905291"/>
    <w:rsid w:val="0090691A"/>
    <w:rsid w:val="00906DEB"/>
    <w:rsid w:val="0090707F"/>
    <w:rsid w:val="009100DD"/>
    <w:rsid w:val="00910484"/>
    <w:rsid w:val="009107EB"/>
    <w:rsid w:val="00911562"/>
    <w:rsid w:val="00911A4E"/>
    <w:rsid w:val="00911E06"/>
    <w:rsid w:val="00912205"/>
    <w:rsid w:val="00913226"/>
    <w:rsid w:val="00913DAB"/>
    <w:rsid w:val="0091634D"/>
    <w:rsid w:val="00920D9F"/>
    <w:rsid w:val="00920DD6"/>
    <w:rsid w:val="00920DE5"/>
    <w:rsid w:val="00921CA1"/>
    <w:rsid w:val="00921E10"/>
    <w:rsid w:val="00922B98"/>
    <w:rsid w:val="00922BD4"/>
    <w:rsid w:val="00923473"/>
    <w:rsid w:val="00923D10"/>
    <w:rsid w:val="00924F04"/>
    <w:rsid w:val="009256E0"/>
    <w:rsid w:val="0092726F"/>
    <w:rsid w:val="009300F3"/>
    <w:rsid w:val="00930B85"/>
    <w:rsid w:val="00930BB0"/>
    <w:rsid w:val="00931061"/>
    <w:rsid w:val="00931B08"/>
    <w:rsid w:val="00931EBA"/>
    <w:rsid w:val="0093202D"/>
    <w:rsid w:val="009325F6"/>
    <w:rsid w:val="00932C16"/>
    <w:rsid w:val="0093379E"/>
    <w:rsid w:val="009338C5"/>
    <w:rsid w:val="00933B58"/>
    <w:rsid w:val="00933D9D"/>
    <w:rsid w:val="00933E88"/>
    <w:rsid w:val="00934121"/>
    <w:rsid w:val="00934707"/>
    <w:rsid w:val="00934AC9"/>
    <w:rsid w:val="00936DCF"/>
    <w:rsid w:val="0093721E"/>
    <w:rsid w:val="009402DC"/>
    <w:rsid w:val="00940357"/>
    <w:rsid w:val="009406DD"/>
    <w:rsid w:val="00940BA0"/>
    <w:rsid w:val="00940BA4"/>
    <w:rsid w:val="009416D9"/>
    <w:rsid w:val="009426D2"/>
    <w:rsid w:val="00943474"/>
    <w:rsid w:val="00947A0B"/>
    <w:rsid w:val="00947CE5"/>
    <w:rsid w:val="00947DC2"/>
    <w:rsid w:val="0095150B"/>
    <w:rsid w:val="00951786"/>
    <w:rsid w:val="00951F72"/>
    <w:rsid w:val="00953501"/>
    <w:rsid w:val="00953AD7"/>
    <w:rsid w:val="0095580A"/>
    <w:rsid w:val="00955B77"/>
    <w:rsid w:val="00955F83"/>
    <w:rsid w:val="00956332"/>
    <w:rsid w:val="00956DC6"/>
    <w:rsid w:val="009573B7"/>
    <w:rsid w:val="00957504"/>
    <w:rsid w:val="00957E92"/>
    <w:rsid w:val="00960F00"/>
    <w:rsid w:val="0096125E"/>
    <w:rsid w:val="009613C9"/>
    <w:rsid w:val="0096144C"/>
    <w:rsid w:val="009633E2"/>
    <w:rsid w:val="009635E6"/>
    <w:rsid w:val="009647DF"/>
    <w:rsid w:val="009667E7"/>
    <w:rsid w:val="009669E4"/>
    <w:rsid w:val="00970FB0"/>
    <w:rsid w:val="00971DA8"/>
    <w:rsid w:val="00972638"/>
    <w:rsid w:val="00972812"/>
    <w:rsid w:val="00972F4C"/>
    <w:rsid w:val="00973225"/>
    <w:rsid w:val="00974598"/>
    <w:rsid w:val="00974AF9"/>
    <w:rsid w:val="0097512E"/>
    <w:rsid w:val="009759E9"/>
    <w:rsid w:val="009760FA"/>
    <w:rsid w:val="00976C3E"/>
    <w:rsid w:val="00976E25"/>
    <w:rsid w:val="009770AB"/>
    <w:rsid w:val="00977EA5"/>
    <w:rsid w:val="009808C1"/>
    <w:rsid w:val="00980A4A"/>
    <w:rsid w:val="009813E6"/>
    <w:rsid w:val="00981F81"/>
    <w:rsid w:val="00982812"/>
    <w:rsid w:val="00982BD1"/>
    <w:rsid w:val="00983C6B"/>
    <w:rsid w:val="00983DEC"/>
    <w:rsid w:val="00984372"/>
    <w:rsid w:val="009845BD"/>
    <w:rsid w:val="00985C02"/>
    <w:rsid w:val="00986231"/>
    <w:rsid w:val="0098673D"/>
    <w:rsid w:val="009869CD"/>
    <w:rsid w:val="00986C70"/>
    <w:rsid w:val="00987046"/>
    <w:rsid w:val="0098760C"/>
    <w:rsid w:val="00987637"/>
    <w:rsid w:val="00987D55"/>
    <w:rsid w:val="00987E28"/>
    <w:rsid w:val="00990744"/>
    <w:rsid w:val="00990E78"/>
    <w:rsid w:val="00990FD7"/>
    <w:rsid w:val="00991066"/>
    <w:rsid w:val="00991666"/>
    <w:rsid w:val="00993C2A"/>
    <w:rsid w:val="00993E2E"/>
    <w:rsid w:val="00993F57"/>
    <w:rsid w:val="009945FB"/>
    <w:rsid w:val="00996FDF"/>
    <w:rsid w:val="00997160"/>
    <w:rsid w:val="00997C31"/>
    <w:rsid w:val="009A008F"/>
    <w:rsid w:val="009A0205"/>
    <w:rsid w:val="009A0C9C"/>
    <w:rsid w:val="009A1415"/>
    <w:rsid w:val="009A1F7A"/>
    <w:rsid w:val="009A20E9"/>
    <w:rsid w:val="009A251C"/>
    <w:rsid w:val="009A265F"/>
    <w:rsid w:val="009A2BAC"/>
    <w:rsid w:val="009A2D58"/>
    <w:rsid w:val="009A2D67"/>
    <w:rsid w:val="009A4E6E"/>
    <w:rsid w:val="009A585A"/>
    <w:rsid w:val="009A5E8E"/>
    <w:rsid w:val="009A6414"/>
    <w:rsid w:val="009A759C"/>
    <w:rsid w:val="009A7D74"/>
    <w:rsid w:val="009B04DC"/>
    <w:rsid w:val="009B0B48"/>
    <w:rsid w:val="009B1565"/>
    <w:rsid w:val="009B227C"/>
    <w:rsid w:val="009B2408"/>
    <w:rsid w:val="009B258A"/>
    <w:rsid w:val="009B261F"/>
    <w:rsid w:val="009B2750"/>
    <w:rsid w:val="009B304A"/>
    <w:rsid w:val="009B3776"/>
    <w:rsid w:val="009B3FAF"/>
    <w:rsid w:val="009B4115"/>
    <w:rsid w:val="009B48E2"/>
    <w:rsid w:val="009B52E6"/>
    <w:rsid w:val="009B6FC4"/>
    <w:rsid w:val="009B7623"/>
    <w:rsid w:val="009B7CCB"/>
    <w:rsid w:val="009C1160"/>
    <w:rsid w:val="009C11E6"/>
    <w:rsid w:val="009C1546"/>
    <w:rsid w:val="009C1AB7"/>
    <w:rsid w:val="009C2293"/>
    <w:rsid w:val="009C3ED5"/>
    <w:rsid w:val="009C5550"/>
    <w:rsid w:val="009C585D"/>
    <w:rsid w:val="009C5A17"/>
    <w:rsid w:val="009C6305"/>
    <w:rsid w:val="009C6626"/>
    <w:rsid w:val="009C676C"/>
    <w:rsid w:val="009C67A2"/>
    <w:rsid w:val="009C7E34"/>
    <w:rsid w:val="009C7EE9"/>
    <w:rsid w:val="009D0DBB"/>
    <w:rsid w:val="009D0E95"/>
    <w:rsid w:val="009D2167"/>
    <w:rsid w:val="009D4149"/>
    <w:rsid w:val="009D4CAC"/>
    <w:rsid w:val="009D4E95"/>
    <w:rsid w:val="009D5173"/>
    <w:rsid w:val="009D59CF"/>
    <w:rsid w:val="009D6075"/>
    <w:rsid w:val="009D6081"/>
    <w:rsid w:val="009D7228"/>
    <w:rsid w:val="009D75BC"/>
    <w:rsid w:val="009D77CB"/>
    <w:rsid w:val="009D78BE"/>
    <w:rsid w:val="009D7FF4"/>
    <w:rsid w:val="009E0714"/>
    <w:rsid w:val="009E0B5F"/>
    <w:rsid w:val="009E3606"/>
    <w:rsid w:val="009E36D4"/>
    <w:rsid w:val="009E38E3"/>
    <w:rsid w:val="009E50CC"/>
    <w:rsid w:val="009E51E0"/>
    <w:rsid w:val="009E6280"/>
    <w:rsid w:val="009E6795"/>
    <w:rsid w:val="009E6D97"/>
    <w:rsid w:val="009E739C"/>
    <w:rsid w:val="009F05C1"/>
    <w:rsid w:val="009F05F6"/>
    <w:rsid w:val="009F1E3A"/>
    <w:rsid w:val="009F22A4"/>
    <w:rsid w:val="009F2847"/>
    <w:rsid w:val="009F4432"/>
    <w:rsid w:val="009F4A62"/>
    <w:rsid w:val="009F4BD8"/>
    <w:rsid w:val="009F54F1"/>
    <w:rsid w:val="009F59D6"/>
    <w:rsid w:val="009F64A7"/>
    <w:rsid w:val="009F67DD"/>
    <w:rsid w:val="009F6E7D"/>
    <w:rsid w:val="009F6F44"/>
    <w:rsid w:val="009F7C6E"/>
    <w:rsid w:val="009F7E52"/>
    <w:rsid w:val="00A00219"/>
    <w:rsid w:val="00A00AE8"/>
    <w:rsid w:val="00A00CB1"/>
    <w:rsid w:val="00A02D0B"/>
    <w:rsid w:val="00A02D4A"/>
    <w:rsid w:val="00A02FC5"/>
    <w:rsid w:val="00A03748"/>
    <w:rsid w:val="00A04AC3"/>
    <w:rsid w:val="00A05A4D"/>
    <w:rsid w:val="00A07272"/>
    <w:rsid w:val="00A07854"/>
    <w:rsid w:val="00A07E9C"/>
    <w:rsid w:val="00A07F8D"/>
    <w:rsid w:val="00A104E1"/>
    <w:rsid w:val="00A10936"/>
    <w:rsid w:val="00A11103"/>
    <w:rsid w:val="00A116A9"/>
    <w:rsid w:val="00A11A9A"/>
    <w:rsid w:val="00A11FA6"/>
    <w:rsid w:val="00A12210"/>
    <w:rsid w:val="00A12661"/>
    <w:rsid w:val="00A1267B"/>
    <w:rsid w:val="00A129EA"/>
    <w:rsid w:val="00A137C2"/>
    <w:rsid w:val="00A13A73"/>
    <w:rsid w:val="00A13B3D"/>
    <w:rsid w:val="00A13FCC"/>
    <w:rsid w:val="00A1487A"/>
    <w:rsid w:val="00A15428"/>
    <w:rsid w:val="00A15592"/>
    <w:rsid w:val="00A1670F"/>
    <w:rsid w:val="00A202BA"/>
    <w:rsid w:val="00A21321"/>
    <w:rsid w:val="00A21B48"/>
    <w:rsid w:val="00A21C74"/>
    <w:rsid w:val="00A21CB9"/>
    <w:rsid w:val="00A2222D"/>
    <w:rsid w:val="00A22425"/>
    <w:rsid w:val="00A22A4A"/>
    <w:rsid w:val="00A22EB1"/>
    <w:rsid w:val="00A2403B"/>
    <w:rsid w:val="00A24141"/>
    <w:rsid w:val="00A24458"/>
    <w:rsid w:val="00A247DA"/>
    <w:rsid w:val="00A24BA3"/>
    <w:rsid w:val="00A2510E"/>
    <w:rsid w:val="00A2564A"/>
    <w:rsid w:val="00A257D8"/>
    <w:rsid w:val="00A25DAB"/>
    <w:rsid w:val="00A267FE"/>
    <w:rsid w:val="00A2694C"/>
    <w:rsid w:val="00A26AD4"/>
    <w:rsid w:val="00A26E3B"/>
    <w:rsid w:val="00A27430"/>
    <w:rsid w:val="00A27594"/>
    <w:rsid w:val="00A30680"/>
    <w:rsid w:val="00A3070E"/>
    <w:rsid w:val="00A31925"/>
    <w:rsid w:val="00A31A07"/>
    <w:rsid w:val="00A31F7B"/>
    <w:rsid w:val="00A336A8"/>
    <w:rsid w:val="00A33CD9"/>
    <w:rsid w:val="00A342C2"/>
    <w:rsid w:val="00A35351"/>
    <w:rsid w:val="00A354F6"/>
    <w:rsid w:val="00A36613"/>
    <w:rsid w:val="00A36A5A"/>
    <w:rsid w:val="00A36FB5"/>
    <w:rsid w:val="00A37522"/>
    <w:rsid w:val="00A40C31"/>
    <w:rsid w:val="00A41CEF"/>
    <w:rsid w:val="00A42846"/>
    <w:rsid w:val="00A428C4"/>
    <w:rsid w:val="00A42ABE"/>
    <w:rsid w:val="00A433FA"/>
    <w:rsid w:val="00A43A57"/>
    <w:rsid w:val="00A43FEB"/>
    <w:rsid w:val="00A440CA"/>
    <w:rsid w:val="00A44778"/>
    <w:rsid w:val="00A450CB"/>
    <w:rsid w:val="00A4569E"/>
    <w:rsid w:val="00A46C31"/>
    <w:rsid w:val="00A46D9F"/>
    <w:rsid w:val="00A47305"/>
    <w:rsid w:val="00A47593"/>
    <w:rsid w:val="00A47AD4"/>
    <w:rsid w:val="00A50308"/>
    <w:rsid w:val="00A5131D"/>
    <w:rsid w:val="00A51F10"/>
    <w:rsid w:val="00A520C9"/>
    <w:rsid w:val="00A52AD0"/>
    <w:rsid w:val="00A532CC"/>
    <w:rsid w:val="00A534A2"/>
    <w:rsid w:val="00A5352D"/>
    <w:rsid w:val="00A54923"/>
    <w:rsid w:val="00A54934"/>
    <w:rsid w:val="00A54F9E"/>
    <w:rsid w:val="00A55A62"/>
    <w:rsid w:val="00A55FEE"/>
    <w:rsid w:val="00A5635C"/>
    <w:rsid w:val="00A56BFC"/>
    <w:rsid w:val="00A5715C"/>
    <w:rsid w:val="00A5723A"/>
    <w:rsid w:val="00A57D73"/>
    <w:rsid w:val="00A600FA"/>
    <w:rsid w:val="00A60E34"/>
    <w:rsid w:val="00A64312"/>
    <w:rsid w:val="00A65601"/>
    <w:rsid w:val="00A65BB0"/>
    <w:rsid w:val="00A667E5"/>
    <w:rsid w:val="00A66D1D"/>
    <w:rsid w:val="00A66F69"/>
    <w:rsid w:val="00A673A9"/>
    <w:rsid w:val="00A676C4"/>
    <w:rsid w:val="00A67902"/>
    <w:rsid w:val="00A67C75"/>
    <w:rsid w:val="00A70348"/>
    <w:rsid w:val="00A70994"/>
    <w:rsid w:val="00A709B4"/>
    <w:rsid w:val="00A70AF4"/>
    <w:rsid w:val="00A70DB6"/>
    <w:rsid w:val="00A7113D"/>
    <w:rsid w:val="00A71294"/>
    <w:rsid w:val="00A7165D"/>
    <w:rsid w:val="00A71DE4"/>
    <w:rsid w:val="00A734FD"/>
    <w:rsid w:val="00A740EC"/>
    <w:rsid w:val="00A7471D"/>
    <w:rsid w:val="00A74FEA"/>
    <w:rsid w:val="00A764D0"/>
    <w:rsid w:val="00A772FA"/>
    <w:rsid w:val="00A77373"/>
    <w:rsid w:val="00A7764B"/>
    <w:rsid w:val="00A77A63"/>
    <w:rsid w:val="00A8058B"/>
    <w:rsid w:val="00A8126B"/>
    <w:rsid w:val="00A819AA"/>
    <w:rsid w:val="00A81EA0"/>
    <w:rsid w:val="00A82F44"/>
    <w:rsid w:val="00A8340A"/>
    <w:rsid w:val="00A83DE5"/>
    <w:rsid w:val="00A84568"/>
    <w:rsid w:val="00A84CD2"/>
    <w:rsid w:val="00A84E2F"/>
    <w:rsid w:val="00A85938"/>
    <w:rsid w:val="00A875D2"/>
    <w:rsid w:val="00A87795"/>
    <w:rsid w:val="00A9012E"/>
    <w:rsid w:val="00A9048D"/>
    <w:rsid w:val="00A91014"/>
    <w:rsid w:val="00A91049"/>
    <w:rsid w:val="00A921D9"/>
    <w:rsid w:val="00A92389"/>
    <w:rsid w:val="00A926CD"/>
    <w:rsid w:val="00A92960"/>
    <w:rsid w:val="00A935DA"/>
    <w:rsid w:val="00A93729"/>
    <w:rsid w:val="00A93E53"/>
    <w:rsid w:val="00A944ED"/>
    <w:rsid w:val="00A947A5"/>
    <w:rsid w:val="00A94C90"/>
    <w:rsid w:val="00A95C6D"/>
    <w:rsid w:val="00A95CB0"/>
    <w:rsid w:val="00A9750F"/>
    <w:rsid w:val="00AA129C"/>
    <w:rsid w:val="00AA26FD"/>
    <w:rsid w:val="00AA2A8D"/>
    <w:rsid w:val="00AA2D53"/>
    <w:rsid w:val="00AA2EF9"/>
    <w:rsid w:val="00AA3223"/>
    <w:rsid w:val="00AA3DA9"/>
    <w:rsid w:val="00AA49DA"/>
    <w:rsid w:val="00AA4A7D"/>
    <w:rsid w:val="00AA4C85"/>
    <w:rsid w:val="00AA51E8"/>
    <w:rsid w:val="00AA5930"/>
    <w:rsid w:val="00AA6076"/>
    <w:rsid w:val="00AA6CDE"/>
    <w:rsid w:val="00AA7062"/>
    <w:rsid w:val="00AB0514"/>
    <w:rsid w:val="00AB0EE1"/>
    <w:rsid w:val="00AB1D3B"/>
    <w:rsid w:val="00AB26A7"/>
    <w:rsid w:val="00AB2706"/>
    <w:rsid w:val="00AB3764"/>
    <w:rsid w:val="00AB3A90"/>
    <w:rsid w:val="00AB3BE0"/>
    <w:rsid w:val="00AB4726"/>
    <w:rsid w:val="00AB4A3E"/>
    <w:rsid w:val="00AB57D4"/>
    <w:rsid w:val="00AB6B4E"/>
    <w:rsid w:val="00AC1866"/>
    <w:rsid w:val="00AC1ED7"/>
    <w:rsid w:val="00AC2702"/>
    <w:rsid w:val="00AC318E"/>
    <w:rsid w:val="00AC3B2A"/>
    <w:rsid w:val="00AC3EB9"/>
    <w:rsid w:val="00AC5199"/>
    <w:rsid w:val="00AC59FA"/>
    <w:rsid w:val="00AC5AE0"/>
    <w:rsid w:val="00AC6DCF"/>
    <w:rsid w:val="00AC7983"/>
    <w:rsid w:val="00AD076E"/>
    <w:rsid w:val="00AD0BF5"/>
    <w:rsid w:val="00AD2452"/>
    <w:rsid w:val="00AD27FC"/>
    <w:rsid w:val="00AD36EA"/>
    <w:rsid w:val="00AD3C8C"/>
    <w:rsid w:val="00AD4735"/>
    <w:rsid w:val="00AD52AE"/>
    <w:rsid w:val="00AD55E1"/>
    <w:rsid w:val="00AD5DAF"/>
    <w:rsid w:val="00AD5EAC"/>
    <w:rsid w:val="00AD6141"/>
    <w:rsid w:val="00AD6E81"/>
    <w:rsid w:val="00AD6F73"/>
    <w:rsid w:val="00AD7C51"/>
    <w:rsid w:val="00AE006B"/>
    <w:rsid w:val="00AE0ED1"/>
    <w:rsid w:val="00AE133B"/>
    <w:rsid w:val="00AE2518"/>
    <w:rsid w:val="00AE37B4"/>
    <w:rsid w:val="00AE383D"/>
    <w:rsid w:val="00AE4121"/>
    <w:rsid w:val="00AE49D9"/>
    <w:rsid w:val="00AE4FD0"/>
    <w:rsid w:val="00AE5097"/>
    <w:rsid w:val="00AE5A89"/>
    <w:rsid w:val="00AE6093"/>
    <w:rsid w:val="00AE754F"/>
    <w:rsid w:val="00AE7733"/>
    <w:rsid w:val="00AE77DF"/>
    <w:rsid w:val="00AF01D9"/>
    <w:rsid w:val="00AF0CC6"/>
    <w:rsid w:val="00AF1E7F"/>
    <w:rsid w:val="00AF2249"/>
    <w:rsid w:val="00AF3097"/>
    <w:rsid w:val="00AF3513"/>
    <w:rsid w:val="00AF4E53"/>
    <w:rsid w:val="00AF542A"/>
    <w:rsid w:val="00AF55A8"/>
    <w:rsid w:val="00AF6B12"/>
    <w:rsid w:val="00B019ED"/>
    <w:rsid w:val="00B01C3B"/>
    <w:rsid w:val="00B026B6"/>
    <w:rsid w:val="00B02B43"/>
    <w:rsid w:val="00B0313A"/>
    <w:rsid w:val="00B03B72"/>
    <w:rsid w:val="00B0431E"/>
    <w:rsid w:val="00B04643"/>
    <w:rsid w:val="00B0468E"/>
    <w:rsid w:val="00B04C59"/>
    <w:rsid w:val="00B0524E"/>
    <w:rsid w:val="00B05909"/>
    <w:rsid w:val="00B05962"/>
    <w:rsid w:val="00B05F01"/>
    <w:rsid w:val="00B05F7D"/>
    <w:rsid w:val="00B06168"/>
    <w:rsid w:val="00B0708E"/>
    <w:rsid w:val="00B07422"/>
    <w:rsid w:val="00B116D7"/>
    <w:rsid w:val="00B12314"/>
    <w:rsid w:val="00B13063"/>
    <w:rsid w:val="00B143C6"/>
    <w:rsid w:val="00B156C1"/>
    <w:rsid w:val="00B159AA"/>
    <w:rsid w:val="00B16E6E"/>
    <w:rsid w:val="00B17566"/>
    <w:rsid w:val="00B20503"/>
    <w:rsid w:val="00B205DB"/>
    <w:rsid w:val="00B20CB8"/>
    <w:rsid w:val="00B20DC3"/>
    <w:rsid w:val="00B20FD1"/>
    <w:rsid w:val="00B22457"/>
    <w:rsid w:val="00B22952"/>
    <w:rsid w:val="00B22D15"/>
    <w:rsid w:val="00B22E60"/>
    <w:rsid w:val="00B22F60"/>
    <w:rsid w:val="00B23E05"/>
    <w:rsid w:val="00B24928"/>
    <w:rsid w:val="00B249E7"/>
    <w:rsid w:val="00B25008"/>
    <w:rsid w:val="00B2556B"/>
    <w:rsid w:val="00B26215"/>
    <w:rsid w:val="00B26307"/>
    <w:rsid w:val="00B26EBB"/>
    <w:rsid w:val="00B27B91"/>
    <w:rsid w:val="00B30406"/>
    <w:rsid w:val="00B30F83"/>
    <w:rsid w:val="00B31430"/>
    <w:rsid w:val="00B32AE2"/>
    <w:rsid w:val="00B3442A"/>
    <w:rsid w:val="00B34717"/>
    <w:rsid w:val="00B36E78"/>
    <w:rsid w:val="00B36F20"/>
    <w:rsid w:val="00B373E0"/>
    <w:rsid w:val="00B37D10"/>
    <w:rsid w:val="00B37D88"/>
    <w:rsid w:val="00B400A5"/>
    <w:rsid w:val="00B4072E"/>
    <w:rsid w:val="00B40833"/>
    <w:rsid w:val="00B40E48"/>
    <w:rsid w:val="00B4166D"/>
    <w:rsid w:val="00B41E9A"/>
    <w:rsid w:val="00B41EED"/>
    <w:rsid w:val="00B425AA"/>
    <w:rsid w:val="00B42D87"/>
    <w:rsid w:val="00B43D1D"/>
    <w:rsid w:val="00B4454B"/>
    <w:rsid w:val="00B44821"/>
    <w:rsid w:val="00B450E6"/>
    <w:rsid w:val="00B451C0"/>
    <w:rsid w:val="00B45D12"/>
    <w:rsid w:val="00B45D26"/>
    <w:rsid w:val="00B4609C"/>
    <w:rsid w:val="00B46847"/>
    <w:rsid w:val="00B46AB7"/>
    <w:rsid w:val="00B46EDB"/>
    <w:rsid w:val="00B5097E"/>
    <w:rsid w:val="00B50C6D"/>
    <w:rsid w:val="00B51E01"/>
    <w:rsid w:val="00B51EEA"/>
    <w:rsid w:val="00B51FEE"/>
    <w:rsid w:val="00B521A9"/>
    <w:rsid w:val="00B522B9"/>
    <w:rsid w:val="00B525DF"/>
    <w:rsid w:val="00B52F30"/>
    <w:rsid w:val="00B533C4"/>
    <w:rsid w:val="00B541FC"/>
    <w:rsid w:val="00B5469F"/>
    <w:rsid w:val="00B54C8C"/>
    <w:rsid w:val="00B550B7"/>
    <w:rsid w:val="00B551D1"/>
    <w:rsid w:val="00B5538A"/>
    <w:rsid w:val="00B555E1"/>
    <w:rsid w:val="00B55FBD"/>
    <w:rsid w:val="00B5788C"/>
    <w:rsid w:val="00B602DE"/>
    <w:rsid w:val="00B60803"/>
    <w:rsid w:val="00B615C5"/>
    <w:rsid w:val="00B630FF"/>
    <w:rsid w:val="00B636E6"/>
    <w:rsid w:val="00B63EFC"/>
    <w:rsid w:val="00B64A66"/>
    <w:rsid w:val="00B658B0"/>
    <w:rsid w:val="00B65D09"/>
    <w:rsid w:val="00B66774"/>
    <w:rsid w:val="00B66927"/>
    <w:rsid w:val="00B669D9"/>
    <w:rsid w:val="00B66FBD"/>
    <w:rsid w:val="00B677C7"/>
    <w:rsid w:val="00B70372"/>
    <w:rsid w:val="00B7050B"/>
    <w:rsid w:val="00B7099E"/>
    <w:rsid w:val="00B7210A"/>
    <w:rsid w:val="00B72510"/>
    <w:rsid w:val="00B72573"/>
    <w:rsid w:val="00B73412"/>
    <w:rsid w:val="00B74F50"/>
    <w:rsid w:val="00B75016"/>
    <w:rsid w:val="00B761E5"/>
    <w:rsid w:val="00B76A23"/>
    <w:rsid w:val="00B7710C"/>
    <w:rsid w:val="00B77A75"/>
    <w:rsid w:val="00B802D7"/>
    <w:rsid w:val="00B802E2"/>
    <w:rsid w:val="00B81577"/>
    <w:rsid w:val="00B817C3"/>
    <w:rsid w:val="00B81904"/>
    <w:rsid w:val="00B81CF8"/>
    <w:rsid w:val="00B81DEE"/>
    <w:rsid w:val="00B82447"/>
    <w:rsid w:val="00B825C3"/>
    <w:rsid w:val="00B82689"/>
    <w:rsid w:val="00B830F1"/>
    <w:rsid w:val="00B83498"/>
    <w:rsid w:val="00B83658"/>
    <w:rsid w:val="00B83E87"/>
    <w:rsid w:val="00B83FA0"/>
    <w:rsid w:val="00B84E64"/>
    <w:rsid w:val="00B85420"/>
    <w:rsid w:val="00B855AA"/>
    <w:rsid w:val="00B85DB2"/>
    <w:rsid w:val="00B85E68"/>
    <w:rsid w:val="00B867DF"/>
    <w:rsid w:val="00B873C6"/>
    <w:rsid w:val="00B90676"/>
    <w:rsid w:val="00B90D7E"/>
    <w:rsid w:val="00B91AED"/>
    <w:rsid w:val="00B92367"/>
    <w:rsid w:val="00B92A39"/>
    <w:rsid w:val="00B93271"/>
    <w:rsid w:val="00B93C50"/>
    <w:rsid w:val="00B94017"/>
    <w:rsid w:val="00B9406D"/>
    <w:rsid w:val="00B9438A"/>
    <w:rsid w:val="00B94696"/>
    <w:rsid w:val="00B95DF5"/>
    <w:rsid w:val="00B963C3"/>
    <w:rsid w:val="00B97D45"/>
    <w:rsid w:val="00BA0D90"/>
    <w:rsid w:val="00BA1C3D"/>
    <w:rsid w:val="00BA1CD5"/>
    <w:rsid w:val="00BA20CF"/>
    <w:rsid w:val="00BA28EC"/>
    <w:rsid w:val="00BA2E17"/>
    <w:rsid w:val="00BA3484"/>
    <w:rsid w:val="00BA3A10"/>
    <w:rsid w:val="00BA3BD7"/>
    <w:rsid w:val="00BA4644"/>
    <w:rsid w:val="00BA4F73"/>
    <w:rsid w:val="00BA5153"/>
    <w:rsid w:val="00BA5BF5"/>
    <w:rsid w:val="00BA5F4A"/>
    <w:rsid w:val="00BA60B6"/>
    <w:rsid w:val="00BA62E1"/>
    <w:rsid w:val="00BA6F71"/>
    <w:rsid w:val="00BA6F86"/>
    <w:rsid w:val="00BA7910"/>
    <w:rsid w:val="00BA7AFD"/>
    <w:rsid w:val="00BA7D19"/>
    <w:rsid w:val="00BA7D46"/>
    <w:rsid w:val="00BB0272"/>
    <w:rsid w:val="00BB02BC"/>
    <w:rsid w:val="00BB262C"/>
    <w:rsid w:val="00BB29A4"/>
    <w:rsid w:val="00BB3531"/>
    <w:rsid w:val="00BB3B07"/>
    <w:rsid w:val="00BB493F"/>
    <w:rsid w:val="00BB5268"/>
    <w:rsid w:val="00BB6154"/>
    <w:rsid w:val="00BB67AB"/>
    <w:rsid w:val="00BB6D75"/>
    <w:rsid w:val="00BB7315"/>
    <w:rsid w:val="00BB7879"/>
    <w:rsid w:val="00BC0D45"/>
    <w:rsid w:val="00BC1802"/>
    <w:rsid w:val="00BC1823"/>
    <w:rsid w:val="00BC1CD7"/>
    <w:rsid w:val="00BC2006"/>
    <w:rsid w:val="00BC2558"/>
    <w:rsid w:val="00BC2F66"/>
    <w:rsid w:val="00BC3CDC"/>
    <w:rsid w:val="00BC4137"/>
    <w:rsid w:val="00BC47DC"/>
    <w:rsid w:val="00BC491E"/>
    <w:rsid w:val="00BC4C0E"/>
    <w:rsid w:val="00BC6AEB"/>
    <w:rsid w:val="00BC6BBE"/>
    <w:rsid w:val="00BC7111"/>
    <w:rsid w:val="00BD0A83"/>
    <w:rsid w:val="00BD2B3B"/>
    <w:rsid w:val="00BD2FF4"/>
    <w:rsid w:val="00BD4CB3"/>
    <w:rsid w:val="00BD564F"/>
    <w:rsid w:val="00BD608A"/>
    <w:rsid w:val="00BD62B1"/>
    <w:rsid w:val="00BD64DA"/>
    <w:rsid w:val="00BD7709"/>
    <w:rsid w:val="00BD7979"/>
    <w:rsid w:val="00BE0733"/>
    <w:rsid w:val="00BE0A28"/>
    <w:rsid w:val="00BE0F4A"/>
    <w:rsid w:val="00BE35AD"/>
    <w:rsid w:val="00BE3DE5"/>
    <w:rsid w:val="00BE49D1"/>
    <w:rsid w:val="00BE58A2"/>
    <w:rsid w:val="00BE63AB"/>
    <w:rsid w:val="00BE64F8"/>
    <w:rsid w:val="00BF03CB"/>
    <w:rsid w:val="00BF04E0"/>
    <w:rsid w:val="00BF0880"/>
    <w:rsid w:val="00BF08CB"/>
    <w:rsid w:val="00BF366F"/>
    <w:rsid w:val="00BF3A41"/>
    <w:rsid w:val="00BF3F59"/>
    <w:rsid w:val="00BF47A5"/>
    <w:rsid w:val="00BF48DA"/>
    <w:rsid w:val="00BF4BC5"/>
    <w:rsid w:val="00BF6DC7"/>
    <w:rsid w:val="00BF6F8D"/>
    <w:rsid w:val="00BF7886"/>
    <w:rsid w:val="00C00258"/>
    <w:rsid w:val="00C01A45"/>
    <w:rsid w:val="00C02D85"/>
    <w:rsid w:val="00C0312D"/>
    <w:rsid w:val="00C03C15"/>
    <w:rsid w:val="00C04A3F"/>
    <w:rsid w:val="00C04AFC"/>
    <w:rsid w:val="00C04C41"/>
    <w:rsid w:val="00C04E57"/>
    <w:rsid w:val="00C05188"/>
    <w:rsid w:val="00C0525F"/>
    <w:rsid w:val="00C06853"/>
    <w:rsid w:val="00C06DBB"/>
    <w:rsid w:val="00C07B8E"/>
    <w:rsid w:val="00C106F2"/>
    <w:rsid w:val="00C109D3"/>
    <w:rsid w:val="00C10F62"/>
    <w:rsid w:val="00C11246"/>
    <w:rsid w:val="00C113D9"/>
    <w:rsid w:val="00C121B9"/>
    <w:rsid w:val="00C140DA"/>
    <w:rsid w:val="00C15079"/>
    <w:rsid w:val="00C150CB"/>
    <w:rsid w:val="00C15E65"/>
    <w:rsid w:val="00C162B9"/>
    <w:rsid w:val="00C165E6"/>
    <w:rsid w:val="00C1678F"/>
    <w:rsid w:val="00C16986"/>
    <w:rsid w:val="00C1756D"/>
    <w:rsid w:val="00C20921"/>
    <w:rsid w:val="00C20961"/>
    <w:rsid w:val="00C20967"/>
    <w:rsid w:val="00C20AE5"/>
    <w:rsid w:val="00C21BC9"/>
    <w:rsid w:val="00C22D23"/>
    <w:rsid w:val="00C22D57"/>
    <w:rsid w:val="00C23869"/>
    <w:rsid w:val="00C2392E"/>
    <w:rsid w:val="00C241C1"/>
    <w:rsid w:val="00C26127"/>
    <w:rsid w:val="00C261C2"/>
    <w:rsid w:val="00C26C7A"/>
    <w:rsid w:val="00C278C9"/>
    <w:rsid w:val="00C305B7"/>
    <w:rsid w:val="00C30B2A"/>
    <w:rsid w:val="00C30B53"/>
    <w:rsid w:val="00C30FBD"/>
    <w:rsid w:val="00C3134C"/>
    <w:rsid w:val="00C31401"/>
    <w:rsid w:val="00C31465"/>
    <w:rsid w:val="00C31F46"/>
    <w:rsid w:val="00C3231B"/>
    <w:rsid w:val="00C3333A"/>
    <w:rsid w:val="00C348D3"/>
    <w:rsid w:val="00C35E86"/>
    <w:rsid w:val="00C364B8"/>
    <w:rsid w:val="00C366A9"/>
    <w:rsid w:val="00C368AA"/>
    <w:rsid w:val="00C37444"/>
    <w:rsid w:val="00C37961"/>
    <w:rsid w:val="00C402A4"/>
    <w:rsid w:val="00C407EF"/>
    <w:rsid w:val="00C41126"/>
    <w:rsid w:val="00C41840"/>
    <w:rsid w:val="00C429DC"/>
    <w:rsid w:val="00C42CCE"/>
    <w:rsid w:val="00C4310D"/>
    <w:rsid w:val="00C432BF"/>
    <w:rsid w:val="00C43F4F"/>
    <w:rsid w:val="00C441A8"/>
    <w:rsid w:val="00C44443"/>
    <w:rsid w:val="00C4616D"/>
    <w:rsid w:val="00C47CC2"/>
    <w:rsid w:val="00C47ED5"/>
    <w:rsid w:val="00C507EA"/>
    <w:rsid w:val="00C51E21"/>
    <w:rsid w:val="00C51F4A"/>
    <w:rsid w:val="00C523DA"/>
    <w:rsid w:val="00C52BD5"/>
    <w:rsid w:val="00C52E38"/>
    <w:rsid w:val="00C53A78"/>
    <w:rsid w:val="00C541C9"/>
    <w:rsid w:val="00C54832"/>
    <w:rsid w:val="00C54A91"/>
    <w:rsid w:val="00C5521D"/>
    <w:rsid w:val="00C55D2C"/>
    <w:rsid w:val="00C57091"/>
    <w:rsid w:val="00C57202"/>
    <w:rsid w:val="00C579FB"/>
    <w:rsid w:val="00C57E74"/>
    <w:rsid w:val="00C60A29"/>
    <w:rsid w:val="00C60E84"/>
    <w:rsid w:val="00C613ED"/>
    <w:rsid w:val="00C61560"/>
    <w:rsid w:val="00C61860"/>
    <w:rsid w:val="00C61909"/>
    <w:rsid w:val="00C61CC0"/>
    <w:rsid w:val="00C64A3A"/>
    <w:rsid w:val="00C6518B"/>
    <w:rsid w:val="00C657EE"/>
    <w:rsid w:val="00C665A8"/>
    <w:rsid w:val="00C6660D"/>
    <w:rsid w:val="00C67C93"/>
    <w:rsid w:val="00C67ED2"/>
    <w:rsid w:val="00C704F9"/>
    <w:rsid w:val="00C708D9"/>
    <w:rsid w:val="00C70C18"/>
    <w:rsid w:val="00C717A3"/>
    <w:rsid w:val="00C7216D"/>
    <w:rsid w:val="00C72294"/>
    <w:rsid w:val="00C72BE9"/>
    <w:rsid w:val="00C7312B"/>
    <w:rsid w:val="00C74BDA"/>
    <w:rsid w:val="00C7562E"/>
    <w:rsid w:val="00C75A63"/>
    <w:rsid w:val="00C769D4"/>
    <w:rsid w:val="00C76B9E"/>
    <w:rsid w:val="00C77493"/>
    <w:rsid w:val="00C77A0C"/>
    <w:rsid w:val="00C8079D"/>
    <w:rsid w:val="00C809A5"/>
    <w:rsid w:val="00C810CB"/>
    <w:rsid w:val="00C82060"/>
    <w:rsid w:val="00C823D4"/>
    <w:rsid w:val="00C8306F"/>
    <w:rsid w:val="00C830BA"/>
    <w:rsid w:val="00C84373"/>
    <w:rsid w:val="00C8669F"/>
    <w:rsid w:val="00C867CC"/>
    <w:rsid w:val="00C86D7A"/>
    <w:rsid w:val="00C86E22"/>
    <w:rsid w:val="00C87F66"/>
    <w:rsid w:val="00C90242"/>
    <w:rsid w:val="00C902D8"/>
    <w:rsid w:val="00C908A2"/>
    <w:rsid w:val="00C90C31"/>
    <w:rsid w:val="00C90CDC"/>
    <w:rsid w:val="00C90E61"/>
    <w:rsid w:val="00C941FB"/>
    <w:rsid w:val="00C949BA"/>
    <w:rsid w:val="00C9642D"/>
    <w:rsid w:val="00C96484"/>
    <w:rsid w:val="00C9663A"/>
    <w:rsid w:val="00C96A13"/>
    <w:rsid w:val="00C96A35"/>
    <w:rsid w:val="00C973FD"/>
    <w:rsid w:val="00C975ED"/>
    <w:rsid w:val="00CA0790"/>
    <w:rsid w:val="00CA0FD7"/>
    <w:rsid w:val="00CA141E"/>
    <w:rsid w:val="00CA1D64"/>
    <w:rsid w:val="00CA3510"/>
    <w:rsid w:val="00CA36F9"/>
    <w:rsid w:val="00CA3C31"/>
    <w:rsid w:val="00CA40B3"/>
    <w:rsid w:val="00CA452C"/>
    <w:rsid w:val="00CA46AF"/>
    <w:rsid w:val="00CA4F4F"/>
    <w:rsid w:val="00CA50F1"/>
    <w:rsid w:val="00CA5E90"/>
    <w:rsid w:val="00CA615B"/>
    <w:rsid w:val="00CA6656"/>
    <w:rsid w:val="00CA6731"/>
    <w:rsid w:val="00CA72E7"/>
    <w:rsid w:val="00CA7532"/>
    <w:rsid w:val="00CA7652"/>
    <w:rsid w:val="00CA7B83"/>
    <w:rsid w:val="00CB1198"/>
    <w:rsid w:val="00CB153C"/>
    <w:rsid w:val="00CB18B1"/>
    <w:rsid w:val="00CB1911"/>
    <w:rsid w:val="00CB3788"/>
    <w:rsid w:val="00CB3E8B"/>
    <w:rsid w:val="00CB5665"/>
    <w:rsid w:val="00CB5892"/>
    <w:rsid w:val="00CB6465"/>
    <w:rsid w:val="00CB65E4"/>
    <w:rsid w:val="00CB6693"/>
    <w:rsid w:val="00CB6990"/>
    <w:rsid w:val="00CC0293"/>
    <w:rsid w:val="00CC0842"/>
    <w:rsid w:val="00CC0CFF"/>
    <w:rsid w:val="00CC1564"/>
    <w:rsid w:val="00CC2D30"/>
    <w:rsid w:val="00CC31C2"/>
    <w:rsid w:val="00CC41B3"/>
    <w:rsid w:val="00CC67DA"/>
    <w:rsid w:val="00CC6B4A"/>
    <w:rsid w:val="00CC6FD9"/>
    <w:rsid w:val="00CC70BB"/>
    <w:rsid w:val="00CC7534"/>
    <w:rsid w:val="00CC78B9"/>
    <w:rsid w:val="00CC7F6E"/>
    <w:rsid w:val="00CD02C5"/>
    <w:rsid w:val="00CD02E9"/>
    <w:rsid w:val="00CD0E42"/>
    <w:rsid w:val="00CD0EE9"/>
    <w:rsid w:val="00CD1532"/>
    <w:rsid w:val="00CD1F12"/>
    <w:rsid w:val="00CD211B"/>
    <w:rsid w:val="00CD2220"/>
    <w:rsid w:val="00CD274F"/>
    <w:rsid w:val="00CD3476"/>
    <w:rsid w:val="00CD46CE"/>
    <w:rsid w:val="00CD6100"/>
    <w:rsid w:val="00CD6659"/>
    <w:rsid w:val="00CD675B"/>
    <w:rsid w:val="00CD74AC"/>
    <w:rsid w:val="00CE0514"/>
    <w:rsid w:val="00CE05DB"/>
    <w:rsid w:val="00CE073F"/>
    <w:rsid w:val="00CE1D06"/>
    <w:rsid w:val="00CE1D1F"/>
    <w:rsid w:val="00CE23D1"/>
    <w:rsid w:val="00CE26DC"/>
    <w:rsid w:val="00CE304F"/>
    <w:rsid w:val="00CE380E"/>
    <w:rsid w:val="00CE4B21"/>
    <w:rsid w:val="00CE4D2B"/>
    <w:rsid w:val="00CE586F"/>
    <w:rsid w:val="00CE6852"/>
    <w:rsid w:val="00CE68C6"/>
    <w:rsid w:val="00CE6B11"/>
    <w:rsid w:val="00CE6B42"/>
    <w:rsid w:val="00CE7C95"/>
    <w:rsid w:val="00CF0192"/>
    <w:rsid w:val="00CF0AF8"/>
    <w:rsid w:val="00CF23D9"/>
    <w:rsid w:val="00CF27D8"/>
    <w:rsid w:val="00CF2C40"/>
    <w:rsid w:val="00CF2E22"/>
    <w:rsid w:val="00CF2F26"/>
    <w:rsid w:val="00CF3380"/>
    <w:rsid w:val="00CF3E03"/>
    <w:rsid w:val="00CF4370"/>
    <w:rsid w:val="00CF58FD"/>
    <w:rsid w:val="00CF5C68"/>
    <w:rsid w:val="00CF6303"/>
    <w:rsid w:val="00CF6496"/>
    <w:rsid w:val="00CF651B"/>
    <w:rsid w:val="00CF7212"/>
    <w:rsid w:val="00CF75E5"/>
    <w:rsid w:val="00D01E63"/>
    <w:rsid w:val="00D022FA"/>
    <w:rsid w:val="00D02E94"/>
    <w:rsid w:val="00D04653"/>
    <w:rsid w:val="00D049B5"/>
    <w:rsid w:val="00D05287"/>
    <w:rsid w:val="00D056CE"/>
    <w:rsid w:val="00D07197"/>
    <w:rsid w:val="00D073B9"/>
    <w:rsid w:val="00D07EF4"/>
    <w:rsid w:val="00D07F94"/>
    <w:rsid w:val="00D11A19"/>
    <w:rsid w:val="00D1282F"/>
    <w:rsid w:val="00D132C7"/>
    <w:rsid w:val="00D1353E"/>
    <w:rsid w:val="00D13B4A"/>
    <w:rsid w:val="00D13E15"/>
    <w:rsid w:val="00D13F7E"/>
    <w:rsid w:val="00D14202"/>
    <w:rsid w:val="00D14F59"/>
    <w:rsid w:val="00D15A41"/>
    <w:rsid w:val="00D17A8B"/>
    <w:rsid w:val="00D2058E"/>
    <w:rsid w:val="00D20B80"/>
    <w:rsid w:val="00D20BF6"/>
    <w:rsid w:val="00D221D7"/>
    <w:rsid w:val="00D23672"/>
    <w:rsid w:val="00D242CA"/>
    <w:rsid w:val="00D2572C"/>
    <w:rsid w:val="00D25FA0"/>
    <w:rsid w:val="00D266D0"/>
    <w:rsid w:val="00D268D3"/>
    <w:rsid w:val="00D26CF6"/>
    <w:rsid w:val="00D26EC7"/>
    <w:rsid w:val="00D2705C"/>
    <w:rsid w:val="00D27F66"/>
    <w:rsid w:val="00D30312"/>
    <w:rsid w:val="00D30BE1"/>
    <w:rsid w:val="00D30CEF"/>
    <w:rsid w:val="00D31A69"/>
    <w:rsid w:val="00D31D44"/>
    <w:rsid w:val="00D31FA7"/>
    <w:rsid w:val="00D330F8"/>
    <w:rsid w:val="00D33181"/>
    <w:rsid w:val="00D3359B"/>
    <w:rsid w:val="00D33A3B"/>
    <w:rsid w:val="00D33F39"/>
    <w:rsid w:val="00D33FD0"/>
    <w:rsid w:val="00D34DA5"/>
    <w:rsid w:val="00D352CE"/>
    <w:rsid w:val="00D3543E"/>
    <w:rsid w:val="00D36268"/>
    <w:rsid w:val="00D3645F"/>
    <w:rsid w:val="00D40D14"/>
    <w:rsid w:val="00D41D76"/>
    <w:rsid w:val="00D42B8A"/>
    <w:rsid w:val="00D42FFE"/>
    <w:rsid w:val="00D433E3"/>
    <w:rsid w:val="00D43CEB"/>
    <w:rsid w:val="00D44CFC"/>
    <w:rsid w:val="00D44E31"/>
    <w:rsid w:val="00D4534C"/>
    <w:rsid w:val="00D465B5"/>
    <w:rsid w:val="00D50D17"/>
    <w:rsid w:val="00D51483"/>
    <w:rsid w:val="00D51AD5"/>
    <w:rsid w:val="00D51B37"/>
    <w:rsid w:val="00D51E45"/>
    <w:rsid w:val="00D521FC"/>
    <w:rsid w:val="00D5293B"/>
    <w:rsid w:val="00D5396B"/>
    <w:rsid w:val="00D55755"/>
    <w:rsid w:val="00D55808"/>
    <w:rsid w:val="00D55BB0"/>
    <w:rsid w:val="00D562CD"/>
    <w:rsid w:val="00D565E3"/>
    <w:rsid w:val="00D56767"/>
    <w:rsid w:val="00D57218"/>
    <w:rsid w:val="00D57434"/>
    <w:rsid w:val="00D57BF7"/>
    <w:rsid w:val="00D57C02"/>
    <w:rsid w:val="00D57CB0"/>
    <w:rsid w:val="00D60584"/>
    <w:rsid w:val="00D6100E"/>
    <w:rsid w:val="00D612CC"/>
    <w:rsid w:val="00D617EE"/>
    <w:rsid w:val="00D6356A"/>
    <w:rsid w:val="00D64E20"/>
    <w:rsid w:val="00D65452"/>
    <w:rsid w:val="00D6748B"/>
    <w:rsid w:val="00D67EB0"/>
    <w:rsid w:val="00D7088B"/>
    <w:rsid w:val="00D70914"/>
    <w:rsid w:val="00D70CDD"/>
    <w:rsid w:val="00D7374C"/>
    <w:rsid w:val="00D73884"/>
    <w:rsid w:val="00D73F5D"/>
    <w:rsid w:val="00D74DA6"/>
    <w:rsid w:val="00D75125"/>
    <w:rsid w:val="00D7534A"/>
    <w:rsid w:val="00D7565D"/>
    <w:rsid w:val="00D762C3"/>
    <w:rsid w:val="00D76507"/>
    <w:rsid w:val="00D76C68"/>
    <w:rsid w:val="00D77595"/>
    <w:rsid w:val="00D778FD"/>
    <w:rsid w:val="00D77FA7"/>
    <w:rsid w:val="00D80534"/>
    <w:rsid w:val="00D80671"/>
    <w:rsid w:val="00D80E39"/>
    <w:rsid w:val="00D814F2"/>
    <w:rsid w:val="00D8150F"/>
    <w:rsid w:val="00D818A5"/>
    <w:rsid w:val="00D81BDB"/>
    <w:rsid w:val="00D83129"/>
    <w:rsid w:val="00D8332D"/>
    <w:rsid w:val="00D84417"/>
    <w:rsid w:val="00D84467"/>
    <w:rsid w:val="00D85BFE"/>
    <w:rsid w:val="00D90CDA"/>
    <w:rsid w:val="00D90FB6"/>
    <w:rsid w:val="00D91893"/>
    <w:rsid w:val="00D91C5D"/>
    <w:rsid w:val="00D91F77"/>
    <w:rsid w:val="00D92737"/>
    <w:rsid w:val="00D92CFA"/>
    <w:rsid w:val="00D92EA0"/>
    <w:rsid w:val="00D93FCA"/>
    <w:rsid w:val="00D94682"/>
    <w:rsid w:val="00D96965"/>
    <w:rsid w:val="00D96F9A"/>
    <w:rsid w:val="00DA0594"/>
    <w:rsid w:val="00DA0A41"/>
    <w:rsid w:val="00DA14D5"/>
    <w:rsid w:val="00DA19E2"/>
    <w:rsid w:val="00DA2BE5"/>
    <w:rsid w:val="00DA2DF2"/>
    <w:rsid w:val="00DA4F7B"/>
    <w:rsid w:val="00DA63C2"/>
    <w:rsid w:val="00DA72DF"/>
    <w:rsid w:val="00DA7806"/>
    <w:rsid w:val="00DB0241"/>
    <w:rsid w:val="00DB1287"/>
    <w:rsid w:val="00DB4D63"/>
    <w:rsid w:val="00DB4E7B"/>
    <w:rsid w:val="00DB5343"/>
    <w:rsid w:val="00DB5615"/>
    <w:rsid w:val="00DB635E"/>
    <w:rsid w:val="00DB68A7"/>
    <w:rsid w:val="00DB6BFB"/>
    <w:rsid w:val="00DB6E0D"/>
    <w:rsid w:val="00DB708B"/>
    <w:rsid w:val="00DB7680"/>
    <w:rsid w:val="00DB7898"/>
    <w:rsid w:val="00DC1862"/>
    <w:rsid w:val="00DC186E"/>
    <w:rsid w:val="00DC18AD"/>
    <w:rsid w:val="00DC197B"/>
    <w:rsid w:val="00DC24FB"/>
    <w:rsid w:val="00DC2A60"/>
    <w:rsid w:val="00DC2DD4"/>
    <w:rsid w:val="00DC3546"/>
    <w:rsid w:val="00DC36DF"/>
    <w:rsid w:val="00DC480C"/>
    <w:rsid w:val="00DC54F4"/>
    <w:rsid w:val="00DC559D"/>
    <w:rsid w:val="00DC56C2"/>
    <w:rsid w:val="00DC5822"/>
    <w:rsid w:val="00DC7095"/>
    <w:rsid w:val="00DC7505"/>
    <w:rsid w:val="00DD08D3"/>
    <w:rsid w:val="00DD26C2"/>
    <w:rsid w:val="00DD3AA7"/>
    <w:rsid w:val="00DD4747"/>
    <w:rsid w:val="00DD53EA"/>
    <w:rsid w:val="00DD54DB"/>
    <w:rsid w:val="00DD58F2"/>
    <w:rsid w:val="00DD5B65"/>
    <w:rsid w:val="00DD5E0F"/>
    <w:rsid w:val="00DD6E2C"/>
    <w:rsid w:val="00DD6F91"/>
    <w:rsid w:val="00DD778A"/>
    <w:rsid w:val="00DE0F21"/>
    <w:rsid w:val="00DE1E87"/>
    <w:rsid w:val="00DE2D0C"/>
    <w:rsid w:val="00DE6CA3"/>
    <w:rsid w:val="00DE745A"/>
    <w:rsid w:val="00DE747A"/>
    <w:rsid w:val="00DF0A74"/>
    <w:rsid w:val="00DF0BDB"/>
    <w:rsid w:val="00DF0F76"/>
    <w:rsid w:val="00DF1CDD"/>
    <w:rsid w:val="00DF2412"/>
    <w:rsid w:val="00DF29F1"/>
    <w:rsid w:val="00DF3C64"/>
    <w:rsid w:val="00DF41B5"/>
    <w:rsid w:val="00DF483A"/>
    <w:rsid w:val="00DF4D32"/>
    <w:rsid w:val="00DF5898"/>
    <w:rsid w:val="00DF5AA2"/>
    <w:rsid w:val="00DF5F34"/>
    <w:rsid w:val="00DF6B67"/>
    <w:rsid w:val="00DF7FD1"/>
    <w:rsid w:val="00E00052"/>
    <w:rsid w:val="00E00A1E"/>
    <w:rsid w:val="00E01283"/>
    <w:rsid w:val="00E018D0"/>
    <w:rsid w:val="00E01C44"/>
    <w:rsid w:val="00E036DD"/>
    <w:rsid w:val="00E039C9"/>
    <w:rsid w:val="00E0455E"/>
    <w:rsid w:val="00E04E0C"/>
    <w:rsid w:val="00E051D3"/>
    <w:rsid w:val="00E056A7"/>
    <w:rsid w:val="00E05941"/>
    <w:rsid w:val="00E05BEB"/>
    <w:rsid w:val="00E05FA8"/>
    <w:rsid w:val="00E06286"/>
    <w:rsid w:val="00E067BD"/>
    <w:rsid w:val="00E06839"/>
    <w:rsid w:val="00E103BA"/>
    <w:rsid w:val="00E11095"/>
    <w:rsid w:val="00E1114C"/>
    <w:rsid w:val="00E11241"/>
    <w:rsid w:val="00E11524"/>
    <w:rsid w:val="00E11C9B"/>
    <w:rsid w:val="00E1238C"/>
    <w:rsid w:val="00E123FA"/>
    <w:rsid w:val="00E12AC8"/>
    <w:rsid w:val="00E12E3E"/>
    <w:rsid w:val="00E13457"/>
    <w:rsid w:val="00E141F9"/>
    <w:rsid w:val="00E14C41"/>
    <w:rsid w:val="00E15B0E"/>
    <w:rsid w:val="00E162CC"/>
    <w:rsid w:val="00E16725"/>
    <w:rsid w:val="00E1697E"/>
    <w:rsid w:val="00E16D14"/>
    <w:rsid w:val="00E1794F"/>
    <w:rsid w:val="00E17A04"/>
    <w:rsid w:val="00E17D32"/>
    <w:rsid w:val="00E20ED0"/>
    <w:rsid w:val="00E21715"/>
    <w:rsid w:val="00E21802"/>
    <w:rsid w:val="00E21FC2"/>
    <w:rsid w:val="00E2224C"/>
    <w:rsid w:val="00E22470"/>
    <w:rsid w:val="00E22688"/>
    <w:rsid w:val="00E22708"/>
    <w:rsid w:val="00E23956"/>
    <w:rsid w:val="00E23A75"/>
    <w:rsid w:val="00E25CCB"/>
    <w:rsid w:val="00E26992"/>
    <w:rsid w:val="00E26A18"/>
    <w:rsid w:val="00E27DAA"/>
    <w:rsid w:val="00E27F0D"/>
    <w:rsid w:val="00E30362"/>
    <w:rsid w:val="00E30C7E"/>
    <w:rsid w:val="00E32C66"/>
    <w:rsid w:val="00E32FC7"/>
    <w:rsid w:val="00E333EF"/>
    <w:rsid w:val="00E33FE9"/>
    <w:rsid w:val="00E34359"/>
    <w:rsid w:val="00E34700"/>
    <w:rsid w:val="00E34D2E"/>
    <w:rsid w:val="00E35251"/>
    <w:rsid w:val="00E3544C"/>
    <w:rsid w:val="00E366B5"/>
    <w:rsid w:val="00E36D85"/>
    <w:rsid w:val="00E41450"/>
    <w:rsid w:val="00E4188E"/>
    <w:rsid w:val="00E4262B"/>
    <w:rsid w:val="00E43D32"/>
    <w:rsid w:val="00E44244"/>
    <w:rsid w:val="00E44CBF"/>
    <w:rsid w:val="00E45271"/>
    <w:rsid w:val="00E45538"/>
    <w:rsid w:val="00E45781"/>
    <w:rsid w:val="00E45D58"/>
    <w:rsid w:val="00E4769D"/>
    <w:rsid w:val="00E47BB0"/>
    <w:rsid w:val="00E47DB8"/>
    <w:rsid w:val="00E50737"/>
    <w:rsid w:val="00E5096D"/>
    <w:rsid w:val="00E52400"/>
    <w:rsid w:val="00E528AE"/>
    <w:rsid w:val="00E53431"/>
    <w:rsid w:val="00E53CA5"/>
    <w:rsid w:val="00E53E86"/>
    <w:rsid w:val="00E5489C"/>
    <w:rsid w:val="00E54BF8"/>
    <w:rsid w:val="00E556FD"/>
    <w:rsid w:val="00E55BED"/>
    <w:rsid w:val="00E563C3"/>
    <w:rsid w:val="00E578C1"/>
    <w:rsid w:val="00E6077A"/>
    <w:rsid w:val="00E613CD"/>
    <w:rsid w:val="00E614D9"/>
    <w:rsid w:val="00E61879"/>
    <w:rsid w:val="00E61A77"/>
    <w:rsid w:val="00E61B93"/>
    <w:rsid w:val="00E62078"/>
    <w:rsid w:val="00E6260C"/>
    <w:rsid w:val="00E62BC0"/>
    <w:rsid w:val="00E634AD"/>
    <w:rsid w:val="00E63C8A"/>
    <w:rsid w:val="00E64014"/>
    <w:rsid w:val="00E6423A"/>
    <w:rsid w:val="00E64578"/>
    <w:rsid w:val="00E64676"/>
    <w:rsid w:val="00E65751"/>
    <w:rsid w:val="00E66D95"/>
    <w:rsid w:val="00E6706B"/>
    <w:rsid w:val="00E6730C"/>
    <w:rsid w:val="00E7034F"/>
    <w:rsid w:val="00E709A7"/>
    <w:rsid w:val="00E7104C"/>
    <w:rsid w:val="00E71FFC"/>
    <w:rsid w:val="00E72226"/>
    <w:rsid w:val="00E72C73"/>
    <w:rsid w:val="00E73BE1"/>
    <w:rsid w:val="00E73E50"/>
    <w:rsid w:val="00E73F26"/>
    <w:rsid w:val="00E73F7D"/>
    <w:rsid w:val="00E7473B"/>
    <w:rsid w:val="00E75D6C"/>
    <w:rsid w:val="00E7676E"/>
    <w:rsid w:val="00E7761C"/>
    <w:rsid w:val="00E779CF"/>
    <w:rsid w:val="00E77C53"/>
    <w:rsid w:val="00E8055E"/>
    <w:rsid w:val="00E807AC"/>
    <w:rsid w:val="00E8175D"/>
    <w:rsid w:val="00E81BB3"/>
    <w:rsid w:val="00E81BE5"/>
    <w:rsid w:val="00E82696"/>
    <w:rsid w:val="00E838D9"/>
    <w:rsid w:val="00E83BCF"/>
    <w:rsid w:val="00E84320"/>
    <w:rsid w:val="00E85596"/>
    <w:rsid w:val="00E855CB"/>
    <w:rsid w:val="00E85672"/>
    <w:rsid w:val="00E87AD7"/>
    <w:rsid w:val="00E90084"/>
    <w:rsid w:val="00E908DF"/>
    <w:rsid w:val="00E90D83"/>
    <w:rsid w:val="00E91323"/>
    <w:rsid w:val="00E919BA"/>
    <w:rsid w:val="00E9289D"/>
    <w:rsid w:val="00E93BBE"/>
    <w:rsid w:val="00E94946"/>
    <w:rsid w:val="00E9549B"/>
    <w:rsid w:val="00E95775"/>
    <w:rsid w:val="00E959D9"/>
    <w:rsid w:val="00E95E57"/>
    <w:rsid w:val="00E96575"/>
    <w:rsid w:val="00E97EF5"/>
    <w:rsid w:val="00E97F56"/>
    <w:rsid w:val="00EA008E"/>
    <w:rsid w:val="00EA0BFA"/>
    <w:rsid w:val="00EA13A3"/>
    <w:rsid w:val="00EA2DB7"/>
    <w:rsid w:val="00EA2FB4"/>
    <w:rsid w:val="00EA39F4"/>
    <w:rsid w:val="00EA522C"/>
    <w:rsid w:val="00EA72A0"/>
    <w:rsid w:val="00EA7BDA"/>
    <w:rsid w:val="00EB0519"/>
    <w:rsid w:val="00EB0659"/>
    <w:rsid w:val="00EB06BA"/>
    <w:rsid w:val="00EB1D26"/>
    <w:rsid w:val="00EB1F7B"/>
    <w:rsid w:val="00EB3543"/>
    <w:rsid w:val="00EB4796"/>
    <w:rsid w:val="00EB50E4"/>
    <w:rsid w:val="00EB5215"/>
    <w:rsid w:val="00EB5588"/>
    <w:rsid w:val="00EB645D"/>
    <w:rsid w:val="00EB67C4"/>
    <w:rsid w:val="00EB6973"/>
    <w:rsid w:val="00EB69E7"/>
    <w:rsid w:val="00EB6CB8"/>
    <w:rsid w:val="00EB7DB2"/>
    <w:rsid w:val="00EC22B0"/>
    <w:rsid w:val="00EC22D0"/>
    <w:rsid w:val="00EC35C9"/>
    <w:rsid w:val="00EC3CBE"/>
    <w:rsid w:val="00EC498E"/>
    <w:rsid w:val="00EC5967"/>
    <w:rsid w:val="00EC7195"/>
    <w:rsid w:val="00ED0460"/>
    <w:rsid w:val="00ED088F"/>
    <w:rsid w:val="00ED0B4C"/>
    <w:rsid w:val="00ED196A"/>
    <w:rsid w:val="00ED19F5"/>
    <w:rsid w:val="00ED1FB4"/>
    <w:rsid w:val="00ED256E"/>
    <w:rsid w:val="00ED2F8E"/>
    <w:rsid w:val="00ED3500"/>
    <w:rsid w:val="00ED3620"/>
    <w:rsid w:val="00ED36D0"/>
    <w:rsid w:val="00ED4CBF"/>
    <w:rsid w:val="00ED5C8A"/>
    <w:rsid w:val="00ED5E2D"/>
    <w:rsid w:val="00ED6012"/>
    <w:rsid w:val="00ED6164"/>
    <w:rsid w:val="00ED6E01"/>
    <w:rsid w:val="00EE05FE"/>
    <w:rsid w:val="00EE0A39"/>
    <w:rsid w:val="00EE3146"/>
    <w:rsid w:val="00EE3652"/>
    <w:rsid w:val="00EE3789"/>
    <w:rsid w:val="00EE3F0F"/>
    <w:rsid w:val="00EE3FF3"/>
    <w:rsid w:val="00EE4642"/>
    <w:rsid w:val="00EE5B9A"/>
    <w:rsid w:val="00EE5DE8"/>
    <w:rsid w:val="00EE6F62"/>
    <w:rsid w:val="00EE785D"/>
    <w:rsid w:val="00EE7CE9"/>
    <w:rsid w:val="00EF07EE"/>
    <w:rsid w:val="00EF10FB"/>
    <w:rsid w:val="00EF1AA9"/>
    <w:rsid w:val="00EF1AEC"/>
    <w:rsid w:val="00EF204E"/>
    <w:rsid w:val="00EF24F9"/>
    <w:rsid w:val="00EF28ED"/>
    <w:rsid w:val="00EF29F6"/>
    <w:rsid w:val="00EF32A7"/>
    <w:rsid w:val="00EF3366"/>
    <w:rsid w:val="00EF3394"/>
    <w:rsid w:val="00EF385C"/>
    <w:rsid w:val="00EF3D6C"/>
    <w:rsid w:val="00EF3F80"/>
    <w:rsid w:val="00EF4270"/>
    <w:rsid w:val="00EF4A30"/>
    <w:rsid w:val="00EF4E7A"/>
    <w:rsid w:val="00EF5244"/>
    <w:rsid w:val="00EF5E3B"/>
    <w:rsid w:val="00EF6BF4"/>
    <w:rsid w:val="00EF6E79"/>
    <w:rsid w:val="00EF6F92"/>
    <w:rsid w:val="00EF7B51"/>
    <w:rsid w:val="00F00108"/>
    <w:rsid w:val="00F015FB"/>
    <w:rsid w:val="00F01DE5"/>
    <w:rsid w:val="00F01DF4"/>
    <w:rsid w:val="00F02899"/>
    <w:rsid w:val="00F029C7"/>
    <w:rsid w:val="00F02AED"/>
    <w:rsid w:val="00F03067"/>
    <w:rsid w:val="00F031A5"/>
    <w:rsid w:val="00F048B0"/>
    <w:rsid w:val="00F05B8E"/>
    <w:rsid w:val="00F06D36"/>
    <w:rsid w:val="00F0789D"/>
    <w:rsid w:val="00F10CF9"/>
    <w:rsid w:val="00F112A4"/>
    <w:rsid w:val="00F112F9"/>
    <w:rsid w:val="00F131A1"/>
    <w:rsid w:val="00F14732"/>
    <w:rsid w:val="00F14A9A"/>
    <w:rsid w:val="00F14BE4"/>
    <w:rsid w:val="00F14D65"/>
    <w:rsid w:val="00F14D70"/>
    <w:rsid w:val="00F154D3"/>
    <w:rsid w:val="00F15D67"/>
    <w:rsid w:val="00F15DA4"/>
    <w:rsid w:val="00F165A0"/>
    <w:rsid w:val="00F16C30"/>
    <w:rsid w:val="00F16E9F"/>
    <w:rsid w:val="00F1746B"/>
    <w:rsid w:val="00F1752B"/>
    <w:rsid w:val="00F17EAF"/>
    <w:rsid w:val="00F209BA"/>
    <w:rsid w:val="00F218A2"/>
    <w:rsid w:val="00F22229"/>
    <w:rsid w:val="00F2270D"/>
    <w:rsid w:val="00F23CEA"/>
    <w:rsid w:val="00F24610"/>
    <w:rsid w:val="00F2467B"/>
    <w:rsid w:val="00F250F1"/>
    <w:rsid w:val="00F252F6"/>
    <w:rsid w:val="00F25341"/>
    <w:rsid w:val="00F26546"/>
    <w:rsid w:val="00F27372"/>
    <w:rsid w:val="00F27EEA"/>
    <w:rsid w:val="00F3013B"/>
    <w:rsid w:val="00F30270"/>
    <w:rsid w:val="00F30566"/>
    <w:rsid w:val="00F30DEC"/>
    <w:rsid w:val="00F30E55"/>
    <w:rsid w:val="00F313FD"/>
    <w:rsid w:val="00F31448"/>
    <w:rsid w:val="00F31923"/>
    <w:rsid w:val="00F31B25"/>
    <w:rsid w:val="00F31B41"/>
    <w:rsid w:val="00F31D50"/>
    <w:rsid w:val="00F326F1"/>
    <w:rsid w:val="00F32831"/>
    <w:rsid w:val="00F331D4"/>
    <w:rsid w:val="00F333A9"/>
    <w:rsid w:val="00F33F9D"/>
    <w:rsid w:val="00F34DB6"/>
    <w:rsid w:val="00F3590B"/>
    <w:rsid w:val="00F371A9"/>
    <w:rsid w:val="00F37B99"/>
    <w:rsid w:val="00F37DF2"/>
    <w:rsid w:val="00F4068D"/>
    <w:rsid w:val="00F40E3F"/>
    <w:rsid w:val="00F40F7D"/>
    <w:rsid w:val="00F410DD"/>
    <w:rsid w:val="00F41274"/>
    <w:rsid w:val="00F41B0F"/>
    <w:rsid w:val="00F42317"/>
    <w:rsid w:val="00F424CF"/>
    <w:rsid w:val="00F43480"/>
    <w:rsid w:val="00F43CDD"/>
    <w:rsid w:val="00F449EE"/>
    <w:rsid w:val="00F44F0C"/>
    <w:rsid w:val="00F45113"/>
    <w:rsid w:val="00F452FB"/>
    <w:rsid w:val="00F45545"/>
    <w:rsid w:val="00F45FF4"/>
    <w:rsid w:val="00F4749A"/>
    <w:rsid w:val="00F50B16"/>
    <w:rsid w:val="00F50CBB"/>
    <w:rsid w:val="00F50E3B"/>
    <w:rsid w:val="00F51014"/>
    <w:rsid w:val="00F51495"/>
    <w:rsid w:val="00F515D8"/>
    <w:rsid w:val="00F516EA"/>
    <w:rsid w:val="00F53E71"/>
    <w:rsid w:val="00F54591"/>
    <w:rsid w:val="00F54717"/>
    <w:rsid w:val="00F54F50"/>
    <w:rsid w:val="00F557D7"/>
    <w:rsid w:val="00F571FE"/>
    <w:rsid w:val="00F57EBD"/>
    <w:rsid w:val="00F60F02"/>
    <w:rsid w:val="00F610F3"/>
    <w:rsid w:val="00F6169B"/>
    <w:rsid w:val="00F61F70"/>
    <w:rsid w:val="00F6240A"/>
    <w:rsid w:val="00F62F0E"/>
    <w:rsid w:val="00F6322C"/>
    <w:rsid w:val="00F63847"/>
    <w:rsid w:val="00F63EA0"/>
    <w:rsid w:val="00F64F31"/>
    <w:rsid w:val="00F650D1"/>
    <w:rsid w:val="00F65432"/>
    <w:rsid w:val="00F65A4F"/>
    <w:rsid w:val="00F65E39"/>
    <w:rsid w:val="00F7159C"/>
    <w:rsid w:val="00F7193E"/>
    <w:rsid w:val="00F756CB"/>
    <w:rsid w:val="00F75933"/>
    <w:rsid w:val="00F75EA6"/>
    <w:rsid w:val="00F7603D"/>
    <w:rsid w:val="00F76510"/>
    <w:rsid w:val="00F76AD3"/>
    <w:rsid w:val="00F779A5"/>
    <w:rsid w:val="00F80937"/>
    <w:rsid w:val="00F80B20"/>
    <w:rsid w:val="00F8179E"/>
    <w:rsid w:val="00F81803"/>
    <w:rsid w:val="00F82A5C"/>
    <w:rsid w:val="00F8437F"/>
    <w:rsid w:val="00F84D54"/>
    <w:rsid w:val="00F8559E"/>
    <w:rsid w:val="00F8629A"/>
    <w:rsid w:val="00F87BEF"/>
    <w:rsid w:val="00F910EE"/>
    <w:rsid w:val="00F915D3"/>
    <w:rsid w:val="00F91605"/>
    <w:rsid w:val="00F9199A"/>
    <w:rsid w:val="00F91F09"/>
    <w:rsid w:val="00F92202"/>
    <w:rsid w:val="00F9243B"/>
    <w:rsid w:val="00F9262D"/>
    <w:rsid w:val="00F927A6"/>
    <w:rsid w:val="00F92AFF"/>
    <w:rsid w:val="00F9307F"/>
    <w:rsid w:val="00F93334"/>
    <w:rsid w:val="00F93611"/>
    <w:rsid w:val="00F9406D"/>
    <w:rsid w:val="00F94F06"/>
    <w:rsid w:val="00F951CF"/>
    <w:rsid w:val="00F95C82"/>
    <w:rsid w:val="00F95F42"/>
    <w:rsid w:val="00F96B83"/>
    <w:rsid w:val="00F96CF8"/>
    <w:rsid w:val="00F970BB"/>
    <w:rsid w:val="00F9791D"/>
    <w:rsid w:val="00FA102D"/>
    <w:rsid w:val="00FA110B"/>
    <w:rsid w:val="00FA1381"/>
    <w:rsid w:val="00FA13A8"/>
    <w:rsid w:val="00FA1714"/>
    <w:rsid w:val="00FA188A"/>
    <w:rsid w:val="00FA29E3"/>
    <w:rsid w:val="00FA3434"/>
    <w:rsid w:val="00FA4F8A"/>
    <w:rsid w:val="00FA5047"/>
    <w:rsid w:val="00FA63D3"/>
    <w:rsid w:val="00FA6441"/>
    <w:rsid w:val="00FA790D"/>
    <w:rsid w:val="00FB0570"/>
    <w:rsid w:val="00FB1955"/>
    <w:rsid w:val="00FB1EC4"/>
    <w:rsid w:val="00FB2411"/>
    <w:rsid w:val="00FB25F3"/>
    <w:rsid w:val="00FB2846"/>
    <w:rsid w:val="00FB2BDC"/>
    <w:rsid w:val="00FB3147"/>
    <w:rsid w:val="00FB368D"/>
    <w:rsid w:val="00FB3B61"/>
    <w:rsid w:val="00FB42E9"/>
    <w:rsid w:val="00FB493E"/>
    <w:rsid w:val="00FB5EF9"/>
    <w:rsid w:val="00FB64E0"/>
    <w:rsid w:val="00FB65BC"/>
    <w:rsid w:val="00FB6650"/>
    <w:rsid w:val="00FB7D69"/>
    <w:rsid w:val="00FC04CE"/>
    <w:rsid w:val="00FC06C3"/>
    <w:rsid w:val="00FC0D22"/>
    <w:rsid w:val="00FC10FD"/>
    <w:rsid w:val="00FC159F"/>
    <w:rsid w:val="00FC1981"/>
    <w:rsid w:val="00FC236E"/>
    <w:rsid w:val="00FC24D0"/>
    <w:rsid w:val="00FC2B90"/>
    <w:rsid w:val="00FC3195"/>
    <w:rsid w:val="00FC4A8D"/>
    <w:rsid w:val="00FC4BDC"/>
    <w:rsid w:val="00FC5372"/>
    <w:rsid w:val="00FC5417"/>
    <w:rsid w:val="00FC5509"/>
    <w:rsid w:val="00FC599A"/>
    <w:rsid w:val="00FC5C46"/>
    <w:rsid w:val="00FC6068"/>
    <w:rsid w:val="00FC77AC"/>
    <w:rsid w:val="00FC7BBA"/>
    <w:rsid w:val="00FD08E1"/>
    <w:rsid w:val="00FD23E9"/>
    <w:rsid w:val="00FD244A"/>
    <w:rsid w:val="00FD322F"/>
    <w:rsid w:val="00FD3930"/>
    <w:rsid w:val="00FD47F1"/>
    <w:rsid w:val="00FD4971"/>
    <w:rsid w:val="00FD5719"/>
    <w:rsid w:val="00FD5B3E"/>
    <w:rsid w:val="00FD5CF7"/>
    <w:rsid w:val="00FD6113"/>
    <w:rsid w:val="00FD7721"/>
    <w:rsid w:val="00FD772A"/>
    <w:rsid w:val="00FD78FB"/>
    <w:rsid w:val="00FE000C"/>
    <w:rsid w:val="00FE017A"/>
    <w:rsid w:val="00FE0C19"/>
    <w:rsid w:val="00FE104D"/>
    <w:rsid w:val="00FE1872"/>
    <w:rsid w:val="00FE25B8"/>
    <w:rsid w:val="00FE2935"/>
    <w:rsid w:val="00FE3780"/>
    <w:rsid w:val="00FE411C"/>
    <w:rsid w:val="00FE4168"/>
    <w:rsid w:val="00FE43C4"/>
    <w:rsid w:val="00FE54FB"/>
    <w:rsid w:val="00FE5C8A"/>
    <w:rsid w:val="00FE5E94"/>
    <w:rsid w:val="00FE5FAB"/>
    <w:rsid w:val="00FE621D"/>
    <w:rsid w:val="00FE6520"/>
    <w:rsid w:val="00FE65F2"/>
    <w:rsid w:val="00FE66BF"/>
    <w:rsid w:val="00FE66E3"/>
    <w:rsid w:val="00FF00E7"/>
    <w:rsid w:val="00FF0588"/>
    <w:rsid w:val="00FF1023"/>
    <w:rsid w:val="00FF1329"/>
    <w:rsid w:val="00FF1712"/>
    <w:rsid w:val="00FF22E0"/>
    <w:rsid w:val="00FF231B"/>
    <w:rsid w:val="00FF2CB8"/>
    <w:rsid w:val="00FF3288"/>
    <w:rsid w:val="00FF3700"/>
    <w:rsid w:val="00FF37F3"/>
    <w:rsid w:val="00FF3DA3"/>
    <w:rsid w:val="00FF4E59"/>
    <w:rsid w:val="00FF51C6"/>
    <w:rsid w:val="00FF53ED"/>
    <w:rsid w:val="00FF56C6"/>
    <w:rsid w:val="00FF61FE"/>
    <w:rsid w:val="00FF76AA"/>
    <w:rsid w:val="00FF79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rPr>
  </w:style>
  <w:style w:type="paragraph" w:styleId="Heading2">
    <w:name w:val="heading 2"/>
    <w:basedOn w:val="Normal"/>
    <w:next w:val="Normal"/>
    <w:link w:val="Heading2Char"/>
    <w:uiPriority w:val="9"/>
    <w:unhideWhenUsed/>
    <w:qFormat/>
    <w:rsid w:val="00DF6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C59"/>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DC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042DCA"/>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042DCA"/>
    <w:rPr>
      <w:sz w:val="20"/>
      <w:szCs w:val="20"/>
    </w:rPr>
  </w:style>
  <w:style w:type="character" w:styleId="FootnoteReference">
    <w:name w:val="footnote reference"/>
    <w:aliases w:val="ftref"/>
    <w:basedOn w:val="DefaultParagraphFont"/>
    <w:uiPriority w:val="99"/>
    <w:rsid w:val="00042DCA"/>
    <w:rPr>
      <w:rFonts w:cs="Times New Roman"/>
      <w:vertAlign w:val="superscript"/>
    </w:rPr>
  </w:style>
  <w:style w:type="character" w:styleId="Hyperlink">
    <w:name w:val="Hyperlink"/>
    <w:basedOn w:val="DefaultParagraphFont"/>
    <w:uiPriority w:val="99"/>
    <w:rsid w:val="005A62F6"/>
    <w:rPr>
      <w:rFonts w:cs="Times New Roman"/>
      <w:color w:val="0000FF"/>
      <w:u w:val="single"/>
    </w:rPr>
  </w:style>
  <w:style w:type="table" w:customStyle="1" w:styleId="TableGrid1">
    <w:name w:val="Table Grid1"/>
    <w:basedOn w:val="TableNormal"/>
    <w:next w:val="TableGrid"/>
    <w:uiPriority w:val="59"/>
    <w:rsid w:val="00215CC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5CC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CE"/>
  </w:style>
  <w:style w:type="paragraph" w:styleId="Footer">
    <w:name w:val="footer"/>
    <w:basedOn w:val="Normal"/>
    <w:link w:val="FooterChar"/>
    <w:uiPriority w:val="99"/>
    <w:unhideWhenUsed/>
    <w:rsid w:val="0021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CE"/>
  </w:style>
  <w:style w:type="paragraph" w:styleId="ListParagraph">
    <w:name w:val="List Paragraph"/>
    <w:basedOn w:val="Normal"/>
    <w:uiPriority w:val="34"/>
    <w:qFormat/>
    <w:rsid w:val="00B2556B"/>
    <w:pPr>
      <w:ind w:left="720"/>
      <w:contextualSpacing/>
    </w:pPr>
  </w:style>
  <w:style w:type="character" w:styleId="CommentReference">
    <w:name w:val="annotation reference"/>
    <w:basedOn w:val="DefaultParagraphFont"/>
    <w:uiPriority w:val="99"/>
    <w:semiHidden/>
    <w:rsid w:val="003E61E7"/>
    <w:rPr>
      <w:rFonts w:cs="Times New Roman"/>
      <w:sz w:val="16"/>
      <w:szCs w:val="16"/>
    </w:rPr>
  </w:style>
  <w:style w:type="paragraph" w:styleId="CommentText">
    <w:name w:val="annotation text"/>
    <w:basedOn w:val="Normal"/>
    <w:link w:val="CommentTextChar"/>
    <w:uiPriority w:val="99"/>
    <w:rsid w:val="003E61E7"/>
    <w:pPr>
      <w:spacing w:after="200" w:line="240" w:lineRule="auto"/>
    </w:pPr>
    <w:rPr>
      <w:rFonts w:eastAsia="Calibri" w:cs="Arial"/>
      <w:b/>
      <w:sz w:val="20"/>
      <w:szCs w:val="20"/>
      <w:lang w:val="en-US"/>
    </w:rPr>
  </w:style>
  <w:style w:type="character" w:customStyle="1" w:styleId="CommentTextChar">
    <w:name w:val="Comment Text Char"/>
    <w:basedOn w:val="DefaultParagraphFont"/>
    <w:link w:val="CommentText"/>
    <w:uiPriority w:val="99"/>
    <w:rsid w:val="003E61E7"/>
    <w:rPr>
      <w:rFonts w:ascii="Georgia" w:eastAsia="Calibri" w:hAnsi="Georgia" w:cs="Arial"/>
      <w:b/>
      <w:sz w:val="20"/>
      <w:szCs w:val="20"/>
      <w:lang w:val="en-US"/>
    </w:rPr>
  </w:style>
  <w:style w:type="paragraph" w:styleId="BalloonText">
    <w:name w:val="Balloon Text"/>
    <w:basedOn w:val="Normal"/>
    <w:link w:val="BalloonTextChar"/>
    <w:uiPriority w:val="99"/>
    <w:semiHidden/>
    <w:unhideWhenUsed/>
    <w:rsid w:val="003E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49EE"/>
    <w:pPr>
      <w:spacing w:after="160"/>
    </w:pPr>
    <w:rPr>
      <w:rFonts w:asciiTheme="minorHAnsi" w:eastAsiaTheme="minorHAnsi" w:hAnsiTheme="minorHAnsi" w:cstheme="minorBidi"/>
      <w:bCs/>
      <w:lang w:val="en-GB"/>
    </w:rPr>
  </w:style>
  <w:style w:type="character" w:customStyle="1" w:styleId="CommentSubjectChar">
    <w:name w:val="Comment Subject Char"/>
    <w:basedOn w:val="CommentTextChar"/>
    <w:link w:val="CommentSubject"/>
    <w:uiPriority w:val="99"/>
    <w:semiHidden/>
    <w:rsid w:val="00F449EE"/>
    <w:rPr>
      <w:rFonts w:ascii="Georgia" w:eastAsia="Calibri" w:hAnsi="Georgia" w:cs="Arial"/>
      <w:b/>
      <w:bCs/>
      <w:sz w:val="20"/>
      <w:szCs w:val="20"/>
      <w:lang w:val="en-US"/>
    </w:rPr>
  </w:style>
  <w:style w:type="character" w:styleId="FollowedHyperlink">
    <w:name w:val="FollowedHyperlink"/>
    <w:basedOn w:val="DefaultParagraphFont"/>
    <w:uiPriority w:val="99"/>
    <w:semiHidden/>
    <w:unhideWhenUsed/>
    <w:rsid w:val="001A0847"/>
    <w:rPr>
      <w:color w:val="954F72" w:themeColor="followedHyperlink"/>
      <w:u w:val="single"/>
    </w:rPr>
  </w:style>
  <w:style w:type="character" w:customStyle="1" w:styleId="Heading3Char">
    <w:name w:val="Heading 3 Char"/>
    <w:basedOn w:val="DefaultParagraphFont"/>
    <w:link w:val="Heading3"/>
    <w:uiPriority w:val="9"/>
    <w:rsid w:val="002C0C59"/>
    <w:rPr>
      <w:rFonts w:asciiTheme="majorHAnsi" w:eastAsiaTheme="majorEastAsia" w:hAnsiTheme="majorHAnsi" w:cstheme="majorBidi"/>
      <w:b/>
      <w:bCs/>
      <w:color w:val="5B9BD5" w:themeColor="accent1"/>
      <w:lang w:val="en-US"/>
    </w:rPr>
  </w:style>
  <w:style w:type="paragraph" w:customStyle="1" w:styleId="yiv3812902274msonormal">
    <w:name w:val="yiv3812902274msonormal"/>
    <w:basedOn w:val="Normal"/>
    <w:rsid w:val="00A21B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06C98"/>
    <w:rPr>
      <w:color w:val="808080"/>
      <w:shd w:val="clear" w:color="auto" w:fill="E6E6E6"/>
    </w:rPr>
  </w:style>
  <w:style w:type="character" w:styleId="Emphasis">
    <w:name w:val="Emphasis"/>
    <w:basedOn w:val="DefaultParagraphFont"/>
    <w:uiPriority w:val="20"/>
    <w:qFormat/>
    <w:rsid w:val="00E4188E"/>
    <w:rPr>
      <w:i/>
      <w:iCs/>
    </w:rPr>
  </w:style>
  <w:style w:type="paragraph" w:styleId="EndnoteText">
    <w:name w:val="endnote text"/>
    <w:basedOn w:val="Normal"/>
    <w:link w:val="EndnoteTextChar"/>
    <w:uiPriority w:val="99"/>
    <w:unhideWhenUsed/>
    <w:rsid w:val="00467D33"/>
    <w:pPr>
      <w:spacing w:after="0" w:line="240" w:lineRule="auto"/>
    </w:pPr>
    <w:rPr>
      <w:sz w:val="20"/>
      <w:szCs w:val="20"/>
    </w:rPr>
  </w:style>
  <w:style w:type="character" w:customStyle="1" w:styleId="EndnoteTextChar">
    <w:name w:val="Endnote Text Char"/>
    <w:basedOn w:val="DefaultParagraphFont"/>
    <w:link w:val="EndnoteText"/>
    <w:uiPriority w:val="99"/>
    <w:rsid w:val="00467D33"/>
    <w:rPr>
      <w:rFonts w:ascii="Georgia" w:hAnsi="Georgia"/>
      <w:sz w:val="20"/>
      <w:szCs w:val="20"/>
    </w:rPr>
  </w:style>
  <w:style w:type="character" w:styleId="EndnoteReference">
    <w:name w:val="endnote reference"/>
    <w:basedOn w:val="DefaultParagraphFont"/>
    <w:uiPriority w:val="99"/>
    <w:semiHidden/>
    <w:unhideWhenUsed/>
    <w:rsid w:val="00467D33"/>
    <w:rPr>
      <w:vertAlign w:val="superscript"/>
    </w:rPr>
  </w:style>
  <w:style w:type="paragraph" w:styleId="Revision">
    <w:name w:val="Revision"/>
    <w:hidden/>
    <w:uiPriority w:val="99"/>
    <w:semiHidden/>
    <w:rsid w:val="00A77A63"/>
    <w:pPr>
      <w:spacing w:after="0" w:line="240" w:lineRule="auto"/>
    </w:pPr>
    <w:rPr>
      <w:rFonts w:ascii="Georgia" w:hAnsi="Georgia"/>
    </w:rPr>
  </w:style>
  <w:style w:type="numbering" w:styleId="111111">
    <w:name w:val="Outline List 2"/>
    <w:basedOn w:val="NoList"/>
    <w:uiPriority w:val="99"/>
    <w:semiHidden/>
    <w:unhideWhenUsed/>
    <w:rsid w:val="00A77A63"/>
    <w:pPr>
      <w:numPr>
        <w:numId w:val="7"/>
      </w:numPr>
    </w:pPr>
  </w:style>
  <w:style w:type="character" w:customStyle="1" w:styleId="Heading2Char">
    <w:name w:val="Heading 2 Char"/>
    <w:basedOn w:val="DefaultParagraphFont"/>
    <w:link w:val="Heading2"/>
    <w:uiPriority w:val="99"/>
    <w:rsid w:val="00DF6B67"/>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394146"/>
    <w:rPr>
      <w:b/>
      <w:bCs/>
      <w:i/>
      <w:iCs/>
      <w:spacing w:val="5"/>
    </w:rPr>
  </w:style>
  <w:style w:type="paragraph" w:styleId="NoSpacing">
    <w:name w:val="No Spacing"/>
    <w:uiPriority w:val="1"/>
    <w:qFormat/>
    <w:rsid w:val="00394146"/>
    <w:pPr>
      <w:spacing w:after="0" w:line="240" w:lineRule="auto"/>
    </w:pPr>
    <w:rPr>
      <w:rFonts w:eastAsia="Times New Roman" w:cs="Times New Roman"/>
      <w:szCs w:val="24"/>
      <w:lang w:val="fr-FR"/>
    </w:rPr>
  </w:style>
  <w:style w:type="paragraph" w:customStyle="1" w:styleId="yiv7525682190msolistparagraph">
    <w:name w:val="yiv7525682190msolistparagraph"/>
    <w:basedOn w:val="Normal"/>
    <w:rsid w:val="005F7D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06B97"/>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PlainTable1">
    <w:name w:val="Plain Table 1"/>
    <w:basedOn w:val="TableNormal"/>
    <w:uiPriority w:val="41"/>
    <w:rsid w:val="006F03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2A7F77"/>
    <w:rPr>
      <w:color w:val="808080"/>
      <w:shd w:val="clear" w:color="auto" w:fill="E6E6E6"/>
    </w:rPr>
  </w:style>
  <w:style w:type="paragraph" w:customStyle="1" w:styleId="ydp43c5f202yiv4870765501msonormal">
    <w:name w:val="ydp43c5f202yiv4870765501msonormal"/>
    <w:basedOn w:val="Normal"/>
    <w:rsid w:val="00B826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rPr>
  </w:style>
  <w:style w:type="paragraph" w:styleId="Heading2">
    <w:name w:val="heading 2"/>
    <w:basedOn w:val="Normal"/>
    <w:next w:val="Normal"/>
    <w:link w:val="Heading2Char"/>
    <w:uiPriority w:val="9"/>
    <w:unhideWhenUsed/>
    <w:qFormat/>
    <w:rsid w:val="00DF6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C59"/>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DC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042DCA"/>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042DCA"/>
    <w:rPr>
      <w:sz w:val="20"/>
      <w:szCs w:val="20"/>
    </w:rPr>
  </w:style>
  <w:style w:type="character" w:styleId="FootnoteReference">
    <w:name w:val="footnote reference"/>
    <w:aliases w:val="ftref"/>
    <w:basedOn w:val="DefaultParagraphFont"/>
    <w:uiPriority w:val="99"/>
    <w:rsid w:val="00042DCA"/>
    <w:rPr>
      <w:rFonts w:cs="Times New Roman"/>
      <w:vertAlign w:val="superscript"/>
    </w:rPr>
  </w:style>
  <w:style w:type="character" w:styleId="Hyperlink">
    <w:name w:val="Hyperlink"/>
    <w:basedOn w:val="DefaultParagraphFont"/>
    <w:uiPriority w:val="99"/>
    <w:rsid w:val="005A62F6"/>
    <w:rPr>
      <w:rFonts w:cs="Times New Roman"/>
      <w:color w:val="0000FF"/>
      <w:u w:val="single"/>
    </w:rPr>
  </w:style>
  <w:style w:type="table" w:customStyle="1" w:styleId="TableGrid1">
    <w:name w:val="Table Grid1"/>
    <w:basedOn w:val="TableNormal"/>
    <w:next w:val="TableGrid"/>
    <w:uiPriority w:val="59"/>
    <w:rsid w:val="00215CC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5CC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CE"/>
  </w:style>
  <w:style w:type="paragraph" w:styleId="Footer">
    <w:name w:val="footer"/>
    <w:basedOn w:val="Normal"/>
    <w:link w:val="FooterChar"/>
    <w:uiPriority w:val="99"/>
    <w:unhideWhenUsed/>
    <w:rsid w:val="0021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CE"/>
  </w:style>
  <w:style w:type="paragraph" w:styleId="ListParagraph">
    <w:name w:val="List Paragraph"/>
    <w:basedOn w:val="Normal"/>
    <w:uiPriority w:val="34"/>
    <w:qFormat/>
    <w:rsid w:val="00B2556B"/>
    <w:pPr>
      <w:ind w:left="720"/>
      <w:contextualSpacing/>
    </w:pPr>
  </w:style>
  <w:style w:type="character" w:styleId="CommentReference">
    <w:name w:val="annotation reference"/>
    <w:basedOn w:val="DefaultParagraphFont"/>
    <w:uiPriority w:val="99"/>
    <w:semiHidden/>
    <w:rsid w:val="003E61E7"/>
    <w:rPr>
      <w:rFonts w:cs="Times New Roman"/>
      <w:sz w:val="16"/>
      <w:szCs w:val="16"/>
    </w:rPr>
  </w:style>
  <w:style w:type="paragraph" w:styleId="CommentText">
    <w:name w:val="annotation text"/>
    <w:basedOn w:val="Normal"/>
    <w:link w:val="CommentTextChar"/>
    <w:uiPriority w:val="99"/>
    <w:rsid w:val="003E61E7"/>
    <w:pPr>
      <w:spacing w:after="200" w:line="240" w:lineRule="auto"/>
    </w:pPr>
    <w:rPr>
      <w:rFonts w:eastAsia="Calibri" w:cs="Arial"/>
      <w:b/>
      <w:sz w:val="20"/>
      <w:szCs w:val="20"/>
      <w:lang w:val="en-US"/>
    </w:rPr>
  </w:style>
  <w:style w:type="character" w:customStyle="1" w:styleId="CommentTextChar">
    <w:name w:val="Comment Text Char"/>
    <w:basedOn w:val="DefaultParagraphFont"/>
    <w:link w:val="CommentText"/>
    <w:uiPriority w:val="99"/>
    <w:rsid w:val="003E61E7"/>
    <w:rPr>
      <w:rFonts w:ascii="Georgia" w:eastAsia="Calibri" w:hAnsi="Georgia" w:cs="Arial"/>
      <w:b/>
      <w:sz w:val="20"/>
      <w:szCs w:val="20"/>
      <w:lang w:val="en-US"/>
    </w:rPr>
  </w:style>
  <w:style w:type="paragraph" w:styleId="BalloonText">
    <w:name w:val="Balloon Text"/>
    <w:basedOn w:val="Normal"/>
    <w:link w:val="BalloonTextChar"/>
    <w:uiPriority w:val="99"/>
    <w:semiHidden/>
    <w:unhideWhenUsed/>
    <w:rsid w:val="003E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49EE"/>
    <w:pPr>
      <w:spacing w:after="160"/>
    </w:pPr>
    <w:rPr>
      <w:rFonts w:asciiTheme="minorHAnsi" w:eastAsiaTheme="minorHAnsi" w:hAnsiTheme="minorHAnsi" w:cstheme="minorBidi"/>
      <w:bCs/>
      <w:lang w:val="en-GB"/>
    </w:rPr>
  </w:style>
  <w:style w:type="character" w:customStyle="1" w:styleId="CommentSubjectChar">
    <w:name w:val="Comment Subject Char"/>
    <w:basedOn w:val="CommentTextChar"/>
    <w:link w:val="CommentSubject"/>
    <w:uiPriority w:val="99"/>
    <w:semiHidden/>
    <w:rsid w:val="00F449EE"/>
    <w:rPr>
      <w:rFonts w:ascii="Georgia" w:eastAsia="Calibri" w:hAnsi="Georgia" w:cs="Arial"/>
      <w:b/>
      <w:bCs/>
      <w:sz w:val="20"/>
      <w:szCs w:val="20"/>
      <w:lang w:val="en-US"/>
    </w:rPr>
  </w:style>
  <w:style w:type="character" w:styleId="FollowedHyperlink">
    <w:name w:val="FollowedHyperlink"/>
    <w:basedOn w:val="DefaultParagraphFont"/>
    <w:uiPriority w:val="99"/>
    <w:semiHidden/>
    <w:unhideWhenUsed/>
    <w:rsid w:val="001A0847"/>
    <w:rPr>
      <w:color w:val="954F72" w:themeColor="followedHyperlink"/>
      <w:u w:val="single"/>
    </w:rPr>
  </w:style>
  <w:style w:type="character" w:customStyle="1" w:styleId="Heading3Char">
    <w:name w:val="Heading 3 Char"/>
    <w:basedOn w:val="DefaultParagraphFont"/>
    <w:link w:val="Heading3"/>
    <w:uiPriority w:val="9"/>
    <w:rsid w:val="002C0C59"/>
    <w:rPr>
      <w:rFonts w:asciiTheme="majorHAnsi" w:eastAsiaTheme="majorEastAsia" w:hAnsiTheme="majorHAnsi" w:cstheme="majorBidi"/>
      <w:b/>
      <w:bCs/>
      <w:color w:val="5B9BD5" w:themeColor="accent1"/>
      <w:lang w:val="en-US"/>
    </w:rPr>
  </w:style>
  <w:style w:type="paragraph" w:customStyle="1" w:styleId="yiv3812902274msonormal">
    <w:name w:val="yiv3812902274msonormal"/>
    <w:basedOn w:val="Normal"/>
    <w:rsid w:val="00A21B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06C98"/>
    <w:rPr>
      <w:color w:val="808080"/>
      <w:shd w:val="clear" w:color="auto" w:fill="E6E6E6"/>
    </w:rPr>
  </w:style>
  <w:style w:type="character" w:styleId="Emphasis">
    <w:name w:val="Emphasis"/>
    <w:basedOn w:val="DefaultParagraphFont"/>
    <w:uiPriority w:val="20"/>
    <w:qFormat/>
    <w:rsid w:val="00E4188E"/>
    <w:rPr>
      <w:i/>
      <w:iCs/>
    </w:rPr>
  </w:style>
  <w:style w:type="paragraph" w:styleId="EndnoteText">
    <w:name w:val="endnote text"/>
    <w:basedOn w:val="Normal"/>
    <w:link w:val="EndnoteTextChar"/>
    <w:uiPriority w:val="99"/>
    <w:unhideWhenUsed/>
    <w:rsid w:val="00467D33"/>
    <w:pPr>
      <w:spacing w:after="0" w:line="240" w:lineRule="auto"/>
    </w:pPr>
    <w:rPr>
      <w:sz w:val="20"/>
      <w:szCs w:val="20"/>
    </w:rPr>
  </w:style>
  <w:style w:type="character" w:customStyle="1" w:styleId="EndnoteTextChar">
    <w:name w:val="Endnote Text Char"/>
    <w:basedOn w:val="DefaultParagraphFont"/>
    <w:link w:val="EndnoteText"/>
    <w:uiPriority w:val="99"/>
    <w:rsid w:val="00467D33"/>
    <w:rPr>
      <w:rFonts w:ascii="Georgia" w:hAnsi="Georgia"/>
      <w:sz w:val="20"/>
      <w:szCs w:val="20"/>
    </w:rPr>
  </w:style>
  <w:style w:type="character" w:styleId="EndnoteReference">
    <w:name w:val="endnote reference"/>
    <w:basedOn w:val="DefaultParagraphFont"/>
    <w:uiPriority w:val="99"/>
    <w:semiHidden/>
    <w:unhideWhenUsed/>
    <w:rsid w:val="00467D33"/>
    <w:rPr>
      <w:vertAlign w:val="superscript"/>
    </w:rPr>
  </w:style>
  <w:style w:type="paragraph" w:styleId="Revision">
    <w:name w:val="Revision"/>
    <w:hidden/>
    <w:uiPriority w:val="99"/>
    <w:semiHidden/>
    <w:rsid w:val="00A77A63"/>
    <w:pPr>
      <w:spacing w:after="0" w:line="240" w:lineRule="auto"/>
    </w:pPr>
    <w:rPr>
      <w:rFonts w:ascii="Georgia" w:hAnsi="Georgia"/>
    </w:rPr>
  </w:style>
  <w:style w:type="numbering" w:styleId="111111">
    <w:name w:val="Outline List 2"/>
    <w:basedOn w:val="NoList"/>
    <w:uiPriority w:val="99"/>
    <w:semiHidden/>
    <w:unhideWhenUsed/>
    <w:rsid w:val="00A77A63"/>
    <w:pPr>
      <w:numPr>
        <w:numId w:val="7"/>
      </w:numPr>
    </w:pPr>
  </w:style>
  <w:style w:type="character" w:customStyle="1" w:styleId="Heading2Char">
    <w:name w:val="Heading 2 Char"/>
    <w:basedOn w:val="DefaultParagraphFont"/>
    <w:link w:val="Heading2"/>
    <w:uiPriority w:val="99"/>
    <w:rsid w:val="00DF6B67"/>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394146"/>
    <w:rPr>
      <w:b/>
      <w:bCs/>
      <w:i/>
      <w:iCs/>
      <w:spacing w:val="5"/>
    </w:rPr>
  </w:style>
  <w:style w:type="paragraph" w:styleId="NoSpacing">
    <w:name w:val="No Spacing"/>
    <w:uiPriority w:val="1"/>
    <w:qFormat/>
    <w:rsid w:val="00394146"/>
    <w:pPr>
      <w:spacing w:after="0" w:line="240" w:lineRule="auto"/>
    </w:pPr>
    <w:rPr>
      <w:rFonts w:eastAsia="Times New Roman" w:cs="Times New Roman"/>
      <w:szCs w:val="24"/>
      <w:lang w:val="fr-FR"/>
    </w:rPr>
  </w:style>
  <w:style w:type="paragraph" w:customStyle="1" w:styleId="yiv7525682190msolistparagraph">
    <w:name w:val="yiv7525682190msolistparagraph"/>
    <w:basedOn w:val="Normal"/>
    <w:rsid w:val="005F7D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06B97"/>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PlainTable1">
    <w:name w:val="Plain Table 1"/>
    <w:basedOn w:val="TableNormal"/>
    <w:uiPriority w:val="41"/>
    <w:rsid w:val="006F03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2A7F77"/>
    <w:rPr>
      <w:color w:val="808080"/>
      <w:shd w:val="clear" w:color="auto" w:fill="E6E6E6"/>
    </w:rPr>
  </w:style>
  <w:style w:type="paragraph" w:customStyle="1" w:styleId="ydp43c5f202yiv4870765501msonormal">
    <w:name w:val="ydp43c5f202yiv4870765501msonormal"/>
    <w:basedOn w:val="Normal"/>
    <w:rsid w:val="00B826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860">
      <w:bodyDiv w:val="1"/>
      <w:marLeft w:val="0"/>
      <w:marRight w:val="0"/>
      <w:marTop w:val="0"/>
      <w:marBottom w:val="0"/>
      <w:divBdr>
        <w:top w:val="none" w:sz="0" w:space="0" w:color="auto"/>
        <w:left w:val="none" w:sz="0" w:space="0" w:color="auto"/>
        <w:bottom w:val="none" w:sz="0" w:space="0" w:color="auto"/>
        <w:right w:val="none" w:sz="0" w:space="0" w:color="auto"/>
      </w:divBdr>
    </w:div>
    <w:div w:id="91824489">
      <w:bodyDiv w:val="1"/>
      <w:marLeft w:val="0"/>
      <w:marRight w:val="0"/>
      <w:marTop w:val="0"/>
      <w:marBottom w:val="0"/>
      <w:divBdr>
        <w:top w:val="none" w:sz="0" w:space="0" w:color="auto"/>
        <w:left w:val="none" w:sz="0" w:space="0" w:color="auto"/>
        <w:bottom w:val="none" w:sz="0" w:space="0" w:color="auto"/>
        <w:right w:val="none" w:sz="0" w:space="0" w:color="auto"/>
      </w:divBdr>
    </w:div>
    <w:div w:id="131875584">
      <w:bodyDiv w:val="1"/>
      <w:marLeft w:val="0"/>
      <w:marRight w:val="0"/>
      <w:marTop w:val="0"/>
      <w:marBottom w:val="0"/>
      <w:divBdr>
        <w:top w:val="none" w:sz="0" w:space="0" w:color="auto"/>
        <w:left w:val="none" w:sz="0" w:space="0" w:color="auto"/>
        <w:bottom w:val="none" w:sz="0" w:space="0" w:color="auto"/>
        <w:right w:val="none" w:sz="0" w:space="0" w:color="auto"/>
      </w:divBdr>
    </w:div>
    <w:div w:id="166789966">
      <w:bodyDiv w:val="1"/>
      <w:marLeft w:val="0"/>
      <w:marRight w:val="0"/>
      <w:marTop w:val="0"/>
      <w:marBottom w:val="0"/>
      <w:divBdr>
        <w:top w:val="none" w:sz="0" w:space="0" w:color="auto"/>
        <w:left w:val="none" w:sz="0" w:space="0" w:color="auto"/>
        <w:bottom w:val="none" w:sz="0" w:space="0" w:color="auto"/>
        <w:right w:val="none" w:sz="0" w:space="0" w:color="auto"/>
      </w:divBdr>
    </w:div>
    <w:div w:id="231307659">
      <w:bodyDiv w:val="1"/>
      <w:marLeft w:val="0"/>
      <w:marRight w:val="0"/>
      <w:marTop w:val="0"/>
      <w:marBottom w:val="0"/>
      <w:divBdr>
        <w:top w:val="none" w:sz="0" w:space="0" w:color="auto"/>
        <w:left w:val="none" w:sz="0" w:space="0" w:color="auto"/>
        <w:bottom w:val="none" w:sz="0" w:space="0" w:color="auto"/>
        <w:right w:val="none" w:sz="0" w:space="0" w:color="auto"/>
      </w:divBdr>
    </w:div>
    <w:div w:id="276065860">
      <w:bodyDiv w:val="1"/>
      <w:marLeft w:val="0"/>
      <w:marRight w:val="0"/>
      <w:marTop w:val="0"/>
      <w:marBottom w:val="0"/>
      <w:divBdr>
        <w:top w:val="none" w:sz="0" w:space="0" w:color="auto"/>
        <w:left w:val="none" w:sz="0" w:space="0" w:color="auto"/>
        <w:bottom w:val="none" w:sz="0" w:space="0" w:color="auto"/>
        <w:right w:val="none" w:sz="0" w:space="0" w:color="auto"/>
      </w:divBdr>
    </w:div>
    <w:div w:id="289240435">
      <w:bodyDiv w:val="1"/>
      <w:marLeft w:val="0"/>
      <w:marRight w:val="0"/>
      <w:marTop w:val="0"/>
      <w:marBottom w:val="0"/>
      <w:divBdr>
        <w:top w:val="none" w:sz="0" w:space="0" w:color="auto"/>
        <w:left w:val="none" w:sz="0" w:space="0" w:color="auto"/>
        <w:bottom w:val="none" w:sz="0" w:space="0" w:color="auto"/>
        <w:right w:val="none" w:sz="0" w:space="0" w:color="auto"/>
      </w:divBdr>
    </w:div>
    <w:div w:id="381564535">
      <w:bodyDiv w:val="1"/>
      <w:marLeft w:val="0"/>
      <w:marRight w:val="0"/>
      <w:marTop w:val="0"/>
      <w:marBottom w:val="0"/>
      <w:divBdr>
        <w:top w:val="none" w:sz="0" w:space="0" w:color="auto"/>
        <w:left w:val="none" w:sz="0" w:space="0" w:color="auto"/>
        <w:bottom w:val="none" w:sz="0" w:space="0" w:color="auto"/>
        <w:right w:val="none" w:sz="0" w:space="0" w:color="auto"/>
      </w:divBdr>
    </w:div>
    <w:div w:id="397748563">
      <w:bodyDiv w:val="1"/>
      <w:marLeft w:val="0"/>
      <w:marRight w:val="0"/>
      <w:marTop w:val="0"/>
      <w:marBottom w:val="0"/>
      <w:divBdr>
        <w:top w:val="none" w:sz="0" w:space="0" w:color="auto"/>
        <w:left w:val="none" w:sz="0" w:space="0" w:color="auto"/>
        <w:bottom w:val="none" w:sz="0" w:space="0" w:color="auto"/>
        <w:right w:val="none" w:sz="0" w:space="0" w:color="auto"/>
      </w:divBdr>
    </w:div>
    <w:div w:id="426465000">
      <w:bodyDiv w:val="1"/>
      <w:marLeft w:val="0"/>
      <w:marRight w:val="0"/>
      <w:marTop w:val="0"/>
      <w:marBottom w:val="0"/>
      <w:divBdr>
        <w:top w:val="none" w:sz="0" w:space="0" w:color="auto"/>
        <w:left w:val="none" w:sz="0" w:space="0" w:color="auto"/>
        <w:bottom w:val="none" w:sz="0" w:space="0" w:color="auto"/>
        <w:right w:val="none" w:sz="0" w:space="0" w:color="auto"/>
      </w:divBdr>
    </w:div>
    <w:div w:id="481973002">
      <w:bodyDiv w:val="1"/>
      <w:marLeft w:val="0"/>
      <w:marRight w:val="0"/>
      <w:marTop w:val="0"/>
      <w:marBottom w:val="0"/>
      <w:divBdr>
        <w:top w:val="none" w:sz="0" w:space="0" w:color="auto"/>
        <w:left w:val="none" w:sz="0" w:space="0" w:color="auto"/>
        <w:bottom w:val="none" w:sz="0" w:space="0" w:color="auto"/>
        <w:right w:val="none" w:sz="0" w:space="0" w:color="auto"/>
      </w:divBdr>
      <w:divsChild>
        <w:div w:id="747658944">
          <w:marLeft w:val="547"/>
          <w:marRight w:val="0"/>
          <w:marTop w:val="86"/>
          <w:marBottom w:val="0"/>
          <w:divBdr>
            <w:top w:val="none" w:sz="0" w:space="0" w:color="auto"/>
            <w:left w:val="none" w:sz="0" w:space="0" w:color="auto"/>
            <w:bottom w:val="none" w:sz="0" w:space="0" w:color="auto"/>
            <w:right w:val="none" w:sz="0" w:space="0" w:color="auto"/>
          </w:divBdr>
        </w:div>
      </w:divsChild>
    </w:div>
    <w:div w:id="493377365">
      <w:bodyDiv w:val="1"/>
      <w:marLeft w:val="0"/>
      <w:marRight w:val="0"/>
      <w:marTop w:val="0"/>
      <w:marBottom w:val="0"/>
      <w:divBdr>
        <w:top w:val="none" w:sz="0" w:space="0" w:color="auto"/>
        <w:left w:val="none" w:sz="0" w:space="0" w:color="auto"/>
        <w:bottom w:val="none" w:sz="0" w:space="0" w:color="auto"/>
        <w:right w:val="none" w:sz="0" w:space="0" w:color="auto"/>
      </w:divBdr>
      <w:divsChild>
        <w:div w:id="1606302084">
          <w:marLeft w:val="360"/>
          <w:marRight w:val="0"/>
          <w:marTop w:val="200"/>
          <w:marBottom w:val="0"/>
          <w:divBdr>
            <w:top w:val="none" w:sz="0" w:space="0" w:color="auto"/>
            <w:left w:val="none" w:sz="0" w:space="0" w:color="auto"/>
            <w:bottom w:val="none" w:sz="0" w:space="0" w:color="auto"/>
            <w:right w:val="none" w:sz="0" w:space="0" w:color="auto"/>
          </w:divBdr>
        </w:div>
      </w:divsChild>
    </w:div>
    <w:div w:id="495343523">
      <w:bodyDiv w:val="1"/>
      <w:marLeft w:val="0"/>
      <w:marRight w:val="0"/>
      <w:marTop w:val="0"/>
      <w:marBottom w:val="0"/>
      <w:divBdr>
        <w:top w:val="none" w:sz="0" w:space="0" w:color="auto"/>
        <w:left w:val="none" w:sz="0" w:space="0" w:color="auto"/>
        <w:bottom w:val="none" w:sz="0" w:space="0" w:color="auto"/>
        <w:right w:val="none" w:sz="0" w:space="0" w:color="auto"/>
      </w:divBdr>
      <w:divsChild>
        <w:div w:id="1696037846">
          <w:marLeft w:val="360"/>
          <w:marRight w:val="0"/>
          <w:marTop w:val="200"/>
          <w:marBottom w:val="0"/>
          <w:divBdr>
            <w:top w:val="none" w:sz="0" w:space="0" w:color="auto"/>
            <w:left w:val="none" w:sz="0" w:space="0" w:color="auto"/>
            <w:bottom w:val="none" w:sz="0" w:space="0" w:color="auto"/>
            <w:right w:val="none" w:sz="0" w:space="0" w:color="auto"/>
          </w:divBdr>
        </w:div>
        <w:div w:id="332219784">
          <w:marLeft w:val="360"/>
          <w:marRight w:val="0"/>
          <w:marTop w:val="200"/>
          <w:marBottom w:val="0"/>
          <w:divBdr>
            <w:top w:val="none" w:sz="0" w:space="0" w:color="auto"/>
            <w:left w:val="none" w:sz="0" w:space="0" w:color="auto"/>
            <w:bottom w:val="none" w:sz="0" w:space="0" w:color="auto"/>
            <w:right w:val="none" w:sz="0" w:space="0" w:color="auto"/>
          </w:divBdr>
        </w:div>
        <w:div w:id="2107991682">
          <w:marLeft w:val="360"/>
          <w:marRight w:val="0"/>
          <w:marTop w:val="200"/>
          <w:marBottom w:val="0"/>
          <w:divBdr>
            <w:top w:val="none" w:sz="0" w:space="0" w:color="auto"/>
            <w:left w:val="none" w:sz="0" w:space="0" w:color="auto"/>
            <w:bottom w:val="none" w:sz="0" w:space="0" w:color="auto"/>
            <w:right w:val="none" w:sz="0" w:space="0" w:color="auto"/>
          </w:divBdr>
        </w:div>
        <w:div w:id="1585718961">
          <w:marLeft w:val="360"/>
          <w:marRight w:val="0"/>
          <w:marTop w:val="200"/>
          <w:marBottom w:val="0"/>
          <w:divBdr>
            <w:top w:val="none" w:sz="0" w:space="0" w:color="auto"/>
            <w:left w:val="none" w:sz="0" w:space="0" w:color="auto"/>
            <w:bottom w:val="none" w:sz="0" w:space="0" w:color="auto"/>
            <w:right w:val="none" w:sz="0" w:space="0" w:color="auto"/>
          </w:divBdr>
        </w:div>
        <w:div w:id="287317305">
          <w:marLeft w:val="360"/>
          <w:marRight w:val="0"/>
          <w:marTop w:val="200"/>
          <w:marBottom w:val="0"/>
          <w:divBdr>
            <w:top w:val="none" w:sz="0" w:space="0" w:color="auto"/>
            <w:left w:val="none" w:sz="0" w:space="0" w:color="auto"/>
            <w:bottom w:val="none" w:sz="0" w:space="0" w:color="auto"/>
            <w:right w:val="none" w:sz="0" w:space="0" w:color="auto"/>
          </w:divBdr>
        </w:div>
      </w:divsChild>
    </w:div>
    <w:div w:id="498886723">
      <w:bodyDiv w:val="1"/>
      <w:marLeft w:val="0"/>
      <w:marRight w:val="0"/>
      <w:marTop w:val="0"/>
      <w:marBottom w:val="0"/>
      <w:divBdr>
        <w:top w:val="none" w:sz="0" w:space="0" w:color="auto"/>
        <w:left w:val="none" w:sz="0" w:space="0" w:color="auto"/>
        <w:bottom w:val="none" w:sz="0" w:space="0" w:color="auto"/>
        <w:right w:val="none" w:sz="0" w:space="0" w:color="auto"/>
      </w:divBdr>
    </w:div>
    <w:div w:id="523518584">
      <w:bodyDiv w:val="1"/>
      <w:marLeft w:val="0"/>
      <w:marRight w:val="0"/>
      <w:marTop w:val="0"/>
      <w:marBottom w:val="0"/>
      <w:divBdr>
        <w:top w:val="none" w:sz="0" w:space="0" w:color="auto"/>
        <w:left w:val="none" w:sz="0" w:space="0" w:color="auto"/>
        <w:bottom w:val="none" w:sz="0" w:space="0" w:color="auto"/>
        <w:right w:val="none" w:sz="0" w:space="0" w:color="auto"/>
      </w:divBdr>
    </w:div>
    <w:div w:id="542864955">
      <w:bodyDiv w:val="1"/>
      <w:marLeft w:val="0"/>
      <w:marRight w:val="0"/>
      <w:marTop w:val="0"/>
      <w:marBottom w:val="0"/>
      <w:divBdr>
        <w:top w:val="none" w:sz="0" w:space="0" w:color="auto"/>
        <w:left w:val="none" w:sz="0" w:space="0" w:color="auto"/>
        <w:bottom w:val="none" w:sz="0" w:space="0" w:color="auto"/>
        <w:right w:val="none" w:sz="0" w:space="0" w:color="auto"/>
      </w:divBdr>
    </w:div>
    <w:div w:id="566191149">
      <w:bodyDiv w:val="1"/>
      <w:marLeft w:val="0"/>
      <w:marRight w:val="0"/>
      <w:marTop w:val="0"/>
      <w:marBottom w:val="0"/>
      <w:divBdr>
        <w:top w:val="none" w:sz="0" w:space="0" w:color="auto"/>
        <w:left w:val="none" w:sz="0" w:space="0" w:color="auto"/>
        <w:bottom w:val="none" w:sz="0" w:space="0" w:color="auto"/>
        <w:right w:val="none" w:sz="0" w:space="0" w:color="auto"/>
      </w:divBdr>
    </w:div>
    <w:div w:id="574975676">
      <w:bodyDiv w:val="1"/>
      <w:marLeft w:val="0"/>
      <w:marRight w:val="0"/>
      <w:marTop w:val="0"/>
      <w:marBottom w:val="0"/>
      <w:divBdr>
        <w:top w:val="none" w:sz="0" w:space="0" w:color="auto"/>
        <w:left w:val="none" w:sz="0" w:space="0" w:color="auto"/>
        <w:bottom w:val="none" w:sz="0" w:space="0" w:color="auto"/>
        <w:right w:val="none" w:sz="0" w:space="0" w:color="auto"/>
      </w:divBdr>
      <w:divsChild>
        <w:div w:id="1139610150">
          <w:marLeft w:val="360"/>
          <w:marRight w:val="0"/>
          <w:marTop w:val="200"/>
          <w:marBottom w:val="0"/>
          <w:divBdr>
            <w:top w:val="none" w:sz="0" w:space="0" w:color="auto"/>
            <w:left w:val="none" w:sz="0" w:space="0" w:color="auto"/>
            <w:bottom w:val="none" w:sz="0" w:space="0" w:color="auto"/>
            <w:right w:val="none" w:sz="0" w:space="0" w:color="auto"/>
          </w:divBdr>
        </w:div>
        <w:div w:id="1191184010">
          <w:marLeft w:val="360"/>
          <w:marRight w:val="0"/>
          <w:marTop w:val="200"/>
          <w:marBottom w:val="0"/>
          <w:divBdr>
            <w:top w:val="none" w:sz="0" w:space="0" w:color="auto"/>
            <w:left w:val="none" w:sz="0" w:space="0" w:color="auto"/>
            <w:bottom w:val="none" w:sz="0" w:space="0" w:color="auto"/>
            <w:right w:val="none" w:sz="0" w:space="0" w:color="auto"/>
          </w:divBdr>
        </w:div>
        <w:div w:id="269974596">
          <w:marLeft w:val="1080"/>
          <w:marRight w:val="0"/>
          <w:marTop w:val="100"/>
          <w:marBottom w:val="0"/>
          <w:divBdr>
            <w:top w:val="none" w:sz="0" w:space="0" w:color="auto"/>
            <w:left w:val="none" w:sz="0" w:space="0" w:color="auto"/>
            <w:bottom w:val="none" w:sz="0" w:space="0" w:color="auto"/>
            <w:right w:val="none" w:sz="0" w:space="0" w:color="auto"/>
          </w:divBdr>
        </w:div>
        <w:div w:id="931939176">
          <w:marLeft w:val="1080"/>
          <w:marRight w:val="0"/>
          <w:marTop w:val="100"/>
          <w:marBottom w:val="0"/>
          <w:divBdr>
            <w:top w:val="none" w:sz="0" w:space="0" w:color="auto"/>
            <w:left w:val="none" w:sz="0" w:space="0" w:color="auto"/>
            <w:bottom w:val="none" w:sz="0" w:space="0" w:color="auto"/>
            <w:right w:val="none" w:sz="0" w:space="0" w:color="auto"/>
          </w:divBdr>
        </w:div>
        <w:div w:id="1414160465">
          <w:marLeft w:val="1080"/>
          <w:marRight w:val="0"/>
          <w:marTop w:val="100"/>
          <w:marBottom w:val="0"/>
          <w:divBdr>
            <w:top w:val="none" w:sz="0" w:space="0" w:color="auto"/>
            <w:left w:val="none" w:sz="0" w:space="0" w:color="auto"/>
            <w:bottom w:val="none" w:sz="0" w:space="0" w:color="auto"/>
            <w:right w:val="none" w:sz="0" w:space="0" w:color="auto"/>
          </w:divBdr>
        </w:div>
        <w:div w:id="1974864834">
          <w:marLeft w:val="1080"/>
          <w:marRight w:val="0"/>
          <w:marTop w:val="100"/>
          <w:marBottom w:val="0"/>
          <w:divBdr>
            <w:top w:val="none" w:sz="0" w:space="0" w:color="auto"/>
            <w:left w:val="none" w:sz="0" w:space="0" w:color="auto"/>
            <w:bottom w:val="none" w:sz="0" w:space="0" w:color="auto"/>
            <w:right w:val="none" w:sz="0" w:space="0" w:color="auto"/>
          </w:divBdr>
        </w:div>
      </w:divsChild>
    </w:div>
    <w:div w:id="593322313">
      <w:bodyDiv w:val="1"/>
      <w:marLeft w:val="0"/>
      <w:marRight w:val="0"/>
      <w:marTop w:val="0"/>
      <w:marBottom w:val="0"/>
      <w:divBdr>
        <w:top w:val="none" w:sz="0" w:space="0" w:color="auto"/>
        <w:left w:val="none" w:sz="0" w:space="0" w:color="auto"/>
        <w:bottom w:val="none" w:sz="0" w:space="0" w:color="auto"/>
        <w:right w:val="none" w:sz="0" w:space="0" w:color="auto"/>
      </w:divBdr>
    </w:div>
    <w:div w:id="594939576">
      <w:bodyDiv w:val="1"/>
      <w:marLeft w:val="0"/>
      <w:marRight w:val="0"/>
      <w:marTop w:val="0"/>
      <w:marBottom w:val="0"/>
      <w:divBdr>
        <w:top w:val="none" w:sz="0" w:space="0" w:color="auto"/>
        <w:left w:val="none" w:sz="0" w:space="0" w:color="auto"/>
        <w:bottom w:val="none" w:sz="0" w:space="0" w:color="auto"/>
        <w:right w:val="none" w:sz="0" w:space="0" w:color="auto"/>
      </w:divBdr>
    </w:div>
    <w:div w:id="602344364">
      <w:bodyDiv w:val="1"/>
      <w:marLeft w:val="0"/>
      <w:marRight w:val="0"/>
      <w:marTop w:val="0"/>
      <w:marBottom w:val="0"/>
      <w:divBdr>
        <w:top w:val="none" w:sz="0" w:space="0" w:color="auto"/>
        <w:left w:val="none" w:sz="0" w:space="0" w:color="auto"/>
        <w:bottom w:val="none" w:sz="0" w:space="0" w:color="auto"/>
        <w:right w:val="none" w:sz="0" w:space="0" w:color="auto"/>
      </w:divBdr>
    </w:div>
    <w:div w:id="647443892">
      <w:bodyDiv w:val="1"/>
      <w:marLeft w:val="0"/>
      <w:marRight w:val="0"/>
      <w:marTop w:val="0"/>
      <w:marBottom w:val="0"/>
      <w:divBdr>
        <w:top w:val="none" w:sz="0" w:space="0" w:color="auto"/>
        <w:left w:val="none" w:sz="0" w:space="0" w:color="auto"/>
        <w:bottom w:val="none" w:sz="0" w:space="0" w:color="auto"/>
        <w:right w:val="none" w:sz="0" w:space="0" w:color="auto"/>
      </w:divBdr>
    </w:div>
    <w:div w:id="673537006">
      <w:bodyDiv w:val="1"/>
      <w:marLeft w:val="0"/>
      <w:marRight w:val="0"/>
      <w:marTop w:val="0"/>
      <w:marBottom w:val="0"/>
      <w:divBdr>
        <w:top w:val="none" w:sz="0" w:space="0" w:color="auto"/>
        <w:left w:val="none" w:sz="0" w:space="0" w:color="auto"/>
        <w:bottom w:val="none" w:sz="0" w:space="0" w:color="auto"/>
        <w:right w:val="none" w:sz="0" w:space="0" w:color="auto"/>
      </w:divBdr>
      <w:divsChild>
        <w:div w:id="1253926613">
          <w:marLeft w:val="360"/>
          <w:marRight w:val="0"/>
          <w:marTop w:val="200"/>
          <w:marBottom w:val="0"/>
          <w:divBdr>
            <w:top w:val="none" w:sz="0" w:space="0" w:color="auto"/>
            <w:left w:val="none" w:sz="0" w:space="0" w:color="auto"/>
            <w:bottom w:val="none" w:sz="0" w:space="0" w:color="auto"/>
            <w:right w:val="none" w:sz="0" w:space="0" w:color="auto"/>
          </w:divBdr>
        </w:div>
      </w:divsChild>
    </w:div>
    <w:div w:id="754713361">
      <w:bodyDiv w:val="1"/>
      <w:marLeft w:val="0"/>
      <w:marRight w:val="0"/>
      <w:marTop w:val="0"/>
      <w:marBottom w:val="0"/>
      <w:divBdr>
        <w:top w:val="none" w:sz="0" w:space="0" w:color="auto"/>
        <w:left w:val="none" w:sz="0" w:space="0" w:color="auto"/>
        <w:bottom w:val="none" w:sz="0" w:space="0" w:color="auto"/>
        <w:right w:val="none" w:sz="0" w:space="0" w:color="auto"/>
      </w:divBdr>
    </w:div>
    <w:div w:id="774133641">
      <w:bodyDiv w:val="1"/>
      <w:marLeft w:val="0"/>
      <w:marRight w:val="0"/>
      <w:marTop w:val="0"/>
      <w:marBottom w:val="0"/>
      <w:divBdr>
        <w:top w:val="none" w:sz="0" w:space="0" w:color="auto"/>
        <w:left w:val="none" w:sz="0" w:space="0" w:color="auto"/>
        <w:bottom w:val="none" w:sz="0" w:space="0" w:color="auto"/>
        <w:right w:val="none" w:sz="0" w:space="0" w:color="auto"/>
      </w:divBdr>
    </w:div>
    <w:div w:id="834758861">
      <w:bodyDiv w:val="1"/>
      <w:marLeft w:val="0"/>
      <w:marRight w:val="0"/>
      <w:marTop w:val="0"/>
      <w:marBottom w:val="0"/>
      <w:divBdr>
        <w:top w:val="none" w:sz="0" w:space="0" w:color="auto"/>
        <w:left w:val="none" w:sz="0" w:space="0" w:color="auto"/>
        <w:bottom w:val="none" w:sz="0" w:space="0" w:color="auto"/>
        <w:right w:val="none" w:sz="0" w:space="0" w:color="auto"/>
      </w:divBdr>
      <w:divsChild>
        <w:div w:id="303893439">
          <w:marLeft w:val="360"/>
          <w:marRight w:val="0"/>
          <w:marTop w:val="200"/>
          <w:marBottom w:val="0"/>
          <w:divBdr>
            <w:top w:val="none" w:sz="0" w:space="0" w:color="auto"/>
            <w:left w:val="none" w:sz="0" w:space="0" w:color="auto"/>
            <w:bottom w:val="none" w:sz="0" w:space="0" w:color="auto"/>
            <w:right w:val="none" w:sz="0" w:space="0" w:color="auto"/>
          </w:divBdr>
        </w:div>
      </w:divsChild>
    </w:div>
    <w:div w:id="854272572">
      <w:bodyDiv w:val="1"/>
      <w:marLeft w:val="0"/>
      <w:marRight w:val="0"/>
      <w:marTop w:val="0"/>
      <w:marBottom w:val="0"/>
      <w:divBdr>
        <w:top w:val="none" w:sz="0" w:space="0" w:color="auto"/>
        <w:left w:val="none" w:sz="0" w:space="0" w:color="auto"/>
        <w:bottom w:val="none" w:sz="0" w:space="0" w:color="auto"/>
        <w:right w:val="none" w:sz="0" w:space="0" w:color="auto"/>
      </w:divBdr>
    </w:div>
    <w:div w:id="883558683">
      <w:bodyDiv w:val="1"/>
      <w:marLeft w:val="0"/>
      <w:marRight w:val="0"/>
      <w:marTop w:val="0"/>
      <w:marBottom w:val="0"/>
      <w:divBdr>
        <w:top w:val="none" w:sz="0" w:space="0" w:color="auto"/>
        <w:left w:val="none" w:sz="0" w:space="0" w:color="auto"/>
        <w:bottom w:val="none" w:sz="0" w:space="0" w:color="auto"/>
        <w:right w:val="none" w:sz="0" w:space="0" w:color="auto"/>
      </w:divBdr>
    </w:div>
    <w:div w:id="905996005">
      <w:bodyDiv w:val="1"/>
      <w:marLeft w:val="0"/>
      <w:marRight w:val="0"/>
      <w:marTop w:val="0"/>
      <w:marBottom w:val="0"/>
      <w:divBdr>
        <w:top w:val="none" w:sz="0" w:space="0" w:color="auto"/>
        <w:left w:val="none" w:sz="0" w:space="0" w:color="auto"/>
        <w:bottom w:val="none" w:sz="0" w:space="0" w:color="auto"/>
        <w:right w:val="none" w:sz="0" w:space="0" w:color="auto"/>
      </w:divBdr>
    </w:div>
    <w:div w:id="911043980">
      <w:bodyDiv w:val="1"/>
      <w:marLeft w:val="0"/>
      <w:marRight w:val="0"/>
      <w:marTop w:val="0"/>
      <w:marBottom w:val="0"/>
      <w:divBdr>
        <w:top w:val="none" w:sz="0" w:space="0" w:color="auto"/>
        <w:left w:val="none" w:sz="0" w:space="0" w:color="auto"/>
        <w:bottom w:val="none" w:sz="0" w:space="0" w:color="auto"/>
        <w:right w:val="none" w:sz="0" w:space="0" w:color="auto"/>
      </w:divBdr>
    </w:div>
    <w:div w:id="939290979">
      <w:bodyDiv w:val="1"/>
      <w:marLeft w:val="0"/>
      <w:marRight w:val="0"/>
      <w:marTop w:val="0"/>
      <w:marBottom w:val="0"/>
      <w:divBdr>
        <w:top w:val="none" w:sz="0" w:space="0" w:color="auto"/>
        <w:left w:val="none" w:sz="0" w:space="0" w:color="auto"/>
        <w:bottom w:val="none" w:sz="0" w:space="0" w:color="auto"/>
        <w:right w:val="none" w:sz="0" w:space="0" w:color="auto"/>
      </w:divBdr>
      <w:divsChild>
        <w:div w:id="65879396">
          <w:marLeft w:val="547"/>
          <w:marRight w:val="0"/>
          <w:marTop w:val="86"/>
          <w:marBottom w:val="0"/>
          <w:divBdr>
            <w:top w:val="none" w:sz="0" w:space="0" w:color="auto"/>
            <w:left w:val="none" w:sz="0" w:space="0" w:color="auto"/>
            <w:bottom w:val="none" w:sz="0" w:space="0" w:color="auto"/>
            <w:right w:val="none" w:sz="0" w:space="0" w:color="auto"/>
          </w:divBdr>
        </w:div>
      </w:divsChild>
    </w:div>
    <w:div w:id="964239843">
      <w:bodyDiv w:val="1"/>
      <w:marLeft w:val="0"/>
      <w:marRight w:val="0"/>
      <w:marTop w:val="0"/>
      <w:marBottom w:val="0"/>
      <w:divBdr>
        <w:top w:val="none" w:sz="0" w:space="0" w:color="auto"/>
        <w:left w:val="none" w:sz="0" w:space="0" w:color="auto"/>
        <w:bottom w:val="none" w:sz="0" w:space="0" w:color="auto"/>
        <w:right w:val="none" w:sz="0" w:space="0" w:color="auto"/>
      </w:divBdr>
    </w:div>
    <w:div w:id="982395877">
      <w:bodyDiv w:val="1"/>
      <w:marLeft w:val="0"/>
      <w:marRight w:val="0"/>
      <w:marTop w:val="0"/>
      <w:marBottom w:val="0"/>
      <w:divBdr>
        <w:top w:val="none" w:sz="0" w:space="0" w:color="auto"/>
        <w:left w:val="none" w:sz="0" w:space="0" w:color="auto"/>
        <w:bottom w:val="none" w:sz="0" w:space="0" w:color="auto"/>
        <w:right w:val="none" w:sz="0" w:space="0" w:color="auto"/>
      </w:divBdr>
    </w:div>
    <w:div w:id="983777510">
      <w:bodyDiv w:val="1"/>
      <w:marLeft w:val="0"/>
      <w:marRight w:val="0"/>
      <w:marTop w:val="0"/>
      <w:marBottom w:val="0"/>
      <w:divBdr>
        <w:top w:val="none" w:sz="0" w:space="0" w:color="auto"/>
        <w:left w:val="none" w:sz="0" w:space="0" w:color="auto"/>
        <w:bottom w:val="none" w:sz="0" w:space="0" w:color="auto"/>
        <w:right w:val="none" w:sz="0" w:space="0" w:color="auto"/>
      </w:divBdr>
    </w:div>
    <w:div w:id="1010256807">
      <w:bodyDiv w:val="1"/>
      <w:marLeft w:val="0"/>
      <w:marRight w:val="0"/>
      <w:marTop w:val="0"/>
      <w:marBottom w:val="0"/>
      <w:divBdr>
        <w:top w:val="none" w:sz="0" w:space="0" w:color="auto"/>
        <w:left w:val="none" w:sz="0" w:space="0" w:color="auto"/>
        <w:bottom w:val="none" w:sz="0" w:space="0" w:color="auto"/>
        <w:right w:val="none" w:sz="0" w:space="0" w:color="auto"/>
      </w:divBdr>
    </w:div>
    <w:div w:id="1034117701">
      <w:bodyDiv w:val="1"/>
      <w:marLeft w:val="0"/>
      <w:marRight w:val="0"/>
      <w:marTop w:val="0"/>
      <w:marBottom w:val="0"/>
      <w:divBdr>
        <w:top w:val="none" w:sz="0" w:space="0" w:color="auto"/>
        <w:left w:val="none" w:sz="0" w:space="0" w:color="auto"/>
        <w:bottom w:val="none" w:sz="0" w:space="0" w:color="auto"/>
        <w:right w:val="none" w:sz="0" w:space="0" w:color="auto"/>
      </w:divBdr>
    </w:div>
    <w:div w:id="1065646248">
      <w:bodyDiv w:val="1"/>
      <w:marLeft w:val="0"/>
      <w:marRight w:val="0"/>
      <w:marTop w:val="0"/>
      <w:marBottom w:val="0"/>
      <w:divBdr>
        <w:top w:val="none" w:sz="0" w:space="0" w:color="auto"/>
        <w:left w:val="none" w:sz="0" w:space="0" w:color="auto"/>
        <w:bottom w:val="none" w:sz="0" w:space="0" w:color="auto"/>
        <w:right w:val="none" w:sz="0" w:space="0" w:color="auto"/>
      </w:divBdr>
    </w:div>
    <w:div w:id="1127505083">
      <w:bodyDiv w:val="1"/>
      <w:marLeft w:val="0"/>
      <w:marRight w:val="0"/>
      <w:marTop w:val="0"/>
      <w:marBottom w:val="0"/>
      <w:divBdr>
        <w:top w:val="none" w:sz="0" w:space="0" w:color="auto"/>
        <w:left w:val="none" w:sz="0" w:space="0" w:color="auto"/>
        <w:bottom w:val="none" w:sz="0" w:space="0" w:color="auto"/>
        <w:right w:val="none" w:sz="0" w:space="0" w:color="auto"/>
      </w:divBdr>
      <w:divsChild>
        <w:div w:id="1811748940">
          <w:marLeft w:val="360"/>
          <w:marRight w:val="0"/>
          <w:marTop w:val="200"/>
          <w:marBottom w:val="0"/>
          <w:divBdr>
            <w:top w:val="none" w:sz="0" w:space="0" w:color="auto"/>
            <w:left w:val="none" w:sz="0" w:space="0" w:color="auto"/>
            <w:bottom w:val="none" w:sz="0" w:space="0" w:color="auto"/>
            <w:right w:val="none" w:sz="0" w:space="0" w:color="auto"/>
          </w:divBdr>
        </w:div>
        <w:div w:id="1341002526">
          <w:marLeft w:val="360"/>
          <w:marRight w:val="0"/>
          <w:marTop w:val="200"/>
          <w:marBottom w:val="0"/>
          <w:divBdr>
            <w:top w:val="none" w:sz="0" w:space="0" w:color="auto"/>
            <w:left w:val="none" w:sz="0" w:space="0" w:color="auto"/>
            <w:bottom w:val="none" w:sz="0" w:space="0" w:color="auto"/>
            <w:right w:val="none" w:sz="0" w:space="0" w:color="auto"/>
          </w:divBdr>
        </w:div>
        <w:div w:id="533929529">
          <w:marLeft w:val="360"/>
          <w:marRight w:val="0"/>
          <w:marTop w:val="200"/>
          <w:marBottom w:val="0"/>
          <w:divBdr>
            <w:top w:val="none" w:sz="0" w:space="0" w:color="auto"/>
            <w:left w:val="none" w:sz="0" w:space="0" w:color="auto"/>
            <w:bottom w:val="none" w:sz="0" w:space="0" w:color="auto"/>
            <w:right w:val="none" w:sz="0" w:space="0" w:color="auto"/>
          </w:divBdr>
        </w:div>
        <w:div w:id="1888450317">
          <w:marLeft w:val="360"/>
          <w:marRight w:val="0"/>
          <w:marTop w:val="200"/>
          <w:marBottom w:val="0"/>
          <w:divBdr>
            <w:top w:val="none" w:sz="0" w:space="0" w:color="auto"/>
            <w:left w:val="none" w:sz="0" w:space="0" w:color="auto"/>
            <w:bottom w:val="none" w:sz="0" w:space="0" w:color="auto"/>
            <w:right w:val="none" w:sz="0" w:space="0" w:color="auto"/>
          </w:divBdr>
        </w:div>
        <w:div w:id="188178767">
          <w:marLeft w:val="360"/>
          <w:marRight w:val="0"/>
          <w:marTop w:val="200"/>
          <w:marBottom w:val="0"/>
          <w:divBdr>
            <w:top w:val="none" w:sz="0" w:space="0" w:color="auto"/>
            <w:left w:val="none" w:sz="0" w:space="0" w:color="auto"/>
            <w:bottom w:val="none" w:sz="0" w:space="0" w:color="auto"/>
            <w:right w:val="none" w:sz="0" w:space="0" w:color="auto"/>
          </w:divBdr>
        </w:div>
      </w:divsChild>
    </w:div>
    <w:div w:id="1128426052">
      <w:bodyDiv w:val="1"/>
      <w:marLeft w:val="0"/>
      <w:marRight w:val="0"/>
      <w:marTop w:val="0"/>
      <w:marBottom w:val="0"/>
      <w:divBdr>
        <w:top w:val="none" w:sz="0" w:space="0" w:color="auto"/>
        <w:left w:val="none" w:sz="0" w:space="0" w:color="auto"/>
        <w:bottom w:val="none" w:sz="0" w:space="0" w:color="auto"/>
        <w:right w:val="none" w:sz="0" w:space="0" w:color="auto"/>
      </w:divBdr>
    </w:div>
    <w:div w:id="1179395746">
      <w:bodyDiv w:val="1"/>
      <w:marLeft w:val="0"/>
      <w:marRight w:val="0"/>
      <w:marTop w:val="0"/>
      <w:marBottom w:val="0"/>
      <w:divBdr>
        <w:top w:val="none" w:sz="0" w:space="0" w:color="auto"/>
        <w:left w:val="none" w:sz="0" w:space="0" w:color="auto"/>
        <w:bottom w:val="none" w:sz="0" w:space="0" w:color="auto"/>
        <w:right w:val="none" w:sz="0" w:space="0" w:color="auto"/>
      </w:divBdr>
    </w:div>
    <w:div w:id="1274361799">
      <w:bodyDiv w:val="1"/>
      <w:marLeft w:val="0"/>
      <w:marRight w:val="0"/>
      <w:marTop w:val="0"/>
      <w:marBottom w:val="0"/>
      <w:divBdr>
        <w:top w:val="none" w:sz="0" w:space="0" w:color="auto"/>
        <w:left w:val="none" w:sz="0" w:space="0" w:color="auto"/>
        <w:bottom w:val="none" w:sz="0" w:space="0" w:color="auto"/>
        <w:right w:val="none" w:sz="0" w:space="0" w:color="auto"/>
      </w:divBdr>
    </w:div>
    <w:div w:id="1288044844">
      <w:bodyDiv w:val="1"/>
      <w:marLeft w:val="0"/>
      <w:marRight w:val="0"/>
      <w:marTop w:val="0"/>
      <w:marBottom w:val="0"/>
      <w:divBdr>
        <w:top w:val="none" w:sz="0" w:space="0" w:color="auto"/>
        <w:left w:val="none" w:sz="0" w:space="0" w:color="auto"/>
        <w:bottom w:val="none" w:sz="0" w:space="0" w:color="auto"/>
        <w:right w:val="none" w:sz="0" w:space="0" w:color="auto"/>
      </w:divBdr>
      <w:divsChild>
        <w:div w:id="92864867">
          <w:marLeft w:val="360"/>
          <w:marRight w:val="0"/>
          <w:marTop w:val="200"/>
          <w:marBottom w:val="0"/>
          <w:divBdr>
            <w:top w:val="none" w:sz="0" w:space="0" w:color="auto"/>
            <w:left w:val="none" w:sz="0" w:space="0" w:color="auto"/>
            <w:bottom w:val="none" w:sz="0" w:space="0" w:color="auto"/>
            <w:right w:val="none" w:sz="0" w:space="0" w:color="auto"/>
          </w:divBdr>
        </w:div>
      </w:divsChild>
    </w:div>
    <w:div w:id="1379620187">
      <w:bodyDiv w:val="1"/>
      <w:marLeft w:val="0"/>
      <w:marRight w:val="0"/>
      <w:marTop w:val="0"/>
      <w:marBottom w:val="0"/>
      <w:divBdr>
        <w:top w:val="none" w:sz="0" w:space="0" w:color="auto"/>
        <w:left w:val="none" w:sz="0" w:space="0" w:color="auto"/>
        <w:bottom w:val="none" w:sz="0" w:space="0" w:color="auto"/>
        <w:right w:val="none" w:sz="0" w:space="0" w:color="auto"/>
      </w:divBdr>
    </w:div>
    <w:div w:id="1527987437">
      <w:bodyDiv w:val="1"/>
      <w:marLeft w:val="0"/>
      <w:marRight w:val="0"/>
      <w:marTop w:val="0"/>
      <w:marBottom w:val="0"/>
      <w:divBdr>
        <w:top w:val="none" w:sz="0" w:space="0" w:color="auto"/>
        <w:left w:val="none" w:sz="0" w:space="0" w:color="auto"/>
        <w:bottom w:val="none" w:sz="0" w:space="0" w:color="auto"/>
        <w:right w:val="none" w:sz="0" w:space="0" w:color="auto"/>
      </w:divBdr>
    </w:div>
    <w:div w:id="1530096304">
      <w:bodyDiv w:val="1"/>
      <w:marLeft w:val="0"/>
      <w:marRight w:val="0"/>
      <w:marTop w:val="0"/>
      <w:marBottom w:val="0"/>
      <w:divBdr>
        <w:top w:val="none" w:sz="0" w:space="0" w:color="auto"/>
        <w:left w:val="none" w:sz="0" w:space="0" w:color="auto"/>
        <w:bottom w:val="none" w:sz="0" w:space="0" w:color="auto"/>
        <w:right w:val="none" w:sz="0" w:space="0" w:color="auto"/>
      </w:divBdr>
      <w:divsChild>
        <w:div w:id="224727411">
          <w:marLeft w:val="360"/>
          <w:marRight w:val="0"/>
          <w:marTop w:val="200"/>
          <w:marBottom w:val="0"/>
          <w:divBdr>
            <w:top w:val="none" w:sz="0" w:space="0" w:color="auto"/>
            <w:left w:val="none" w:sz="0" w:space="0" w:color="auto"/>
            <w:bottom w:val="none" w:sz="0" w:space="0" w:color="auto"/>
            <w:right w:val="none" w:sz="0" w:space="0" w:color="auto"/>
          </w:divBdr>
        </w:div>
        <w:div w:id="174855545">
          <w:marLeft w:val="1080"/>
          <w:marRight w:val="0"/>
          <w:marTop w:val="100"/>
          <w:marBottom w:val="0"/>
          <w:divBdr>
            <w:top w:val="none" w:sz="0" w:space="0" w:color="auto"/>
            <w:left w:val="none" w:sz="0" w:space="0" w:color="auto"/>
            <w:bottom w:val="none" w:sz="0" w:space="0" w:color="auto"/>
            <w:right w:val="none" w:sz="0" w:space="0" w:color="auto"/>
          </w:divBdr>
        </w:div>
        <w:div w:id="826409245">
          <w:marLeft w:val="1080"/>
          <w:marRight w:val="0"/>
          <w:marTop w:val="100"/>
          <w:marBottom w:val="0"/>
          <w:divBdr>
            <w:top w:val="none" w:sz="0" w:space="0" w:color="auto"/>
            <w:left w:val="none" w:sz="0" w:space="0" w:color="auto"/>
            <w:bottom w:val="none" w:sz="0" w:space="0" w:color="auto"/>
            <w:right w:val="none" w:sz="0" w:space="0" w:color="auto"/>
          </w:divBdr>
        </w:div>
        <w:div w:id="1775786995">
          <w:marLeft w:val="360"/>
          <w:marRight w:val="0"/>
          <w:marTop w:val="200"/>
          <w:marBottom w:val="0"/>
          <w:divBdr>
            <w:top w:val="none" w:sz="0" w:space="0" w:color="auto"/>
            <w:left w:val="none" w:sz="0" w:space="0" w:color="auto"/>
            <w:bottom w:val="none" w:sz="0" w:space="0" w:color="auto"/>
            <w:right w:val="none" w:sz="0" w:space="0" w:color="auto"/>
          </w:divBdr>
        </w:div>
        <w:div w:id="923997141">
          <w:marLeft w:val="360"/>
          <w:marRight w:val="0"/>
          <w:marTop w:val="200"/>
          <w:marBottom w:val="0"/>
          <w:divBdr>
            <w:top w:val="none" w:sz="0" w:space="0" w:color="auto"/>
            <w:left w:val="none" w:sz="0" w:space="0" w:color="auto"/>
            <w:bottom w:val="none" w:sz="0" w:space="0" w:color="auto"/>
            <w:right w:val="none" w:sz="0" w:space="0" w:color="auto"/>
          </w:divBdr>
        </w:div>
        <w:div w:id="1107231885">
          <w:marLeft w:val="1080"/>
          <w:marRight w:val="0"/>
          <w:marTop w:val="100"/>
          <w:marBottom w:val="0"/>
          <w:divBdr>
            <w:top w:val="none" w:sz="0" w:space="0" w:color="auto"/>
            <w:left w:val="none" w:sz="0" w:space="0" w:color="auto"/>
            <w:bottom w:val="none" w:sz="0" w:space="0" w:color="auto"/>
            <w:right w:val="none" w:sz="0" w:space="0" w:color="auto"/>
          </w:divBdr>
        </w:div>
        <w:div w:id="994837643">
          <w:marLeft w:val="1080"/>
          <w:marRight w:val="0"/>
          <w:marTop w:val="100"/>
          <w:marBottom w:val="0"/>
          <w:divBdr>
            <w:top w:val="none" w:sz="0" w:space="0" w:color="auto"/>
            <w:left w:val="none" w:sz="0" w:space="0" w:color="auto"/>
            <w:bottom w:val="none" w:sz="0" w:space="0" w:color="auto"/>
            <w:right w:val="none" w:sz="0" w:space="0" w:color="auto"/>
          </w:divBdr>
        </w:div>
      </w:divsChild>
    </w:div>
    <w:div w:id="1538008186">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sChild>
        <w:div w:id="505705055">
          <w:marLeft w:val="360"/>
          <w:marRight w:val="0"/>
          <w:marTop w:val="200"/>
          <w:marBottom w:val="0"/>
          <w:divBdr>
            <w:top w:val="none" w:sz="0" w:space="0" w:color="auto"/>
            <w:left w:val="none" w:sz="0" w:space="0" w:color="auto"/>
            <w:bottom w:val="none" w:sz="0" w:space="0" w:color="auto"/>
            <w:right w:val="none" w:sz="0" w:space="0" w:color="auto"/>
          </w:divBdr>
        </w:div>
        <w:div w:id="2054772849">
          <w:marLeft w:val="360"/>
          <w:marRight w:val="0"/>
          <w:marTop w:val="200"/>
          <w:marBottom w:val="0"/>
          <w:divBdr>
            <w:top w:val="none" w:sz="0" w:space="0" w:color="auto"/>
            <w:left w:val="none" w:sz="0" w:space="0" w:color="auto"/>
            <w:bottom w:val="none" w:sz="0" w:space="0" w:color="auto"/>
            <w:right w:val="none" w:sz="0" w:space="0" w:color="auto"/>
          </w:divBdr>
        </w:div>
        <w:div w:id="1084035559">
          <w:marLeft w:val="360"/>
          <w:marRight w:val="0"/>
          <w:marTop w:val="200"/>
          <w:marBottom w:val="0"/>
          <w:divBdr>
            <w:top w:val="none" w:sz="0" w:space="0" w:color="auto"/>
            <w:left w:val="none" w:sz="0" w:space="0" w:color="auto"/>
            <w:bottom w:val="none" w:sz="0" w:space="0" w:color="auto"/>
            <w:right w:val="none" w:sz="0" w:space="0" w:color="auto"/>
          </w:divBdr>
        </w:div>
      </w:divsChild>
    </w:div>
    <w:div w:id="1625187203">
      <w:bodyDiv w:val="1"/>
      <w:marLeft w:val="0"/>
      <w:marRight w:val="0"/>
      <w:marTop w:val="0"/>
      <w:marBottom w:val="0"/>
      <w:divBdr>
        <w:top w:val="none" w:sz="0" w:space="0" w:color="auto"/>
        <w:left w:val="none" w:sz="0" w:space="0" w:color="auto"/>
        <w:bottom w:val="none" w:sz="0" w:space="0" w:color="auto"/>
        <w:right w:val="none" w:sz="0" w:space="0" w:color="auto"/>
      </w:divBdr>
    </w:div>
    <w:div w:id="1632438972">
      <w:bodyDiv w:val="1"/>
      <w:marLeft w:val="0"/>
      <w:marRight w:val="0"/>
      <w:marTop w:val="0"/>
      <w:marBottom w:val="0"/>
      <w:divBdr>
        <w:top w:val="none" w:sz="0" w:space="0" w:color="auto"/>
        <w:left w:val="none" w:sz="0" w:space="0" w:color="auto"/>
        <w:bottom w:val="none" w:sz="0" w:space="0" w:color="auto"/>
        <w:right w:val="none" w:sz="0" w:space="0" w:color="auto"/>
      </w:divBdr>
      <w:divsChild>
        <w:div w:id="1189369573">
          <w:marLeft w:val="360"/>
          <w:marRight w:val="0"/>
          <w:marTop w:val="200"/>
          <w:marBottom w:val="0"/>
          <w:divBdr>
            <w:top w:val="none" w:sz="0" w:space="0" w:color="auto"/>
            <w:left w:val="none" w:sz="0" w:space="0" w:color="auto"/>
            <w:bottom w:val="none" w:sz="0" w:space="0" w:color="auto"/>
            <w:right w:val="none" w:sz="0" w:space="0" w:color="auto"/>
          </w:divBdr>
        </w:div>
        <w:div w:id="202904686">
          <w:marLeft w:val="1080"/>
          <w:marRight w:val="0"/>
          <w:marTop w:val="100"/>
          <w:marBottom w:val="0"/>
          <w:divBdr>
            <w:top w:val="none" w:sz="0" w:space="0" w:color="auto"/>
            <w:left w:val="none" w:sz="0" w:space="0" w:color="auto"/>
            <w:bottom w:val="none" w:sz="0" w:space="0" w:color="auto"/>
            <w:right w:val="none" w:sz="0" w:space="0" w:color="auto"/>
          </w:divBdr>
        </w:div>
        <w:div w:id="1060401009">
          <w:marLeft w:val="1080"/>
          <w:marRight w:val="0"/>
          <w:marTop w:val="100"/>
          <w:marBottom w:val="0"/>
          <w:divBdr>
            <w:top w:val="none" w:sz="0" w:space="0" w:color="auto"/>
            <w:left w:val="none" w:sz="0" w:space="0" w:color="auto"/>
            <w:bottom w:val="none" w:sz="0" w:space="0" w:color="auto"/>
            <w:right w:val="none" w:sz="0" w:space="0" w:color="auto"/>
          </w:divBdr>
        </w:div>
        <w:div w:id="72163026">
          <w:marLeft w:val="1080"/>
          <w:marRight w:val="0"/>
          <w:marTop w:val="100"/>
          <w:marBottom w:val="0"/>
          <w:divBdr>
            <w:top w:val="none" w:sz="0" w:space="0" w:color="auto"/>
            <w:left w:val="none" w:sz="0" w:space="0" w:color="auto"/>
            <w:bottom w:val="none" w:sz="0" w:space="0" w:color="auto"/>
            <w:right w:val="none" w:sz="0" w:space="0" w:color="auto"/>
          </w:divBdr>
        </w:div>
        <w:div w:id="517739888">
          <w:marLeft w:val="1080"/>
          <w:marRight w:val="0"/>
          <w:marTop w:val="100"/>
          <w:marBottom w:val="0"/>
          <w:divBdr>
            <w:top w:val="none" w:sz="0" w:space="0" w:color="auto"/>
            <w:left w:val="none" w:sz="0" w:space="0" w:color="auto"/>
            <w:bottom w:val="none" w:sz="0" w:space="0" w:color="auto"/>
            <w:right w:val="none" w:sz="0" w:space="0" w:color="auto"/>
          </w:divBdr>
        </w:div>
        <w:div w:id="1581711982">
          <w:marLeft w:val="360"/>
          <w:marRight w:val="0"/>
          <w:marTop w:val="200"/>
          <w:marBottom w:val="0"/>
          <w:divBdr>
            <w:top w:val="none" w:sz="0" w:space="0" w:color="auto"/>
            <w:left w:val="none" w:sz="0" w:space="0" w:color="auto"/>
            <w:bottom w:val="none" w:sz="0" w:space="0" w:color="auto"/>
            <w:right w:val="none" w:sz="0" w:space="0" w:color="auto"/>
          </w:divBdr>
        </w:div>
        <w:div w:id="1084566804">
          <w:marLeft w:val="1080"/>
          <w:marRight w:val="0"/>
          <w:marTop w:val="100"/>
          <w:marBottom w:val="0"/>
          <w:divBdr>
            <w:top w:val="none" w:sz="0" w:space="0" w:color="auto"/>
            <w:left w:val="none" w:sz="0" w:space="0" w:color="auto"/>
            <w:bottom w:val="none" w:sz="0" w:space="0" w:color="auto"/>
            <w:right w:val="none" w:sz="0" w:space="0" w:color="auto"/>
          </w:divBdr>
        </w:div>
      </w:divsChild>
    </w:div>
    <w:div w:id="1731463691">
      <w:bodyDiv w:val="1"/>
      <w:marLeft w:val="0"/>
      <w:marRight w:val="0"/>
      <w:marTop w:val="0"/>
      <w:marBottom w:val="0"/>
      <w:divBdr>
        <w:top w:val="none" w:sz="0" w:space="0" w:color="auto"/>
        <w:left w:val="none" w:sz="0" w:space="0" w:color="auto"/>
        <w:bottom w:val="none" w:sz="0" w:space="0" w:color="auto"/>
        <w:right w:val="none" w:sz="0" w:space="0" w:color="auto"/>
      </w:divBdr>
      <w:divsChild>
        <w:div w:id="394200965">
          <w:marLeft w:val="360"/>
          <w:marRight w:val="0"/>
          <w:marTop w:val="200"/>
          <w:marBottom w:val="0"/>
          <w:divBdr>
            <w:top w:val="none" w:sz="0" w:space="0" w:color="auto"/>
            <w:left w:val="none" w:sz="0" w:space="0" w:color="auto"/>
            <w:bottom w:val="none" w:sz="0" w:space="0" w:color="auto"/>
            <w:right w:val="none" w:sz="0" w:space="0" w:color="auto"/>
          </w:divBdr>
        </w:div>
        <w:div w:id="1748261373">
          <w:marLeft w:val="1080"/>
          <w:marRight w:val="0"/>
          <w:marTop w:val="100"/>
          <w:marBottom w:val="0"/>
          <w:divBdr>
            <w:top w:val="none" w:sz="0" w:space="0" w:color="auto"/>
            <w:left w:val="none" w:sz="0" w:space="0" w:color="auto"/>
            <w:bottom w:val="none" w:sz="0" w:space="0" w:color="auto"/>
            <w:right w:val="none" w:sz="0" w:space="0" w:color="auto"/>
          </w:divBdr>
        </w:div>
        <w:div w:id="1825930255">
          <w:marLeft w:val="360"/>
          <w:marRight w:val="0"/>
          <w:marTop w:val="200"/>
          <w:marBottom w:val="0"/>
          <w:divBdr>
            <w:top w:val="none" w:sz="0" w:space="0" w:color="auto"/>
            <w:left w:val="none" w:sz="0" w:space="0" w:color="auto"/>
            <w:bottom w:val="none" w:sz="0" w:space="0" w:color="auto"/>
            <w:right w:val="none" w:sz="0" w:space="0" w:color="auto"/>
          </w:divBdr>
        </w:div>
        <w:div w:id="1465654060">
          <w:marLeft w:val="1080"/>
          <w:marRight w:val="0"/>
          <w:marTop w:val="100"/>
          <w:marBottom w:val="0"/>
          <w:divBdr>
            <w:top w:val="none" w:sz="0" w:space="0" w:color="auto"/>
            <w:left w:val="none" w:sz="0" w:space="0" w:color="auto"/>
            <w:bottom w:val="none" w:sz="0" w:space="0" w:color="auto"/>
            <w:right w:val="none" w:sz="0" w:space="0" w:color="auto"/>
          </w:divBdr>
        </w:div>
        <w:div w:id="282461336">
          <w:marLeft w:val="1080"/>
          <w:marRight w:val="0"/>
          <w:marTop w:val="100"/>
          <w:marBottom w:val="0"/>
          <w:divBdr>
            <w:top w:val="none" w:sz="0" w:space="0" w:color="auto"/>
            <w:left w:val="none" w:sz="0" w:space="0" w:color="auto"/>
            <w:bottom w:val="none" w:sz="0" w:space="0" w:color="auto"/>
            <w:right w:val="none" w:sz="0" w:space="0" w:color="auto"/>
          </w:divBdr>
        </w:div>
        <w:div w:id="2129349743">
          <w:marLeft w:val="1080"/>
          <w:marRight w:val="0"/>
          <w:marTop w:val="100"/>
          <w:marBottom w:val="0"/>
          <w:divBdr>
            <w:top w:val="none" w:sz="0" w:space="0" w:color="auto"/>
            <w:left w:val="none" w:sz="0" w:space="0" w:color="auto"/>
            <w:bottom w:val="none" w:sz="0" w:space="0" w:color="auto"/>
            <w:right w:val="none" w:sz="0" w:space="0" w:color="auto"/>
          </w:divBdr>
        </w:div>
      </w:divsChild>
    </w:div>
    <w:div w:id="1768303739">
      <w:bodyDiv w:val="1"/>
      <w:marLeft w:val="0"/>
      <w:marRight w:val="0"/>
      <w:marTop w:val="0"/>
      <w:marBottom w:val="0"/>
      <w:divBdr>
        <w:top w:val="none" w:sz="0" w:space="0" w:color="auto"/>
        <w:left w:val="none" w:sz="0" w:space="0" w:color="auto"/>
        <w:bottom w:val="none" w:sz="0" w:space="0" w:color="auto"/>
        <w:right w:val="none" w:sz="0" w:space="0" w:color="auto"/>
      </w:divBdr>
    </w:div>
    <w:div w:id="1783496787">
      <w:bodyDiv w:val="1"/>
      <w:marLeft w:val="0"/>
      <w:marRight w:val="0"/>
      <w:marTop w:val="0"/>
      <w:marBottom w:val="0"/>
      <w:divBdr>
        <w:top w:val="none" w:sz="0" w:space="0" w:color="auto"/>
        <w:left w:val="none" w:sz="0" w:space="0" w:color="auto"/>
        <w:bottom w:val="none" w:sz="0" w:space="0" w:color="auto"/>
        <w:right w:val="none" w:sz="0" w:space="0" w:color="auto"/>
      </w:divBdr>
    </w:div>
    <w:div w:id="1847085920">
      <w:bodyDiv w:val="1"/>
      <w:marLeft w:val="0"/>
      <w:marRight w:val="0"/>
      <w:marTop w:val="0"/>
      <w:marBottom w:val="0"/>
      <w:divBdr>
        <w:top w:val="none" w:sz="0" w:space="0" w:color="auto"/>
        <w:left w:val="none" w:sz="0" w:space="0" w:color="auto"/>
        <w:bottom w:val="none" w:sz="0" w:space="0" w:color="auto"/>
        <w:right w:val="none" w:sz="0" w:space="0" w:color="auto"/>
      </w:divBdr>
      <w:divsChild>
        <w:div w:id="1828667463">
          <w:marLeft w:val="360"/>
          <w:marRight w:val="0"/>
          <w:marTop w:val="200"/>
          <w:marBottom w:val="0"/>
          <w:divBdr>
            <w:top w:val="none" w:sz="0" w:space="0" w:color="auto"/>
            <w:left w:val="none" w:sz="0" w:space="0" w:color="auto"/>
            <w:bottom w:val="none" w:sz="0" w:space="0" w:color="auto"/>
            <w:right w:val="none" w:sz="0" w:space="0" w:color="auto"/>
          </w:divBdr>
        </w:div>
      </w:divsChild>
    </w:div>
    <w:div w:id="1850173204">
      <w:bodyDiv w:val="1"/>
      <w:marLeft w:val="0"/>
      <w:marRight w:val="0"/>
      <w:marTop w:val="0"/>
      <w:marBottom w:val="0"/>
      <w:divBdr>
        <w:top w:val="none" w:sz="0" w:space="0" w:color="auto"/>
        <w:left w:val="none" w:sz="0" w:space="0" w:color="auto"/>
        <w:bottom w:val="none" w:sz="0" w:space="0" w:color="auto"/>
        <w:right w:val="none" w:sz="0" w:space="0" w:color="auto"/>
      </w:divBdr>
    </w:div>
    <w:div w:id="1861043568">
      <w:bodyDiv w:val="1"/>
      <w:marLeft w:val="0"/>
      <w:marRight w:val="0"/>
      <w:marTop w:val="0"/>
      <w:marBottom w:val="0"/>
      <w:divBdr>
        <w:top w:val="none" w:sz="0" w:space="0" w:color="auto"/>
        <w:left w:val="none" w:sz="0" w:space="0" w:color="auto"/>
        <w:bottom w:val="none" w:sz="0" w:space="0" w:color="auto"/>
        <w:right w:val="none" w:sz="0" w:space="0" w:color="auto"/>
      </w:divBdr>
      <w:divsChild>
        <w:div w:id="297688530">
          <w:marLeft w:val="360"/>
          <w:marRight w:val="0"/>
          <w:marTop w:val="200"/>
          <w:marBottom w:val="0"/>
          <w:divBdr>
            <w:top w:val="none" w:sz="0" w:space="0" w:color="auto"/>
            <w:left w:val="none" w:sz="0" w:space="0" w:color="auto"/>
            <w:bottom w:val="none" w:sz="0" w:space="0" w:color="auto"/>
            <w:right w:val="none" w:sz="0" w:space="0" w:color="auto"/>
          </w:divBdr>
        </w:div>
        <w:div w:id="335772760">
          <w:marLeft w:val="1080"/>
          <w:marRight w:val="0"/>
          <w:marTop w:val="100"/>
          <w:marBottom w:val="0"/>
          <w:divBdr>
            <w:top w:val="none" w:sz="0" w:space="0" w:color="auto"/>
            <w:left w:val="none" w:sz="0" w:space="0" w:color="auto"/>
            <w:bottom w:val="none" w:sz="0" w:space="0" w:color="auto"/>
            <w:right w:val="none" w:sz="0" w:space="0" w:color="auto"/>
          </w:divBdr>
        </w:div>
      </w:divsChild>
    </w:div>
    <w:div w:id="1887839037">
      <w:bodyDiv w:val="1"/>
      <w:marLeft w:val="0"/>
      <w:marRight w:val="0"/>
      <w:marTop w:val="0"/>
      <w:marBottom w:val="0"/>
      <w:divBdr>
        <w:top w:val="none" w:sz="0" w:space="0" w:color="auto"/>
        <w:left w:val="none" w:sz="0" w:space="0" w:color="auto"/>
        <w:bottom w:val="none" w:sz="0" w:space="0" w:color="auto"/>
        <w:right w:val="none" w:sz="0" w:space="0" w:color="auto"/>
      </w:divBdr>
    </w:div>
    <w:div w:id="1889224929">
      <w:bodyDiv w:val="1"/>
      <w:marLeft w:val="0"/>
      <w:marRight w:val="0"/>
      <w:marTop w:val="0"/>
      <w:marBottom w:val="0"/>
      <w:divBdr>
        <w:top w:val="none" w:sz="0" w:space="0" w:color="auto"/>
        <w:left w:val="none" w:sz="0" w:space="0" w:color="auto"/>
        <w:bottom w:val="none" w:sz="0" w:space="0" w:color="auto"/>
        <w:right w:val="none" w:sz="0" w:space="0" w:color="auto"/>
      </w:divBdr>
    </w:div>
    <w:div w:id="1889999173">
      <w:bodyDiv w:val="1"/>
      <w:marLeft w:val="0"/>
      <w:marRight w:val="0"/>
      <w:marTop w:val="0"/>
      <w:marBottom w:val="0"/>
      <w:divBdr>
        <w:top w:val="none" w:sz="0" w:space="0" w:color="auto"/>
        <w:left w:val="none" w:sz="0" w:space="0" w:color="auto"/>
        <w:bottom w:val="none" w:sz="0" w:space="0" w:color="auto"/>
        <w:right w:val="none" w:sz="0" w:space="0" w:color="auto"/>
      </w:divBdr>
      <w:divsChild>
        <w:div w:id="386339244">
          <w:marLeft w:val="547"/>
          <w:marRight w:val="0"/>
          <w:marTop w:val="86"/>
          <w:marBottom w:val="0"/>
          <w:divBdr>
            <w:top w:val="none" w:sz="0" w:space="0" w:color="auto"/>
            <w:left w:val="none" w:sz="0" w:space="0" w:color="auto"/>
            <w:bottom w:val="none" w:sz="0" w:space="0" w:color="auto"/>
            <w:right w:val="none" w:sz="0" w:space="0" w:color="auto"/>
          </w:divBdr>
        </w:div>
      </w:divsChild>
    </w:div>
    <w:div w:id="1892880088">
      <w:bodyDiv w:val="1"/>
      <w:marLeft w:val="0"/>
      <w:marRight w:val="0"/>
      <w:marTop w:val="0"/>
      <w:marBottom w:val="0"/>
      <w:divBdr>
        <w:top w:val="none" w:sz="0" w:space="0" w:color="auto"/>
        <w:left w:val="none" w:sz="0" w:space="0" w:color="auto"/>
        <w:bottom w:val="none" w:sz="0" w:space="0" w:color="auto"/>
        <w:right w:val="none" w:sz="0" w:space="0" w:color="auto"/>
      </w:divBdr>
    </w:div>
    <w:div w:id="1901090352">
      <w:bodyDiv w:val="1"/>
      <w:marLeft w:val="0"/>
      <w:marRight w:val="0"/>
      <w:marTop w:val="0"/>
      <w:marBottom w:val="0"/>
      <w:divBdr>
        <w:top w:val="none" w:sz="0" w:space="0" w:color="auto"/>
        <w:left w:val="none" w:sz="0" w:space="0" w:color="auto"/>
        <w:bottom w:val="none" w:sz="0" w:space="0" w:color="auto"/>
        <w:right w:val="none" w:sz="0" w:space="0" w:color="auto"/>
      </w:divBdr>
    </w:div>
    <w:div w:id="1934044024">
      <w:bodyDiv w:val="1"/>
      <w:marLeft w:val="0"/>
      <w:marRight w:val="0"/>
      <w:marTop w:val="0"/>
      <w:marBottom w:val="0"/>
      <w:divBdr>
        <w:top w:val="none" w:sz="0" w:space="0" w:color="auto"/>
        <w:left w:val="none" w:sz="0" w:space="0" w:color="auto"/>
        <w:bottom w:val="none" w:sz="0" w:space="0" w:color="auto"/>
        <w:right w:val="none" w:sz="0" w:space="0" w:color="auto"/>
      </w:divBdr>
    </w:div>
    <w:div w:id="2105490940">
      <w:bodyDiv w:val="1"/>
      <w:marLeft w:val="0"/>
      <w:marRight w:val="0"/>
      <w:marTop w:val="0"/>
      <w:marBottom w:val="0"/>
      <w:divBdr>
        <w:top w:val="none" w:sz="0" w:space="0" w:color="auto"/>
        <w:left w:val="none" w:sz="0" w:space="0" w:color="auto"/>
        <w:bottom w:val="none" w:sz="0" w:space="0" w:color="auto"/>
        <w:right w:val="none" w:sz="0" w:space="0" w:color="auto"/>
      </w:divBdr>
    </w:div>
    <w:div w:id="21105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globalfund.org/en/applying/funding/resources/" TargetMode="Externa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globalfund.org/en/applying/funding/resource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yperlink" Target="https://phaseworldwide.org/publications/national-guideline-cervical-cancer-screening-prevention-nepal/" TargetMode="External"/><Relationship Id="rId18" Type="http://schemas.openxmlformats.org/officeDocument/2006/relationships/hyperlink" Target="http://eskay.org/health-sector-financing/annual-work-planning-and-budgeting-e-awpb-1-0/" TargetMode="External"/><Relationship Id="rId3" Type="http://schemas.openxmlformats.org/officeDocument/2006/relationships/hyperlink" Target="http://www.worldbank.org/en/country/nepal" TargetMode="External"/><Relationship Id="rId7" Type="http://schemas.openxmlformats.org/officeDocument/2006/relationships/hyperlink" Target="http://nepalntp.gov.np/theme/images/uploads/1463382367NNUAL_REPORT_2015.pdf" TargetMode="External"/><Relationship Id="rId12" Type="http://schemas.openxmlformats.org/officeDocument/2006/relationships/hyperlink" Target="https://www.ncbi.nlm.nih.gov/pmc/articles/PMC4662667/" TargetMode="External"/><Relationship Id="rId17" Type="http://schemas.openxmlformats.org/officeDocument/2006/relationships/hyperlink" Target="https://www.usaid.gov/nepal/agriculture-and-food-security" TargetMode="External"/><Relationship Id="rId2" Type="http://schemas.openxmlformats.org/officeDocument/2006/relationships/hyperlink" Target="https://www.adb.org/countries/nepal/economy" TargetMode="External"/><Relationship Id="rId16" Type="http://schemas.openxmlformats.org/officeDocument/2006/relationships/hyperlink" Target="https://www.adb.org/countries/nepal/economy" TargetMode="External"/><Relationship Id="rId1" Type="http://schemas.openxmlformats.org/officeDocument/2006/relationships/hyperlink" Target="http://cbs.gov.np/image/data/Population/Population%20projection%202011-2031/PopulationProjection2011-2031.pdf" TargetMode="External"/><Relationship Id="rId6" Type="http://schemas.openxmlformats.org/officeDocument/2006/relationships/hyperlink" Target="http://www.who.int/tb/data" TargetMode="External"/><Relationship Id="rId11" Type="http://schemas.openxmlformats.org/officeDocument/2006/relationships/hyperlink" Target="http://www.who.int/tb/publications/tb-diabetes-framework/en/" TargetMode="External"/><Relationship Id="rId5" Type="http://schemas.openxmlformats.org/officeDocument/2006/relationships/hyperlink" Target="http://hdr.undp.org/sites/default/files/2016_human_development_report.pdf" TargetMode="External"/><Relationship Id="rId15" Type="http://schemas.openxmlformats.org/officeDocument/2006/relationships/hyperlink" Target="http://ceslam.org/docs/publicationManagement/STATE%20OF%20MIGRATION%20IN%20NEPAL1404964819.pdf" TargetMode="External"/><Relationship Id="rId10" Type="http://schemas.openxmlformats.org/officeDocument/2006/relationships/hyperlink" Target="http://erj.ersjournals.com/content/41/1/140" TargetMode="External"/><Relationship Id="rId4" Type="http://schemas.openxmlformats.org/officeDocument/2006/relationships/hyperlink" Target="http://beta.data.worldbank.org" TargetMode="External"/><Relationship Id="rId9" Type="http://schemas.openxmlformats.org/officeDocument/2006/relationships/hyperlink" Target="http://www.who.int/tb/post2015_strategy/en/" TargetMode="External"/><Relationship Id="rId14" Type="http://schemas.openxmlformats.org/officeDocument/2006/relationships/hyperlink" Target="http://nhssp.org.np/health_financing/NHSP2_budget_analysis_march20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en/fundingmodel/process/cofinancing/" TargetMode="External"/><Relationship Id="rId2" Type="http://schemas.openxmlformats.org/officeDocument/2006/relationships/hyperlink" Target="http://www.theglobalfund.org/en/fundingmodel/process/cofinancing/" TargetMode="External"/><Relationship Id="rId1" Type="http://schemas.openxmlformats.org/officeDocument/2006/relationships/hyperlink" Target="http://www.theglobalfund.org/en/fundingmodel/process/eligibi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Missing%20ca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Figure 3: Missing TB cases in Nepal</a:t>
            </a:r>
          </a:p>
        </c:rich>
      </c:tx>
      <c:overlay val="0"/>
      <c:spPr>
        <a:noFill/>
        <a:ln>
          <a:noFill/>
        </a:ln>
        <a:effectLst/>
      </c:spPr>
    </c:title>
    <c:autoTitleDeleted val="0"/>
    <c:plotArea>
      <c:layout/>
      <c:lineChart>
        <c:grouping val="standard"/>
        <c:varyColors val="0"/>
        <c:ser>
          <c:idx val="0"/>
          <c:order val="0"/>
          <c:tx>
            <c:strRef>
              <c:f>Sheet1!$D$3</c:f>
              <c:strCache>
                <c:ptCount val="1"/>
                <c:pt idx="0">
                  <c:v>CNR</c:v>
                </c:pt>
              </c:strCache>
            </c:strRef>
          </c:tx>
          <c:spPr>
            <a:ln w="28575" cap="rnd">
              <a:solidFill>
                <a:schemeClr val="accent1"/>
              </a:solidFill>
              <a:round/>
            </a:ln>
            <a:effectLst/>
          </c:spPr>
          <c:marker>
            <c:symbol val="none"/>
          </c:marker>
          <c:cat>
            <c:strRef>
              <c:f>Sheet1!$C$4:$C$14</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Sheet1!$D$4:$D$14</c:f>
              <c:numCache>
                <c:formatCode>0</c:formatCode>
                <c:ptCount val="11"/>
                <c:pt idx="0">
                  <c:v>128.73752478450314</c:v>
                </c:pt>
                <c:pt idx="1">
                  <c:v>128.29760901584694</c:v>
                </c:pt>
                <c:pt idx="2">
                  <c:v>126.94688580132568</c:v>
                </c:pt>
                <c:pt idx="3">
                  <c:v>133.13824190584921</c:v>
                </c:pt>
                <c:pt idx="4">
                  <c:v>135</c:v>
                </c:pt>
                <c:pt idx="5">
                  <c:v>132</c:v>
                </c:pt>
                <c:pt idx="6">
                  <c:v>134</c:v>
                </c:pt>
                <c:pt idx="7">
                  <c:v>131.0473321321829</c:v>
                </c:pt>
                <c:pt idx="8">
                  <c:v>131</c:v>
                </c:pt>
                <c:pt idx="9">
                  <c:v>120</c:v>
                </c:pt>
                <c:pt idx="10">
                  <c:v>113</c:v>
                </c:pt>
              </c:numCache>
            </c:numRef>
          </c:val>
          <c:smooth val="0"/>
          <c:extLst xmlns:c16r2="http://schemas.microsoft.com/office/drawing/2015/06/chart">
            <c:ext xmlns:c16="http://schemas.microsoft.com/office/drawing/2014/chart" uri="{C3380CC4-5D6E-409C-BE32-E72D297353CC}">
              <c16:uniqueId val="{00000000-0FD4-49F6-A144-632816781EA3}"/>
            </c:ext>
          </c:extLst>
        </c:ser>
        <c:ser>
          <c:idx val="1"/>
          <c:order val="1"/>
          <c:tx>
            <c:strRef>
              <c:f>Sheet1!$E$3</c:f>
              <c:strCache>
                <c:ptCount val="1"/>
                <c:pt idx="0">
                  <c:v>Incidence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Sheet1!$C$4:$C$14</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Sheet1!$E$4:$E$14</c:f>
              <c:numCache>
                <c:formatCode>General</c:formatCode>
                <c:ptCount val="11"/>
                <c:pt idx="0">
                  <c:v>164</c:v>
                </c:pt>
                <c:pt idx="1">
                  <c:v>164</c:v>
                </c:pt>
                <c:pt idx="2">
                  <c:v>164</c:v>
                </c:pt>
                <c:pt idx="3">
                  <c:v>164</c:v>
                </c:pt>
                <c:pt idx="4">
                  <c:v>163</c:v>
                </c:pt>
                <c:pt idx="5">
                  <c:v>162</c:v>
                </c:pt>
                <c:pt idx="6">
                  <c:v>161</c:v>
                </c:pt>
                <c:pt idx="7">
                  <c:v>159</c:v>
                </c:pt>
                <c:pt idx="8">
                  <c:v>158</c:v>
                </c:pt>
                <c:pt idx="9">
                  <c:v>156</c:v>
                </c:pt>
                <c:pt idx="10">
                  <c:v>156</c:v>
                </c:pt>
              </c:numCache>
            </c:numRef>
          </c:val>
          <c:smooth val="0"/>
          <c:extLst xmlns:c16r2="http://schemas.microsoft.com/office/drawing/2015/06/chart">
            <c:ext xmlns:c16="http://schemas.microsoft.com/office/drawing/2014/chart" uri="{C3380CC4-5D6E-409C-BE32-E72D297353CC}">
              <c16:uniqueId val="{00000001-0FD4-49F6-A144-632816781EA3}"/>
            </c:ext>
          </c:extLst>
        </c:ser>
        <c:dLbls>
          <c:showLegendKey val="0"/>
          <c:showVal val="0"/>
          <c:showCatName val="0"/>
          <c:showSerName val="0"/>
          <c:showPercent val="0"/>
          <c:showBubbleSize val="0"/>
        </c:dLbls>
        <c:marker val="1"/>
        <c:smooth val="0"/>
        <c:axId val="247394304"/>
        <c:axId val="229751552"/>
      </c:lineChart>
      <c:catAx>
        <c:axId val="2473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9751552"/>
        <c:crosses val="autoZero"/>
        <c:auto val="1"/>
        <c:lblAlgn val="ctr"/>
        <c:lblOffset val="100"/>
        <c:noMultiLvlLbl val="0"/>
      </c:catAx>
      <c:valAx>
        <c:axId val="229751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739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3NAZ7T4E3CZ3-539361286-30</_dlc_DocId>
    <_dlc_DocIdUrl xmlns="a03ac030-8fc0-429e-a59d-aec15056182b">
      <Url>https://tgf.sharepoint.com/sites/TSA2F1/A2FD/_layouts/15/DocIdRedir.aspx?ID=3NAZ7T4E3CZ3-539361286-30</Url>
      <Description>3NAZ7T4E3CZ3-539361286-30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F7C9-EDF4-4A78-BAB4-A3D4AAA6B004}">
  <ds:schemaRefs>
    <ds:schemaRef ds:uri="http://schemas.microsoft.com/sharepoint/v3/contenttype/forms"/>
  </ds:schemaRefs>
</ds:datastoreItem>
</file>

<file path=customXml/itemProps2.xml><?xml version="1.0" encoding="utf-8"?>
<ds:datastoreItem xmlns:ds="http://schemas.openxmlformats.org/officeDocument/2006/customXml" ds:itemID="{06FE221C-1554-47A9-A9BA-6CA0DD96BF8C}">
  <ds:schemaRefs>
    <ds:schemaRef ds:uri="http://schemas.microsoft.com/office/2006/metadata/properties"/>
    <ds:schemaRef ds:uri="http://schemas.microsoft.com/office/infopath/2007/PartnerControls"/>
    <ds:schemaRef ds:uri="a03ac030-8fc0-429e-a59d-aec15056182b"/>
  </ds:schemaRefs>
</ds:datastoreItem>
</file>

<file path=customXml/itemProps3.xml><?xml version="1.0" encoding="utf-8"?>
<ds:datastoreItem xmlns:ds="http://schemas.openxmlformats.org/officeDocument/2006/customXml" ds:itemID="{A1661071-9F15-4AB2-B585-DF3BF6CE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EA99D-29D3-4154-9155-88D5478349F8}">
  <ds:schemaRefs>
    <ds:schemaRef ds:uri="http://schemas.microsoft.com/sharepoint/events"/>
  </ds:schemaRefs>
</ds:datastoreItem>
</file>

<file path=customXml/itemProps5.xml><?xml version="1.0" encoding="utf-8"?>
<ds:datastoreItem xmlns:ds="http://schemas.openxmlformats.org/officeDocument/2006/customXml" ds:itemID="{D5E63E1D-89CD-4E1F-9F5D-6E997804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11709</Words>
  <Characters>66744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Funding Request_Full_ENG</vt:lpstr>
    </vt:vector>
  </TitlesOfParts>
  <Company>Save The Children</Company>
  <LinksUpToDate>false</LinksUpToDate>
  <CharactersWithSpaces>78297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Request_Full_ENG</dc:title>
  <dc:creator>Laura Stocker</dc:creator>
  <cp:lastModifiedBy>Rajan Bhattarai</cp:lastModifiedBy>
  <cp:revision>3</cp:revision>
  <cp:lastPrinted>2017-08-30T06:15:00Z</cp:lastPrinted>
  <dcterms:created xsi:type="dcterms:W3CDTF">2017-09-12T11:25:00Z</dcterms:created>
  <dcterms:modified xsi:type="dcterms:W3CDTF">2017-09-12T13:22:00Z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0x0101002714F5FB86B24744BC1AA41336D5CD4B</vt:lpwstr>
  </property>
  <property fmtid="{D5CDD505-2E9C-101B-9397-08002B2CF9AE}" pid="3" name="_dlc_DocIdItemGuid">
    <vt:lpwstr>3ed2c8ee-c62b-4346-ab96-f135469a0c0e</vt:lpwstr>
  </property>
  <property fmtid="{D5CDD505-2E9C-101B-9397-08002B2CF9AE}" pid="4" name="_dlc_DocId">
    <vt:lpwstr>3NAZ7T4E3CZ3-1392380233-471</vt:lpwstr>
  </property>
  <property fmtid="{D5CDD505-2E9C-101B-9397-08002B2CF9AE}" pid="5" name="_dlc_DocIdUrl">
    <vt:lpwstr>https://tgf.sharepoint.com/sites/TSA2F1/ASTM/_layouts/15/DocIdRedir.aspx?ID=3NAZ7T4E3CZ3-1392380233-471, 3NAZ7T4E3CZ3-1392380233-471</vt:lpwstr>
  </property>
</Properties>
</file>