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392" w:rsidRPr="000F5A61" w:rsidRDefault="00035C1E">
      <w:pPr>
        <w:rPr>
          <w:rFonts w:ascii="Arial" w:hAnsi="Arial" w:cs="Arial"/>
          <w:sz w:val="20"/>
          <w:szCs w:val="20"/>
        </w:rPr>
      </w:pPr>
      <w:r>
        <w:rPr>
          <w:rFonts w:ascii="Arial" w:hAnsi="Arial" w:cs="Arial"/>
          <w:noProof/>
          <w:sz w:val="20"/>
          <w:szCs w:val="20"/>
          <w:lang w:val="en-US"/>
        </w:rPr>
        <w:pict>
          <v:shapetype id="_x0000_t202" coordsize="21600,21600" o:spt="202" path="m,l,21600r21600,l21600,xe">
            <v:stroke joinstyle="miter"/>
            <v:path gradientshapeok="t" o:connecttype="rect"/>
          </v:shapetype>
          <v:shape id="Text Box 1" o:spid="_x0000_s1026" type="#_x0000_t202" style="position:absolute;margin-left:6.75pt;margin-top:3.25pt;width:591.75pt;height:100pt;z-index:251658241;visibility:visible;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" filled="f" stroked="f" strokeweight=".5pt">
            <v:textbox>
              <w:txbxContent>
                <w:p w:rsidR="00D36820" w:rsidRPr="00401EBB" w:rsidRDefault="00D36820" w:rsidP="00401EBB">
                  <w:pPr>
                    <w:spacing w:after="0"/>
                    <w:jc w:val="center"/>
                    <w:rPr>
                      <w:rFonts w:ascii="Arial" w:hAnsi="Arial"/>
                      <w:b/>
                      <w:color w:val="FFFFFF" w:themeColor="background1"/>
                      <w:sz w:val="56"/>
                      <w:szCs w:val="56"/>
                    </w:rPr>
                  </w:pPr>
                  <w:r w:rsidRPr="00401EBB">
                    <w:rPr>
                      <w:rFonts w:ascii="Arial" w:hAnsi="Arial"/>
                      <w:b/>
                      <w:color w:val="FFFFFF" w:themeColor="background1"/>
                      <w:sz w:val="56"/>
                      <w:szCs w:val="56"/>
                    </w:rPr>
                    <w:t>FUNDING REQUEST APPLICATION FORM</w:t>
                  </w:r>
                </w:p>
                <w:p w:rsidR="00D36820" w:rsidRPr="00AB3764" w:rsidRDefault="00D36820" w:rsidP="00401EBB">
                  <w:pPr>
                    <w:spacing w:after="0"/>
                    <w:jc w:val="center"/>
                    <w:rPr>
                      <w:rFonts w:ascii="Arial" w:hAnsi="Arial"/>
                      <w:b/>
                      <w:color w:val="FFFFFF" w:themeColor="background1"/>
                      <w:sz w:val="52"/>
                      <w:szCs w:val="52"/>
                    </w:rPr>
                  </w:pPr>
                  <w:r w:rsidRPr="00AB3764">
                    <w:rPr>
                      <w:rFonts w:ascii="Arial" w:hAnsi="Arial"/>
                      <w:b/>
                      <w:color w:val="FFFFFF" w:themeColor="background1"/>
                      <w:sz w:val="52"/>
                      <w:szCs w:val="52"/>
                    </w:rPr>
                    <w:t>F</w:t>
                  </w:r>
                  <w:r>
                    <w:rPr>
                      <w:rFonts w:ascii="Arial" w:hAnsi="Arial"/>
                      <w:b/>
                      <w:color w:val="FFFFFF" w:themeColor="background1"/>
                      <w:sz w:val="52"/>
                      <w:szCs w:val="52"/>
                    </w:rPr>
                    <w:t>ull</w:t>
                  </w:r>
                  <w:r w:rsidRPr="00AB3764">
                    <w:rPr>
                      <w:rFonts w:ascii="Arial" w:hAnsi="Arial"/>
                      <w:b/>
                      <w:color w:val="FFFFFF" w:themeColor="background1"/>
                      <w:sz w:val="52"/>
                      <w:szCs w:val="52"/>
                    </w:rPr>
                    <w:t xml:space="preserve"> R</w:t>
                  </w:r>
                  <w:r>
                    <w:rPr>
                      <w:rFonts w:ascii="Arial" w:hAnsi="Arial"/>
                      <w:b/>
                      <w:color w:val="FFFFFF" w:themeColor="background1"/>
                      <w:sz w:val="52"/>
                      <w:szCs w:val="52"/>
                    </w:rPr>
                    <w:t>eview</w:t>
                  </w:r>
                </w:p>
              </w:txbxContent>
            </v:textbox>
            <w10:wrap anchorx="page"/>
          </v:shape>
        </w:pict>
      </w:r>
      <w:r>
        <w:rPr>
          <w:rFonts w:ascii="Arial" w:hAnsi="Arial" w:cs="Arial"/>
          <w:noProof/>
          <w:sz w:val="20"/>
          <w:szCs w:val="20"/>
          <w:lang w:val="en-US"/>
        </w:rPr>
        <w:pict>
          <v:rect id="Rectangle 15" o:spid="_x0000_s1028" style="position:absolute;margin-left:-1pt;margin-top:-71.25pt;width:595.9pt;height:181.35pt;z-index:251658240;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" fillcolor="#1f497d" strokecolor="#1f4d78 [1604]" strokeweight="1pt">
            <w10:wrap anchorx="page"/>
          </v:rect>
        </w:pict>
      </w:r>
      <w:r w:rsidR="00485BE4" w:rsidRPr="000F5A61">
        <w:rPr>
          <w:rFonts w:ascii="Arial" w:hAnsi="Arial" w:cs="Arial"/>
          <w:noProof/>
          <w:sz w:val="20"/>
          <w:szCs w:val="20"/>
          <w:lang w:val="en-US"/>
        </w:rPr>
        <w:drawing>
          <wp:anchor distT="0" distB="0" distL="114300" distR="114300" simplePos="0" relativeHeight="251658242" behindDoc="0" locked="0" layoutInCell="1" allowOverlap="1">
            <wp:simplePos x="0" y="0"/>
            <wp:positionH relativeFrom="column">
              <wp:posOffset>-485140</wp:posOffset>
            </wp:positionH>
            <wp:positionV relativeFrom="paragraph">
              <wp:posOffset>-582295</wp:posOffset>
            </wp:positionV>
            <wp:extent cx="2947035" cy="44132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lish_CMYK_on_black.tif"/>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947035" cy="441325"/>
                    </a:xfrm>
                    <a:prstGeom prst="rect">
                      <a:avLst/>
                    </a:prstGeom>
                  </pic:spPr>
                </pic:pic>
              </a:graphicData>
            </a:graphic>
          </wp:anchor>
        </w:drawing>
      </w:r>
    </w:p>
    <w:p w:rsidR="00042DCA" w:rsidRPr="000F5A61" w:rsidRDefault="00042DCA">
      <w:pPr>
        <w:rPr>
          <w:rFonts w:ascii="Arial" w:hAnsi="Arial" w:cs="Arial"/>
          <w:sz w:val="20"/>
          <w:szCs w:val="20"/>
        </w:rPr>
      </w:pPr>
    </w:p>
    <w:p w:rsidR="00042DCA" w:rsidRPr="000F5A61" w:rsidRDefault="00042DCA">
      <w:pPr>
        <w:rPr>
          <w:rFonts w:ascii="Arial" w:hAnsi="Arial" w:cs="Arial"/>
          <w:sz w:val="20"/>
          <w:szCs w:val="20"/>
        </w:rPr>
      </w:pPr>
    </w:p>
    <w:p w:rsidR="00042DCA" w:rsidRPr="000F5A61" w:rsidRDefault="00042DCA">
      <w:pPr>
        <w:rPr>
          <w:rFonts w:ascii="Arial" w:hAnsi="Arial" w:cs="Arial"/>
          <w:sz w:val="20"/>
          <w:szCs w:val="20"/>
        </w:rPr>
      </w:pPr>
    </w:p>
    <w:p w:rsidR="00042DCA" w:rsidRPr="000F5A61" w:rsidRDefault="00042DCA">
      <w:pPr>
        <w:rPr>
          <w:rFonts w:ascii="Arial" w:hAnsi="Arial" w:cs="Arial"/>
          <w:sz w:val="20"/>
          <w:szCs w:val="20"/>
        </w:rPr>
      </w:pPr>
    </w:p>
    <w:p w:rsidR="00322634" w:rsidRPr="000F5A61" w:rsidRDefault="00322634">
      <w:pPr>
        <w:rPr>
          <w:rFonts w:ascii="Arial" w:hAnsi="Arial" w:cs="Arial"/>
          <w:sz w:val="20"/>
          <w:szCs w:val="20"/>
        </w:rPr>
      </w:pPr>
    </w:p>
    <w:tbl>
      <w:tblPr>
        <w:tblStyle w:val="TableGrid"/>
        <w:tblW w:w="920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tblPr>
      <w:tblGrid>
        <w:gridCol w:w="2263"/>
        <w:gridCol w:w="2127"/>
        <w:gridCol w:w="2409"/>
        <w:gridCol w:w="2410"/>
      </w:tblGrid>
      <w:tr w:rsidR="00322634" w:rsidRPr="000F5A61" w:rsidTr="00FE411C">
        <w:trPr>
          <w:trHeight w:val="558"/>
        </w:trPr>
        <w:tc>
          <w:tcPr>
            <w:tcW w:w="9209" w:type="dxa"/>
            <w:gridSpan w:val="4"/>
            <w:shd w:val="clear" w:color="auto" w:fill="1F497D"/>
            <w:vAlign w:val="center"/>
          </w:tcPr>
          <w:p w:rsidR="00322634" w:rsidRPr="000F5A61" w:rsidRDefault="00322634" w:rsidP="00005E61">
            <w:pPr>
              <w:tabs>
                <w:tab w:val="right" w:pos="-1800"/>
                <w:tab w:val="left" w:pos="1440"/>
              </w:tabs>
              <w:jc w:val="both"/>
              <w:rPr>
                <w:rFonts w:ascii="Arial" w:eastAsia="SimSun" w:hAnsi="Arial"/>
                <w:b/>
                <w:lang w:eastAsia="zh-CN"/>
              </w:rPr>
            </w:pPr>
            <w:r w:rsidRPr="000F5A61">
              <w:rPr>
                <w:rFonts w:ascii="Arial" w:eastAsia="SimSun" w:hAnsi="Arial"/>
                <w:lang w:eastAsia="zh-CN"/>
              </w:rPr>
              <w:br w:type="page"/>
            </w:r>
            <w:r w:rsidRPr="000F5A61">
              <w:rPr>
                <w:rFonts w:ascii="Arial" w:eastAsia="SimSun" w:hAnsi="Arial"/>
                <w:b/>
                <w:shd w:val="clear" w:color="auto" w:fill="1F497D"/>
                <w:lang w:eastAsia="zh-CN"/>
              </w:rPr>
              <w:t>SUMMARY INFORMATION</w:t>
            </w:r>
          </w:p>
        </w:tc>
      </w:tr>
      <w:tr w:rsidR="00322634" w:rsidRPr="000F5A61" w:rsidTr="00FE411C">
        <w:trPr>
          <w:trHeight w:val="531"/>
        </w:trPr>
        <w:tc>
          <w:tcPr>
            <w:tcW w:w="2263" w:type="dxa"/>
            <w:shd w:val="clear" w:color="auto" w:fill="F2F2F2" w:themeFill="background1" w:themeFillShade="F2"/>
            <w:vAlign w:val="center"/>
          </w:tcPr>
          <w:p w:rsidR="00322634" w:rsidRPr="000F5A61" w:rsidRDefault="00322634" w:rsidP="00005E61">
            <w:pPr>
              <w:tabs>
                <w:tab w:val="right" w:pos="-1800"/>
                <w:tab w:val="left" w:pos="1440"/>
              </w:tabs>
              <w:spacing w:after="160" w:line="259" w:lineRule="auto"/>
              <w:ind w:right="-613"/>
              <w:jc w:val="both"/>
              <w:rPr>
                <w:rFonts w:ascii="Arial" w:eastAsia="SimSun" w:hAnsi="Arial"/>
                <w:b/>
                <w:lang w:eastAsia="zh-CN"/>
              </w:rPr>
            </w:pPr>
            <w:r w:rsidRPr="000F5A61">
              <w:rPr>
                <w:rFonts w:ascii="Arial" w:eastAsia="SimSun" w:hAnsi="Arial"/>
                <w:b/>
                <w:lang w:eastAsia="zh-CN"/>
              </w:rPr>
              <w:t>Applicant</w:t>
            </w:r>
          </w:p>
        </w:tc>
        <w:tc>
          <w:tcPr>
            <w:tcW w:w="6946" w:type="dxa"/>
            <w:gridSpan w:val="3"/>
            <w:vAlign w:val="center"/>
          </w:tcPr>
          <w:p w:rsidR="00322634" w:rsidRPr="000F5A61" w:rsidRDefault="00F90B74" w:rsidP="00005E61">
            <w:pPr>
              <w:tabs>
                <w:tab w:val="right" w:pos="-1800"/>
                <w:tab w:val="left" w:pos="1440"/>
              </w:tabs>
              <w:spacing w:after="160" w:line="259" w:lineRule="auto"/>
              <w:ind w:right="-613"/>
              <w:rPr>
                <w:rFonts w:ascii="Arial" w:eastAsia="SimSun" w:hAnsi="Arial"/>
                <w:lang w:eastAsia="zh-CN"/>
              </w:rPr>
            </w:pPr>
            <w:r w:rsidRPr="000F5A61">
              <w:rPr>
                <w:rFonts w:ascii="Arial" w:eastAsia="SimSun" w:hAnsi="Arial"/>
                <w:lang w:eastAsia="zh-CN"/>
              </w:rPr>
              <w:t>Nepal</w:t>
            </w:r>
          </w:p>
        </w:tc>
      </w:tr>
      <w:tr w:rsidR="00322634" w:rsidRPr="000F5A61" w:rsidTr="00FE411C">
        <w:trPr>
          <w:trHeight w:val="552"/>
        </w:trPr>
        <w:tc>
          <w:tcPr>
            <w:tcW w:w="2263" w:type="dxa"/>
            <w:shd w:val="clear" w:color="auto" w:fill="F2F2F2" w:themeFill="background1" w:themeFillShade="F2"/>
            <w:vAlign w:val="center"/>
          </w:tcPr>
          <w:p w:rsidR="00322634" w:rsidRPr="000F5A61" w:rsidRDefault="00322634" w:rsidP="00005E61">
            <w:pPr>
              <w:tabs>
                <w:tab w:val="right" w:pos="-1800"/>
                <w:tab w:val="left" w:pos="1440"/>
              </w:tabs>
              <w:spacing w:after="160" w:line="259" w:lineRule="auto"/>
              <w:ind w:right="34"/>
              <w:rPr>
                <w:rFonts w:ascii="Arial" w:eastAsia="SimSun" w:hAnsi="Arial"/>
                <w:b/>
                <w:lang w:eastAsia="zh-CN"/>
              </w:rPr>
            </w:pPr>
            <w:r w:rsidRPr="000F5A61">
              <w:rPr>
                <w:rFonts w:ascii="Arial" w:eastAsia="SimSun" w:hAnsi="Arial"/>
                <w:b/>
                <w:bCs/>
                <w:lang w:eastAsia="zh-CN"/>
              </w:rPr>
              <w:t>Component(s)</w:t>
            </w:r>
          </w:p>
        </w:tc>
        <w:tc>
          <w:tcPr>
            <w:tcW w:w="6946" w:type="dxa"/>
            <w:gridSpan w:val="3"/>
            <w:vAlign w:val="center"/>
          </w:tcPr>
          <w:p w:rsidR="00322634" w:rsidRPr="000F5A61" w:rsidRDefault="00F90B74" w:rsidP="00005E61">
            <w:pPr>
              <w:tabs>
                <w:tab w:val="right" w:pos="-1800"/>
                <w:tab w:val="left" w:pos="1440"/>
              </w:tabs>
              <w:spacing w:after="160" w:line="259" w:lineRule="auto"/>
              <w:ind w:right="-613"/>
              <w:jc w:val="both"/>
              <w:rPr>
                <w:rFonts w:ascii="Arial" w:eastAsia="SimSun" w:hAnsi="Arial"/>
                <w:lang w:eastAsia="zh-CN"/>
              </w:rPr>
            </w:pPr>
            <w:r w:rsidRPr="000F5A61">
              <w:rPr>
                <w:rFonts w:ascii="Arial" w:eastAsia="SimSun" w:hAnsi="Arial"/>
                <w:lang w:eastAsia="zh-CN"/>
              </w:rPr>
              <w:t>Malaria</w:t>
            </w:r>
          </w:p>
        </w:tc>
      </w:tr>
      <w:tr w:rsidR="00322634" w:rsidRPr="000F5A61" w:rsidTr="00FE411C">
        <w:trPr>
          <w:trHeight w:val="560"/>
        </w:trPr>
        <w:tc>
          <w:tcPr>
            <w:tcW w:w="2263" w:type="dxa"/>
            <w:shd w:val="clear" w:color="auto" w:fill="F2F2F2" w:themeFill="background1" w:themeFillShade="F2"/>
            <w:vAlign w:val="center"/>
          </w:tcPr>
          <w:p w:rsidR="00322634" w:rsidRPr="000F5A61" w:rsidRDefault="00322634" w:rsidP="00C61560">
            <w:pPr>
              <w:tabs>
                <w:tab w:val="right" w:pos="-1800"/>
                <w:tab w:val="left" w:pos="1440"/>
              </w:tabs>
              <w:spacing w:after="160" w:line="259" w:lineRule="auto"/>
              <w:ind w:right="34"/>
              <w:rPr>
                <w:rFonts w:ascii="Arial" w:eastAsia="SimSun" w:hAnsi="Arial"/>
                <w:b/>
                <w:lang w:eastAsia="zh-CN"/>
              </w:rPr>
            </w:pPr>
            <w:r w:rsidRPr="000F5A61">
              <w:rPr>
                <w:rFonts w:ascii="Arial" w:eastAsia="SimSun" w:hAnsi="Arial"/>
                <w:b/>
                <w:lang w:eastAsia="zh-CN"/>
              </w:rPr>
              <w:t xml:space="preserve">Principal </w:t>
            </w:r>
            <w:r w:rsidR="001631BD" w:rsidRPr="000F5A61">
              <w:rPr>
                <w:rFonts w:ascii="Arial" w:eastAsia="SimSun" w:hAnsi="Arial"/>
                <w:b/>
                <w:lang w:eastAsia="zh-CN"/>
              </w:rPr>
              <w:t>R</w:t>
            </w:r>
            <w:r w:rsidRPr="000F5A61">
              <w:rPr>
                <w:rFonts w:ascii="Arial" w:eastAsia="SimSun" w:hAnsi="Arial"/>
                <w:b/>
                <w:lang w:eastAsia="zh-CN"/>
              </w:rPr>
              <w:t>ecipient(s)</w:t>
            </w:r>
          </w:p>
        </w:tc>
        <w:tc>
          <w:tcPr>
            <w:tcW w:w="6946" w:type="dxa"/>
            <w:gridSpan w:val="3"/>
            <w:vAlign w:val="center"/>
          </w:tcPr>
          <w:p w:rsidR="00322634" w:rsidRPr="000F5A61" w:rsidRDefault="00F90B74" w:rsidP="00005E61">
            <w:pPr>
              <w:tabs>
                <w:tab w:val="right" w:pos="-1800"/>
                <w:tab w:val="left" w:pos="1440"/>
              </w:tabs>
              <w:spacing w:after="160" w:line="259" w:lineRule="auto"/>
              <w:ind w:right="-613"/>
              <w:jc w:val="both"/>
              <w:rPr>
                <w:rFonts w:ascii="Arial" w:eastAsia="SimSun" w:hAnsi="Arial"/>
                <w:lang w:eastAsia="zh-CN"/>
              </w:rPr>
            </w:pPr>
            <w:r w:rsidRPr="000F5A61">
              <w:rPr>
                <w:rFonts w:ascii="Arial" w:eastAsia="SimSun" w:hAnsi="Arial"/>
                <w:lang w:eastAsia="zh-CN"/>
              </w:rPr>
              <w:t>Save the Children Federation Inc.</w:t>
            </w:r>
          </w:p>
        </w:tc>
      </w:tr>
      <w:tr w:rsidR="00322634" w:rsidRPr="000F5A61" w:rsidTr="00FE411C">
        <w:trPr>
          <w:trHeight w:val="554"/>
        </w:trPr>
        <w:tc>
          <w:tcPr>
            <w:tcW w:w="2263" w:type="dxa"/>
            <w:shd w:val="clear" w:color="auto" w:fill="F2F2F2" w:themeFill="background1" w:themeFillShade="F2"/>
            <w:vAlign w:val="center"/>
          </w:tcPr>
          <w:p w:rsidR="00322634" w:rsidRPr="000F5A61" w:rsidRDefault="00322634" w:rsidP="00C61560">
            <w:pPr>
              <w:tabs>
                <w:tab w:val="right" w:pos="-1800"/>
                <w:tab w:val="left" w:pos="1440"/>
              </w:tabs>
              <w:spacing w:after="160" w:line="259" w:lineRule="auto"/>
              <w:ind w:right="34"/>
              <w:rPr>
                <w:rFonts w:ascii="Arial" w:eastAsia="SimSun" w:hAnsi="Arial"/>
                <w:b/>
                <w:lang w:eastAsia="zh-CN"/>
              </w:rPr>
            </w:pPr>
            <w:r w:rsidRPr="000F5A61">
              <w:rPr>
                <w:rFonts w:ascii="Arial" w:eastAsia="SimSun" w:hAnsi="Arial"/>
                <w:b/>
                <w:lang w:eastAsia="zh-CN"/>
              </w:rPr>
              <w:t xml:space="preserve">Envisioned grant(s) </w:t>
            </w:r>
            <w:r w:rsidR="00C61560" w:rsidRPr="000F5A61">
              <w:rPr>
                <w:rFonts w:ascii="Arial" w:eastAsia="SimSun" w:hAnsi="Arial"/>
                <w:b/>
                <w:lang w:eastAsia="zh-CN"/>
              </w:rPr>
              <w:t>s</w:t>
            </w:r>
            <w:r w:rsidRPr="000F5A61">
              <w:rPr>
                <w:rFonts w:ascii="Arial" w:eastAsia="SimSun" w:hAnsi="Arial"/>
                <w:b/>
                <w:lang w:eastAsia="zh-CN"/>
              </w:rPr>
              <w:t xml:space="preserve">tart </w:t>
            </w:r>
            <w:r w:rsidR="00C61560" w:rsidRPr="000F5A61">
              <w:rPr>
                <w:rFonts w:ascii="Arial" w:eastAsia="SimSun" w:hAnsi="Arial"/>
                <w:b/>
                <w:lang w:eastAsia="zh-CN"/>
              </w:rPr>
              <w:t>d</w:t>
            </w:r>
            <w:r w:rsidRPr="000F5A61">
              <w:rPr>
                <w:rFonts w:ascii="Arial" w:eastAsia="SimSun" w:hAnsi="Arial"/>
                <w:b/>
                <w:lang w:eastAsia="zh-CN"/>
              </w:rPr>
              <w:t xml:space="preserve">ate </w:t>
            </w:r>
          </w:p>
        </w:tc>
        <w:tc>
          <w:tcPr>
            <w:tcW w:w="2127" w:type="dxa"/>
            <w:vAlign w:val="center"/>
          </w:tcPr>
          <w:p w:rsidR="00322634" w:rsidRPr="000F5A61" w:rsidRDefault="0047357A" w:rsidP="00005E61">
            <w:pPr>
              <w:tabs>
                <w:tab w:val="right" w:pos="-1800"/>
                <w:tab w:val="left" w:pos="1440"/>
              </w:tabs>
              <w:spacing w:after="160" w:line="259" w:lineRule="auto"/>
              <w:ind w:right="-613"/>
              <w:jc w:val="both"/>
              <w:rPr>
                <w:rFonts w:ascii="Arial" w:eastAsia="SimSun" w:hAnsi="Arial"/>
                <w:lang w:eastAsia="zh-CN"/>
              </w:rPr>
            </w:pPr>
            <w:r w:rsidRPr="000F5A61">
              <w:rPr>
                <w:rFonts w:ascii="Arial" w:eastAsia="SimSun" w:hAnsi="Arial"/>
                <w:lang w:eastAsia="zh-CN"/>
              </w:rPr>
              <w:t>1</w:t>
            </w:r>
            <w:r w:rsidR="00DD171D">
              <w:rPr>
                <w:rFonts w:ascii="Arial" w:eastAsia="SimSun" w:hAnsi="Arial"/>
                <w:lang w:eastAsia="zh-CN"/>
              </w:rPr>
              <w:t>6 March</w:t>
            </w:r>
            <w:r w:rsidR="00F90B74" w:rsidRPr="000F5A61">
              <w:rPr>
                <w:rFonts w:ascii="Arial" w:eastAsia="SimSun" w:hAnsi="Arial"/>
                <w:lang w:eastAsia="zh-CN"/>
              </w:rPr>
              <w:t xml:space="preserve"> 2018</w:t>
            </w:r>
          </w:p>
        </w:tc>
        <w:tc>
          <w:tcPr>
            <w:tcW w:w="2409" w:type="dxa"/>
            <w:shd w:val="clear" w:color="auto" w:fill="F2F2F2" w:themeFill="background1" w:themeFillShade="F2"/>
            <w:vAlign w:val="center"/>
          </w:tcPr>
          <w:p w:rsidR="00322634" w:rsidRPr="000F5A61" w:rsidRDefault="00322634" w:rsidP="00C61560">
            <w:pPr>
              <w:tabs>
                <w:tab w:val="right" w:pos="-1800"/>
                <w:tab w:val="left" w:pos="1440"/>
              </w:tabs>
              <w:spacing w:after="160" w:line="259" w:lineRule="auto"/>
              <w:ind w:right="169"/>
              <w:rPr>
                <w:rFonts w:ascii="Arial" w:eastAsia="SimSun" w:hAnsi="Arial"/>
                <w:b/>
                <w:lang w:eastAsia="zh-CN"/>
              </w:rPr>
            </w:pPr>
            <w:r w:rsidRPr="000F5A61">
              <w:rPr>
                <w:rFonts w:ascii="Arial" w:eastAsia="SimSun" w:hAnsi="Arial"/>
                <w:b/>
                <w:lang w:eastAsia="zh-CN"/>
              </w:rPr>
              <w:t xml:space="preserve">Envisioned </w:t>
            </w:r>
            <w:r w:rsidR="00C61560" w:rsidRPr="000F5A61">
              <w:rPr>
                <w:rFonts w:ascii="Arial" w:eastAsia="SimSun" w:hAnsi="Arial"/>
                <w:b/>
                <w:lang w:eastAsia="zh-CN"/>
              </w:rPr>
              <w:t>g</w:t>
            </w:r>
            <w:r w:rsidRPr="000F5A61">
              <w:rPr>
                <w:rFonts w:ascii="Arial" w:eastAsia="SimSun" w:hAnsi="Arial"/>
                <w:b/>
                <w:lang w:eastAsia="zh-CN"/>
              </w:rPr>
              <w:t xml:space="preserve">rant(s) </w:t>
            </w:r>
            <w:r w:rsidR="00C61560" w:rsidRPr="000F5A61">
              <w:rPr>
                <w:rFonts w:ascii="Arial" w:eastAsia="SimSun" w:hAnsi="Arial"/>
                <w:b/>
                <w:lang w:eastAsia="zh-CN"/>
              </w:rPr>
              <w:t>e</w:t>
            </w:r>
            <w:r w:rsidRPr="000F5A61">
              <w:rPr>
                <w:rFonts w:ascii="Arial" w:eastAsia="SimSun" w:hAnsi="Arial"/>
                <w:b/>
                <w:lang w:eastAsia="zh-CN"/>
              </w:rPr>
              <w:t xml:space="preserve">nd </w:t>
            </w:r>
            <w:r w:rsidR="00C61560" w:rsidRPr="000F5A61">
              <w:rPr>
                <w:rFonts w:ascii="Arial" w:eastAsia="SimSun" w:hAnsi="Arial"/>
                <w:b/>
                <w:lang w:eastAsia="zh-CN"/>
              </w:rPr>
              <w:t>d</w:t>
            </w:r>
            <w:r w:rsidRPr="000F5A61">
              <w:rPr>
                <w:rFonts w:ascii="Arial" w:eastAsia="SimSun" w:hAnsi="Arial"/>
                <w:b/>
                <w:lang w:eastAsia="zh-CN"/>
              </w:rPr>
              <w:t xml:space="preserve">ate </w:t>
            </w:r>
          </w:p>
        </w:tc>
        <w:tc>
          <w:tcPr>
            <w:tcW w:w="2410" w:type="dxa"/>
          </w:tcPr>
          <w:p w:rsidR="00322634" w:rsidRPr="000F5A61" w:rsidRDefault="00DD171D" w:rsidP="00005E61">
            <w:pPr>
              <w:tabs>
                <w:tab w:val="right" w:pos="-1800"/>
                <w:tab w:val="left" w:pos="1440"/>
              </w:tabs>
              <w:spacing w:after="160" w:line="259" w:lineRule="auto"/>
              <w:ind w:right="-613"/>
              <w:jc w:val="both"/>
              <w:rPr>
                <w:rFonts w:ascii="Arial" w:eastAsia="SimSun" w:hAnsi="Arial"/>
                <w:lang w:eastAsia="zh-CN"/>
              </w:rPr>
            </w:pPr>
            <w:r>
              <w:rPr>
                <w:rFonts w:ascii="Arial" w:eastAsia="SimSun" w:hAnsi="Arial"/>
                <w:lang w:eastAsia="zh-CN"/>
              </w:rPr>
              <w:t>15</w:t>
            </w:r>
            <w:r w:rsidR="00F90B74" w:rsidRPr="000F5A61">
              <w:rPr>
                <w:rFonts w:ascii="Arial" w:eastAsia="SimSun" w:hAnsi="Arial"/>
                <w:lang w:eastAsia="zh-CN"/>
              </w:rPr>
              <w:t>March 2021</w:t>
            </w:r>
          </w:p>
        </w:tc>
      </w:tr>
      <w:tr w:rsidR="008945F5" w:rsidRPr="000A1E70" w:rsidTr="00FE411C">
        <w:trPr>
          <w:trHeight w:val="562"/>
        </w:trPr>
        <w:tc>
          <w:tcPr>
            <w:tcW w:w="2263" w:type="dxa"/>
            <w:shd w:val="clear" w:color="auto" w:fill="F2F2F2" w:themeFill="background1" w:themeFillShade="F2"/>
            <w:vAlign w:val="center"/>
          </w:tcPr>
          <w:p w:rsidR="008945F5" w:rsidRPr="000F5A61" w:rsidRDefault="00A12210" w:rsidP="00C61560">
            <w:pPr>
              <w:tabs>
                <w:tab w:val="right" w:pos="-1800"/>
                <w:tab w:val="left" w:pos="1440"/>
              </w:tabs>
              <w:spacing w:after="160" w:line="259" w:lineRule="auto"/>
              <w:ind w:right="34"/>
              <w:rPr>
                <w:rFonts w:ascii="Arial" w:eastAsia="SimSun" w:hAnsi="Arial"/>
                <w:b/>
                <w:lang w:eastAsia="zh-CN"/>
              </w:rPr>
            </w:pPr>
            <w:r w:rsidRPr="000F5A61">
              <w:rPr>
                <w:rFonts w:ascii="Arial" w:eastAsia="SimSun" w:hAnsi="Arial"/>
                <w:b/>
                <w:lang w:eastAsia="zh-CN"/>
              </w:rPr>
              <w:t xml:space="preserve">Allocation </w:t>
            </w:r>
            <w:r w:rsidR="00C61560" w:rsidRPr="000F5A61">
              <w:rPr>
                <w:rFonts w:ascii="Arial" w:eastAsia="SimSun" w:hAnsi="Arial"/>
                <w:b/>
                <w:lang w:eastAsia="zh-CN"/>
              </w:rPr>
              <w:t>f</w:t>
            </w:r>
            <w:r w:rsidRPr="000F5A61">
              <w:rPr>
                <w:rFonts w:ascii="Arial" w:eastAsia="SimSun" w:hAnsi="Arial"/>
                <w:b/>
                <w:lang w:eastAsia="zh-CN"/>
              </w:rPr>
              <w:t xml:space="preserve">unding </w:t>
            </w:r>
            <w:r w:rsidR="00C61560" w:rsidRPr="000F5A61">
              <w:rPr>
                <w:rFonts w:ascii="Arial" w:eastAsia="SimSun" w:hAnsi="Arial"/>
                <w:b/>
                <w:lang w:eastAsia="zh-CN"/>
              </w:rPr>
              <w:t>r</w:t>
            </w:r>
            <w:r w:rsidRPr="000F5A61">
              <w:rPr>
                <w:rFonts w:ascii="Arial" w:eastAsia="SimSun" w:hAnsi="Arial"/>
                <w:b/>
                <w:lang w:eastAsia="zh-CN"/>
              </w:rPr>
              <w:t>equest</w:t>
            </w:r>
          </w:p>
        </w:tc>
        <w:tc>
          <w:tcPr>
            <w:tcW w:w="2127" w:type="dxa"/>
            <w:shd w:val="clear" w:color="auto" w:fill="auto"/>
            <w:vAlign w:val="center"/>
          </w:tcPr>
          <w:p w:rsidR="008945F5" w:rsidRPr="000F5A61" w:rsidRDefault="00CB708C" w:rsidP="00AD4066">
            <w:pPr>
              <w:tabs>
                <w:tab w:val="right" w:pos="-1800"/>
                <w:tab w:val="left" w:pos="1440"/>
              </w:tabs>
              <w:spacing w:after="160" w:line="259" w:lineRule="auto"/>
              <w:ind w:right="-613"/>
              <w:jc w:val="both"/>
              <w:rPr>
                <w:rFonts w:ascii="Arial" w:eastAsia="SimSun" w:hAnsi="Arial"/>
                <w:iCs/>
                <w:lang w:eastAsia="zh-CN"/>
              </w:rPr>
            </w:pPr>
            <w:r w:rsidRPr="000F5A61">
              <w:rPr>
                <w:rFonts w:ascii="Arial" w:eastAsia="SimSun" w:hAnsi="Arial"/>
                <w:iCs/>
                <w:lang w:eastAsia="zh-CN"/>
              </w:rPr>
              <w:t xml:space="preserve">US$ </w:t>
            </w:r>
            <w:r w:rsidRPr="00B1785B">
              <w:rPr>
                <w:rFonts w:ascii="Arial" w:eastAsia="SimSun" w:hAnsi="Arial"/>
                <w:iCs/>
                <w:lang w:eastAsia="zh-CN"/>
              </w:rPr>
              <w:t>4,</w:t>
            </w:r>
            <w:r w:rsidR="00AD4066" w:rsidRPr="000F5A61">
              <w:rPr>
                <w:rFonts w:ascii="Arial" w:eastAsia="SimSun" w:hAnsi="Arial"/>
                <w:iCs/>
                <w:lang w:eastAsia="zh-CN"/>
              </w:rPr>
              <w:t>208,547</w:t>
            </w:r>
          </w:p>
        </w:tc>
        <w:tc>
          <w:tcPr>
            <w:tcW w:w="2409" w:type="dxa"/>
            <w:shd w:val="clear" w:color="auto" w:fill="F2F2F2" w:themeFill="background1" w:themeFillShade="F2"/>
            <w:vAlign w:val="center"/>
          </w:tcPr>
          <w:p w:rsidR="008945F5" w:rsidRPr="000F5A61" w:rsidRDefault="00A12210" w:rsidP="008945F5">
            <w:pPr>
              <w:tabs>
                <w:tab w:val="right" w:pos="-1800"/>
                <w:tab w:val="left" w:pos="1440"/>
              </w:tabs>
              <w:spacing w:after="160" w:line="259" w:lineRule="auto"/>
              <w:ind w:right="169"/>
              <w:rPr>
                <w:rFonts w:ascii="Arial" w:eastAsia="SimSun" w:hAnsi="Arial"/>
                <w:b/>
                <w:lang w:eastAsia="zh-CN"/>
              </w:rPr>
            </w:pPr>
            <w:r w:rsidRPr="000F5A61">
              <w:rPr>
                <w:rFonts w:ascii="Arial" w:eastAsia="SimSun" w:hAnsi="Arial"/>
                <w:b/>
                <w:lang w:eastAsia="zh-CN"/>
              </w:rPr>
              <w:t>Prioritized above allocation request</w:t>
            </w:r>
          </w:p>
        </w:tc>
        <w:tc>
          <w:tcPr>
            <w:tcW w:w="2410" w:type="dxa"/>
            <w:vAlign w:val="center"/>
          </w:tcPr>
          <w:p w:rsidR="008945F5" w:rsidRPr="000A1E70" w:rsidRDefault="00CB708C" w:rsidP="0047357A">
            <w:pPr>
              <w:tabs>
                <w:tab w:val="right" w:pos="-1800"/>
                <w:tab w:val="left" w:pos="1440"/>
              </w:tabs>
              <w:spacing w:after="160" w:line="259" w:lineRule="auto"/>
              <w:ind w:right="-613"/>
              <w:jc w:val="both"/>
              <w:rPr>
                <w:rFonts w:ascii="Arial" w:eastAsia="SimSun" w:hAnsi="Arial"/>
                <w:lang w:eastAsia="zh-CN"/>
              </w:rPr>
            </w:pPr>
            <w:r w:rsidRPr="000A1E70">
              <w:rPr>
                <w:rFonts w:ascii="Arial" w:eastAsia="SimSun" w:hAnsi="Arial"/>
                <w:lang w:eastAsia="zh-CN"/>
              </w:rPr>
              <w:t xml:space="preserve">US$ </w:t>
            </w:r>
            <w:r w:rsidR="004423ED" w:rsidRPr="000A1E70">
              <w:rPr>
                <w:rFonts w:ascii="Arial" w:eastAsia="SimSun" w:hAnsi="Arial"/>
                <w:lang w:eastAsia="zh-CN"/>
              </w:rPr>
              <w:t>2</w:t>
            </w:r>
            <w:r w:rsidR="00213F60" w:rsidRPr="000A1E70">
              <w:rPr>
                <w:rFonts w:ascii="Arial" w:eastAsia="SimSun" w:hAnsi="Arial"/>
                <w:lang w:eastAsia="zh-CN"/>
              </w:rPr>
              <w:t>,433,633</w:t>
            </w:r>
          </w:p>
        </w:tc>
      </w:tr>
    </w:tbl>
    <w:p w:rsidR="00322634" w:rsidRPr="000F5A61" w:rsidRDefault="00322634" w:rsidP="00322634">
      <w:pPr>
        <w:rPr>
          <w:rFonts w:ascii="Arial" w:hAnsi="Arial" w:cs="Arial"/>
          <w:sz w:val="20"/>
          <w:szCs w:val="20"/>
        </w:rPr>
      </w:pPr>
    </w:p>
    <w:tbl>
      <w:tblPr>
        <w:tblStyle w:val="TableGrid"/>
        <w:tblW w:w="9191" w:type="dxa"/>
        <w:tblBorders>
          <w:top w:val="single" w:sz="18" w:space="0" w:color="365F91"/>
          <w:left w:val="single" w:sz="18" w:space="0" w:color="365F91"/>
          <w:bottom w:val="single" w:sz="18" w:space="0" w:color="365F91"/>
          <w:right w:val="single" w:sz="18" w:space="0" w:color="365F91"/>
          <w:insideH w:val="single" w:sz="18" w:space="0" w:color="365F91"/>
          <w:insideV w:val="single" w:sz="18" w:space="0" w:color="365F91"/>
        </w:tblBorders>
        <w:tblLook w:val="04A0"/>
      </w:tblPr>
      <w:tblGrid>
        <w:gridCol w:w="9191"/>
      </w:tblGrid>
      <w:tr w:rsidR="002C5DFD" w:rsidRPr="000F5A61" w:rsidTr="006448A4">
        <w:tc>
          <w:tcPr>
            <w:tcW w:w="9191" w:type="dxa"/>
            <w:tcBorders>
              <w:top w:val="nil"/>
              <w:left w:val="nil"/>
              <w:bottom w:val="nil"/>
              <w:right w:val="nil"/>
            </w:tcBorders>
            <w:shd w:val="clear" w:color="auto" w:fill="EEECE1"/>
          </w:tcPr>
          <w:p w:rsidR="006C093E" w:rsidRPr="000F5A61" w:rsidRDefault="002C5DFD" w:rsidP="002C5DFD">
            <w:pPr>
              <w:autoSpaceDE w:val="0"/>
              <w:autoSpaceDN w:val="0"/>
              <w:adjustRightInd w:val="0"/>
              <w:spacing w:before="120" w:after="120" w:line="259" w:lineRule="auto"/>
              <w:rPr>
                <w:rFonts w:ascii="Arial" w:hAnsi="Arial"/>
                <w:bCs/>
                <w:i/>
                <w:iCs/>
              </w:rPr>
            </w:pPr>
            <w:r w:rsidRPr="000F5A61">
              <w:rPr>
                <w:rFonts w:ascii="Arial" w:hAnsi="Arial"/>
                <w:b/>
                <w:bCs/>
                <w:i/>
                <w:iCs/>
                <w:u w:val="single"/>
              </w:rPr>
              <w:t>IMPORTANT:</w:t>
            </w:r>
          </w:p>
          <w:p w:rsidR="006C093E" w:rsidRPr="000F5A61" w:rsidRDefault="002C5DFD" w:rsidP="00FD5719">
            <w:pPr>
              <w:spacing w:after="160" w:line="259" w:lineRule="auto"/>
              <w:jc w:val="both"/>
              <w:rPr>
                <w:rFonts w:ascii="Arial" w:hAnsi="Arial"/>
                <w:bCs/>
                <w:iCs/>
              </w:rPr>
            </w:pPr>
            <w:r w:rsidRPr="000F5A61">
              <w:rPr>
                <w:rFonts w:ascii="Arial" w:hAnsi="Arial"/>
                <w:b/>
                <w:bCs/>
                <w:iCs/>
              </w:rPr>
              <w:t xml:space="preserve">To complete </w:t>
            </w:r>
            <w:r w:rsidR="006C093E" w:rsidRPr="000F5A61">
              <w:rPr>
                <w:rFonts w:ascii="Arial" w:hAnsi="Arial"/>
                <w:b/>
                <w:bCs/>
                <w:iCs/>
              </w:rPr>
              <w:t>this funding request</w:t>
            </w:r>
            <w:r w:rsidR="003F012C" w:rsidRPr="000F5A61">
              <w:rPr>
                <w:rFonts w:ascii="Arial" w:hAnsi="Arial"/>
                <w:bCs/>
                <w:iCs/>
              </w:rPr>
              <w:t>, please:</w:t>
            </w:r>
          </w:p>
          <w:p w:rsidR="004759B7" w:rsidRPr="000F5A61" w:rsidRDefault="004759B7" w:rsidP="00FD5719">
            <w:pPr>
              <w:tabs>
                <w:tab w:val="center" w:pos="4513"/>
                <w:tab w:val="right" w:pos="9026"/>
              </w:tabs>
              <w:spacing w:after="160" w:line="259" w:lineRule="auto"/>
              <w:jc w:val="both"/>
              <w:rPr>
                <w:rFonts w:ascii="Arial" w:hAnsi="Arial"/>
                <w:bCs/>
                <w:iCs/>
              </w:rPr>
            </w:pPr>
          </w:p>
          <w:p w:rsidR="003F012C" w:rsidRPr="000F5A61" w:rsidRDefault="006C093E" w:rsidP="00FD5719">
            <w:pPr>
              <w:pStyle w:val="ListParagraph"/>
              <w:numPr>
                <w:ilvl w:val="0"/>
                <w:numId w:val="12"/>
              </w:numPr>
              <w:spacing w:after="160" w:line="259" w:lineRule="auto"/>
              <w:jc w:val="both"/>
              <w:rPr>
                <w:rFonts w:ascii="Arial" w:hAnsi="Arial"/>
                <w:bCs/>
                <w:iCs/>
              </w:rPr>
            </w:pPr>
            <w:r w:rsidRPr="000F5A61">
              <w:rPr>
                <w:rFonts w:ascii="Arial" w:hAnsi="Arial"/>
                <w:bCs/>
                <w:iCs/>
              </w:rPr>
              <w:t>R</w:t>
            </w:r>
            <w:r w:rsidR="002C5DFD" w:rsidRPr="000F5A61">
              <w:rPr>
                <w:rFonts w:ascii="Arial" w:hAnsi="Arial"/>
                <w:bCs/>
                <w:iCs/>
              </w:rPr>
              <w:t>efer to</w:t>
            </w:r>
            <w:r w:rsidR="00391109" w:rsidRPr="000F5A61">
              <w:rPr>
                <w:rFonts w:ascii="Arial" w:hAnsi="Arial"/>
                <w:bCs/>
                <w:iCs/>
              </w:rPr>
              <w:t xml:space="preserve"> the</w:t>
            </w:r>
            <w:r w:rsidR="00AA2A8D" w:rsidRPr="000F5A61">
              <w:rPr>
                <w:rFonts w:ascii="Arial" w:hAnsi="Arial"/>
                <w:bCs/>
                <w:iCs/>
              </w:rPr>
              <w:t xml:space="preserve"> accompanying</w:t>
            </w:r>
            <w:r w:rsidR="003948DC" w:rsidRPr="000F5A61">
              <w:rPr>
                <w:rFonts w:ascii="Arial" w:hAnsi="Arial"/>
                <w:b/>
                <w:bCs/>
                <w:i/>
                <w:iCs/>
              </w:rPr>
              <w:t xml:space="preserve">Funding Request </w:t>
            </w:r>
            <w:r w:rsidR="002C5DFD" w:rsidRPr="000F5A61">
              <w:rPr>
                <w:rFonts w:ascii="Arial" w:hAnsi="Arial"/>
                <w:b/>
                <w:bCs/>
                <w:i/>
                <w:iCs/>
              </w:rPr>
              <w:t>Instructions</w:t>
            </w:r>
            <w:r w:rsidR="003948DC" w:rsidRPr="000F5A61">
              <w:rPr>
                <w:rFonts w:ascii="Arial" w:hAnsi="Arial"/>
                <w:b/>
                <w:bCs/>
                <w:i/>
                <w:iCs/>
              </w:rPr>
              <w:t>:</w:t>
            </w:r>
            <w:r w:rsidR="002C5DFD" w:rsidRPr="000F5A61">
              <w:rPr>
                <w:rFonts w:ascii="Arial" w:hAnsi="Arial"/>
                <w:b/>
                <w:bCs/>
                <w:i/>
                <w:iCs/>
              </w:rPr>
              <w:t xml:space="preserve"> Full Review</w:t>
            </w:r>
            <w:r w:rsidR="00AA2A8D" w:rsidRPr="000F5A61">
              <w:rPr>
                <w:rFonts w:ascii="Arial" w:hAnsi="Arial"/>
                <w:bCs/>
                <w:i/>
                <w:iCs/>
              </w:rPr>
              <w:t>;</w:t>
            </w:r>
          </w:p>
          <w:p w:rsidR="006C093E" w:rsidRPr="000F5A61" w:rsidRDefault="00391109" w:rsidP="00FD5719">
            <w:pPr>
              <w:pStyle w:val="ListParagraph"/>
              <w:numPr>
                <w:ilvl w:val="0"/>
                <w:numId w:val="12"/>
              </w:numPr>
              <w:spacing w:after="160" w:line="259" w:lineRule="auto"/>
              <w:jc w:val="both"/>
              <w:rPr>
                <w:rFonts w:ascii="Arial" w:hAnsi="Arial"/>
                <w:bCs/>
                <w:iCs/>
              </w:rPr>
            </w:pPr>
            <w:r w:rsidRPr="000F5A61">
              <w:rPr>
                <w:rFonts w:ascii="Arial" w:hAnsi="Arial"/>
                <w:bCs/>
                <w:iCs/>
              </w:rPr>
              <w:t xml:space="preserve">Refer to the Information Note for each component as relevant to the funding request, and </w:t>
            </w:r>
            <w:r w:rsidR="003F012C" w:rsidRPr="000F5A61">
              <w:rPr>
                <w:rFonts w:ascii="Arial" w:hAnsi="Arial"/>
                <w:bCs/>
                <w:iCs/>
              </w:rPr>
              <w:t>other guidance available</w:t>
            </w:r>
            <w:r w:rsidR="00005886" w:rsidRPr="000F5A61">
              <w:rPr>
                <w:rFonts w:ascii="Arial" w:hAnsi="Arial"/>
                <w:bCs/>
                <w:iCs/>
              </w:rPr>
              <w:t xml:space="preserve">, found on the </w:t>
            </w:r>
            <w:hyperlink r:id="rId13" w:history="1">
              <w:r w:rsidR="00005886" w:rsidRPr="000F5A61">
                <w:rPr>
                  <w:rStyle w:val="Hyperlink"/>
                  <w:rFonts w:ascii="Arial" w:hAnsi="Arial" w:cs="Arial"/>
                  <w:bCs/>
                  <w:iCs/>
                  <w:color w:val="auto"/>
                </w:rPr>
                <w:t>Global Fund website</w:t>
              </w:r>
            </w:hyperlink>
            <w:r w:rsidR="00005886" w:rsidRPr="000F5A61">
              <w:rPr>
                <w:rFonts w:ascii="Arial" w:eastAsiaTheme="minorHAnsi" w:hAnsi="Arial"/>
                <w:bCs/>
                <w:iCs/>
                <w:lang w:eastAsia="en-US"/>
              </w:rPr>
              <w:t>.</w:t>
            </w:r>
          </w:p>
          <w:p w:rsidR="006C093E" w:rsidRPr="000F5A61" w:rsidRDefault="006C093E" w:rsidP="00FD5719">
            <w:pPr>
              <w:pStyle w:val="ListParagraph"/>
              <w:numPr>
                <w:ilvl w:val="0"/>
                <w:numId w:val="12"/>
              </w:numPr>
              <w:spacing w:after="160" w:line="259" w:lineRule="auto"/>
              <w:jc w:val="both"/>
              <w:rPr>
                <w:rFonts w:ascii="Arial" w:hAnsi="Arial"/>
                <w:bCs/>
                <w:iCs/>
              </w:rPr>
            </w:pPr>
            <w:r w:rsidRPr="000F5A61">
              <w:rPr>
                <w:rFonts w:ascii="Arial" w:hAnsi="Arial"/>
              </w:rPr>
              <w:t>Ensure that all mandatory attachments have been completed and attached</w:t>
            </w:r>
            <w:r w:rsidR="00F57EBD" w:rsidRPr="000F5A61">
              <w:rPr>
                <w:rFonts w:ascii="Arial" w:hAnsi="Arial"/>
              </w:rPr>
              <w:t>. To assist with this, an application checklist is provided in the</w:t>
            </w:r>
            <w:r w:rsidR="00005886" w:rsidRPr="000F5A61">
              <w:rPr>
                <w:rFonts w:ascii="Arial" w:hAnsi="Arial"/>
              </w:rPr>
              <w:t xml:space="preserve"> Annex of the</w:t>
            </w:r>
            <w:r w:rsidR="00F57EBD" w:rsidRPr="000F5A61">
              <w:rPr>
                <w:rFonts w:ascii="Arial" w:hAnsi="Arial"/>
                <w:i/>
              </w:rPr>
              <w:t>Instructions</w:t>
            </w:r>
            <w:r w:rsidR="00AA2A8D" w:rsidRPr="000F5A61">
              <w:rPr>
                <w:rFonts w:ascii="Arial" w:hAnsi="Arial"/>
              </w:rPr>
              <w:t>;</w:t>
            </w:r>
          </w:p>
          <w:p w:rsidR="003F012C" w:rsidRPr="000F5A61" w:rsidRDefault="003F012C" w:rsidP="00FD5719">
            <w:pPr>
              <w:pStyle w:val="ListParagraph"/>
              <w:numPr>
                <w:ilvl w:val="0"/>
                <w:numId w:val="12"/>
              </w:numPr>
              <w:spacing w:after="160" w:line="259" w:lineRule="auto"/>
              <w:jc w:val="both"/>
              <w:rPr>
                <w:rFonts w:ascii="Arial" w:hAnsi="Arial"/>
                <w:bCs/>
                <w:iCs/>
              </w:rPr>
            </w:pPr>
            <w:r w:rsidRPr="000F5A61">
              <w:rPr>
                <w:rFonts w:ascii="Arial" w:hAnsi="Arial"/>
                <w:bCs/>
                <w:iCs/>
              </w:rPr>
              <w:t>Ensure consistency across documentation</w:t>
            </w:r>
            <w:r w:rsidR="00AA2A8D" w:rsidRPr="000F5A61">
              <w:rPr>
                <w:rFonts w:ascii="Arial" w:hAnsi="Arial"/>
                <w:bCs/>
                <w:iCs/>
              </w:rPr>
              <w:t>.</w:t>
            </w:r>
          </w:p>
          <w:p w:rsidR="004759B7" w:rsidRPr="000F5A61" w:rsidRDefault="004759B7" w:rsidP="00FD5719">
            <w:pPr>
              <w:tabs>
                <w:tab w:val="center" w:pos="4513"/>
                <w:tab w:val="right" w:pos="9026"/>
              </w:tabs>
              <w:spacing w:after="160" w:line="259" w:lineRule="auto"/>
              <w:jc w:val="both"/>
              <w:rPr>
                <w:rFonts w:ascii="Arial" w:hAnsi="Arial"/>
                <w:b/>
              </w:rPr>
            </w:pPr>
          </w:p>
          <w:p w:rsidR="00CB18B1" w:rsidRPr="000F5A61" w:rsidRDefault="00CB18B1" w:rsidP="00FD5719">
            <w:pPr>
              <w:spacing w:after="160" w:line="259" w:lineRule="auto"/>
              <w:jc w:val="both"/>
              <w:rPr>
                <w:rFonts w:ascii="Arial" w:hAnsi="Arial"/>
                <w:b/>
              </w:rPr>
            </w:pPr>
            <w:r w:rsidRPr="000F5A61">
              <w:rPr>
                <w:rFonts w:ascii="Arial" w:hAnsi="Arial"/>
                <w:b/>
              </w:rPr>
              <w:t>Appli</w:t>
            </w:r>
            <w:r w:rsidR="003F012C" w:rsidRPr="000F5A61">
              <w:rPr>
                <w:rFonts w:ascii="Arial" w:hAnsi="Arial"/>
                <w:b/>
              </w:rPr>
              <w:t xml:space="preserve">cants are encouraged to submit </w:t>
            </w:r>
            <w:r w:rsidRPr="000F5A61">
              <w:rPr>
                <w:rFonts w:ascii="Arial" w:hAnsi="Arial"/>
                <w:b/>
              </w:rPr>
              <w:t xml:space="preserve">a </w:t>
            </w:r>
            <w:r w:rsidR="00996FDF" w:rsidRPr="000F5A61">
              <w:rPr>
                <w:rFonts w:ascii="Arial" w:hAnsi="Arial"/>
                <w:b/>
              </w:rPr>
              <w:t>joint</w:t>
            </w:r>
            <w:r w:rsidRPr="000F5A61">
              <w:rPr>
                <w:rFonts w:ascii="Arial" w:hAnsi="Arial"/>
                <w:b/>
              </w:rPr>
              <w:t xml:space="preserve"> funding request </w:t>
            </w:r>
            <w:r w:rsidRPr="000F5A61">
              <w:rPr>
                <w:rFonts w:ascii="Arial" w:hAnsi="Arial"/>
              </w:rPr>
              <w:t xml:space="preserve">for eligible disease components and resilient and sustainable systems for health (RSSH). </w:t>
            </w:r>
          </w:p>
          <w:p w:rsidR="006C093E" w:rsidRPr="000F5A61" w:rsidRDefault="00CB18B1" w:rsidP="006C093E">
            <w:pPr>
              <w:autoSpaceDE w:val="0"/>
              <w:autoSpaceDN w:val="0"/>
              <w:adjustRightInd w:val="0"/>
              <w:spacing w:before="120" w:after="120"/>
              <w:rPr>
                <w:rFonts w:ascii="Arial" w:hAnsi="Arial"/>
                <w:b/>
              </w:rPr>
            </w:pPr>
            <w:r w:rsidRPr="000F5A61">
              <w:rPr>
                <w:rFonts w:ascii="Arial" w:hAnsi="Arial"/>
                <w:b/>
              </w:rPr>
              <w:t>Joint TB/HIV submissions are compulsory for a selected number of countries with highest rates of co-infection.</w:t>
            </w:r>
            <w:r w:rsidR="00485F5B" w:rsidRPr="000F5A61">
              <w:rPr>
                <w:rFonts w:ascii="Arial" w:hAnsi="Arial"/>
              </w:rPr>
              <w:t xml:space="preserve"> See the related </w:t>
            </w:r>
            <w:hyperlink r:id="rId14" w:anchor="coreinformationnotes" w:history="1">
              <w:r w:rsidR="00485F5B" w:rsidRPr="000F5A61">
                <w:rPr>
                  <w:rStyle w:val="Hyperlink"/>
                  <w:rFonts w:ascii="Arial" w:hAnsi="Arial" w:cs="Arial"/>
                  <w:color w:val="auto"/>
                </w:rPr>
                <w:t>guidance</w:t>
              </w:r>
            </w:hyperlink>
            <w:r w:rsidRPr="000F5A61">
              <w:rPr>
                <w:rFonts w:ascii="Arial" w:hAnsi="Arial"/>
              </w:rPr>
              <w:t xml:space="preserve"> for more information.</w:t>
            </w:r>
          </w:p>
        </w:tc>
      </w:tr>
    </w:tbl>
    <w:p w:rsidR="00A02D0B" w:rsidRPr="000F5A61" w:rsidRDefault="00A02D0B">
      <w:pPr>
        <w:rPr>
          <w:rFonts w:ascii="Arial" w:hAnsi="Arial" w:cs="Arial"/>
          <w:sz w:val="20"/>
          <w:szCs w:val="20"/>
        </w:rPr>
      </w:pPr>
    </w:p>
    <w:p w:rsidR="00B06168" w:rsidRPr="000F5A61" w:rsidRDefault="00B06168">
      <w:pPr>
        <w:rPr>
          <w:rFonts w:ascii="Arial" w:hAnsi="Arial" w:cs="Arial"/>
          <w:b/>
          <w:sz w:val="20"/>
          <w:szCs w:val="20"/>
        </w:rPr>
      </w:pPr>
      <w:r w:rsidRPr="000F5A61">
        <w:rPr>
          <w:rFonts w:ascii="Arial" w:hAnsi="Arial" w:cs="Arial"/>
          <w:b/>
          <w:sz w:val="20"/>
          <w:szCs w:val="20"/>
        </w:rPr>
        <w:t>This funding request includes</w:t>
      </w:r>
      <w:r w:rsidR="00AB3764" w:rsidRPr="000F5A61">
        <w:rPr>
          <w:rFonts w:ascii="Arial" w:hAnsi="Arial" w:cs="Arial"/>
          <w:b/>
          <w:sz w:val="20"/>
          <w:szCs w:val="20"/>
        </w:rPr>
        <w:t xml:space="preserve"> the following sections</w:t>
      </w:r>
      <w:r w:rsidRPr="000F5A61">
        <w:rPr>
          <w:rFonts w:ascii="Arial" w:hAnsi="Arial" w:cs="Arial"/>
          <w:b/>
          <w:sz w:val="20"/>
          <w:szCs w:val="20"/>
        </w:rPr>
        <w:t xml:space="preserve">: </w:t>
      </w:r>
    </w:p>
    <w:p w:rsidR="00322634" w:rsidRPr="000F5A61" w:rsidRDefault="00322634" w:rsidP="00B06168">
      <w:pPr>
        <w:spacing w:after="0" w:line="240" w:lineRule="auto"/>
        <w:ind w:left="567"/>
        <w:rPr>
          <w:rFonts w:ascii="Arial" w:eastAsia="Calibri" w:hAnsi="Arial" w:cs="Arial"/>
          <w:sz w:val="20"/>
          <w:szCs w:val="20"/>
          <w:lang w:val="en-US"/>
        </w:rPr>
      </w:pPr>
      <w:r w:rsidRPr="000F5A61">
        <w:rPr>
          <w:rFonts w:ascii="Arial" w:eastAsia="Calibri" w:hAnsi="Arial" w:cs="Arial"/>
          <w:b/>
          <w:sz w:val="20"/>
          <w:szCs w:val="20"/>
          <w:lang w:val="en-US"/>
        </w:rPr>
        <w:t>Section 1</w:t>
      </w:r>
      <w:r w:rsidRPr="000F5A61">
        <w:rPr>
          <w:rFonts w:ascii="Arial" w:eastAsia="Calibri" w:hAnsi="Arial" w:cs="Arial"/>
          <w:sz w:val="20"/>
          <w:szCs w:val="20"/>
          <w:lang w:val="en-US"/>
        </w:rPr>
        <w:t>: Context related to the funding request</w:t>
      </w:r>
    </w:p>
    <w:p w:rsidR="00322634" w:rsidRPr="000F5A61" w:rsidRDefault="00322634" w:rsidP="00B06168">
      <w:pPr>
        <w:spacing w:after="0" w:line="240" w:lineRule="auto"/>
        <w:ind w:left="567"/>
        <w:rPr>
          <w:rFonts w:ascii="Arial" w:eastAsia="Calibri" w:hAnsi="Arial" w:cs="Arial"/>
          <w:sz w:val="20"/>
          <w:szCs w:val="20"/>
          <w:lang w:val="en-US"/>
        </w:rPr>
      </w:pPr>
      <w:r w:rsidRPr="000F5A61">
        <w:rPr>
          <w:rFonts w:ascii="Arial" w:eastAsia="Calibri" w:hAnsi="Arial" w:cs="Arial"/>
          <w:b/>
          <w:sz w:val="20"/>
          <w:szCs w:val="20"/>
          <w:lang w:val="en-US"/>
        </w:rPr>
        <w:t>Section 2</w:t>
      </w:r>
      <w:r w:rsidRPr="000F5A61">
        <w:rPr>
          <w:rFonts w:ascii="Arial" w:eastAsia="Calibri" w:hAnsi="Arial" w:cs="Arial"/>
          <w:sz w:val="20"/>
          <w:szCs w:val="20"/>
          <w:lang w:val="en-US"/>
        </w:rPr>
        <w:t>: Program elements proposed for Global Fund support, including rationale</w:t>
      </w:r>
    </w:p>
    <w:p w:rsidR="00322634" w:rsidRPr="000F5A61" w:rsidRDefault="00322634" w:rsidP="00B06168">
      <w:pPr>
        <w:spacing w:after="0" w:line="240" w:lineRule="auto"/>
        <w:ind w:left="567"/>
        <w:rPr>
          <w:rFonts w:ascii="Arial" w:eastAsia="Calibri" w:hAnsi="Arial" w:cs="Arial"/>
          <w:sz w:val="20"/>
          <w:szCs w:val="20"/>
          <w:lang w:val="en-US"/>
        </w:rPr>
      </w:pPr>
      <w:r w:rsidRPr="000F5A61">
        <w:rPr>
          <w:rFonts w:ascii="Arial" w:eastAsia="Calibri" w:hAnsi="Arial" w:cs="Arial"/>
          <w:b/>
          <w:sz w:val="20"/>
          <w:szCs w:val="20"/>
          <w:lang w:val="en-US"/>
        </w:rPr>
        <w:t>Section 3</w:t>
      </w:r>
      <w:r w:rsidRPr="000F5A61">
        <w:rPr>
          <w:rFonts w:ascii="Arial" w:eastAsia="Calibri" w:hAnsi="Arial" w:cs="Arial"/>
          <w:sz w:val="20"/>
          <w:szCs w:val="20"/>
          <w:lang w:val="en-US"/>
        </w:rPr>
        <w:t xml:space="preserve">: </w:t>
      </w:r>
      <w:r w:rsidR="003F012C" w:rsidRPr="000F5A61">
        <w:rPr>
          <w:rFonts w:ascii="Arial" w:eastAsia="Calibri" w:hAnsi="Arial" w:cs="Arial"/>
          <w:sz w:val="20"/>
          <w:szCs w:val="20"/>
          <w:lang w:val="en-US"/>
        </w:rPr>
        <w:t>P</w:t>
      </w:r>
      <w:r w:rsidRPr="000F5A61">
        <w:rPr>
          <w:rFonts w:ascii="Arial" w:eastAsia="Calibri" w:hAnsi="Arial" w:cs="Arial"/>
          <w:sz w:val="20"/>
          <w:szCs w:val="20"/>
          <w:lang w:val="en-US"/>
        </w:rPr>
        <w:t xml:space="preserve">lanned implementation arrangements and risk mitigation measures </w:t>
      </w:r>
    </w:p>
    <w:p w:rsidR="00322634" w:rsidRPr="000F5A61" w:rsidRDefault="00322634" w:rsidP="00B06168">
      <w:pPr>
        <w:spacing w:after="0" w:line="240" w:lineRule="auto"/>
        <w:ind w:left="567"/>
        <w:rPr>
          <w:rFonts w:ascii="Arial" w:eastAsia="Calibri" w:hAnsi="Arial" w:cs="Arial"/>
          <w:sz w:val="20"/>
          <w:szCs w:val="20"/>
          <w:lang w:val="en-US"/>
        </w:rPr>
      </w:pPr>
      <w:r w:rsidRPr="000F5A61">
        <w:rPr>
          <w:rFonts w:ascii="Arial" w:eastAsia="Calibri" w:hAnsi="Arial" w:cs="Arial"/>
          <w:b/>
          <w:sz w:val="20"/>
          <w:szCs w:val="20"/>
          <w:lang w:val="en-US"/>
        </w:rPr>
        <w:t>Section 4</w:t>
      </w:r>
      <w:r w:rsidRPr="000F5A61">
        <w:rPr>
          <w:rFonts w:ascii="Arial" w:eastAsia="Calibri" w:hAnsi="Arial" w:cs="Arial"/>
          <w:sz w:val="20"/>
          <w:szCs w:val="20"/>
          <w:lang w:val="en-US"/>
        </w:rPr>
        <w:t>: Funding landscape, co-financing and sustainability</w:t>
      </w:r>
    </w:p>
    <w:p w:rsidR="00322634" w:rsidRPr="000F5A61" w:rsidRDefault="00B06168" w:rsidP="00B06168">
      <w:pPr>
        <w:spacing w:after="0" w:line="240" w:lineRule="auto"/>
        <w:ind w:left="1701" w:hanging="1134"/>
        <w:rPr>
          <w:rFonts w:ascii="Arial" w:eastAsia="Calibri" w:hAnsi="Arial" w:cs="Arial"/>
          <w:sz w:val="20"/>
          <w:szCs w:val="20"/>
          <w:lang w:val="en-US"/>
        </w:rPr>
      </w:pPr>
      <w:r w:rsidRPr="000F5A61">
        <w:rPr>
          <w:rFonts w:ascii="Arial" w:eastAsia="Calibri" w:hAnsi="Arial" w:cs="Arial"/>
          <w:b/>
          <w:sz w:val="20"/>
          <w:szCs w:val="20"/>
          <w:lang w:val="en-US"/>
        </w:rPr>
        <w:t xml:space="preserve">Section </w:t>
      </w:r>
      <w:r w:rsidR="00322634" w:rsidRPr="000F5A61">
        <w:rPr>
          <w:rFonts w:ascii="Arial" w:eastAsia="Calibri" w:hAnsi="Arial" w:cs="Arial"/>
          <w:b/>
          <w:sz w:val="20"/>
          <w:szCs w:val="20"/>
          <w:lang w:val="en-US"/>
        </w:rPr>
        <w:t>5</w:t>
      </w:r>
      <w:r w:rsidR="00322634" w:rsidRPr="000F5A61">
        <w:rPr>
          <w:rFonts w:ascii="Arial" w:eastAsia="Calibri" w:hAnsi="Arial" w:cs="Arial"/>
          <w:sz w:val="20"/>
          <w:szCs w:val="20"/>
          <w:lang w:val="en-US"/>
        </w:rPr>
        <w:t xml:space="preserve">: Prioritized </w:t>
      </w:r>
      <w:r w:rsidR="008C6C43" w:rsidRPr="000F5A61">
        <w:rPr>
          <w:rFonts w:ascii="Arial" w:eastAsia="Calibri" w:hAnsi="Arial" w:cs="Arial"/>
          <w:sz w:val="20"/>
          <w:szCs w:val="20"/>
          <w:lang w:val="en-US"/>
        </w:rPr>
        <w:t>a</w:t>
      </w:r>
      <w:r w:rsidR="00322634" w:rsidRPr="000F5A61">
        <w:rPr>
          <w:rFonts w:ascii="Arial" w:eastAsia="Calibri" w:hAnsi="Arial" w:cs="Arial"/>
          <w:sz w:val="20"/>
          <w:szCs w:val="20"/>
          <w:lang w:val="en-US"/>
        </w:rPr>
        <w:t xml:space="preserve">bove </w:t>
      </w:r>
      <w:r w:rsidR="008C6C43" w:rsidRPr="000F5A61">
        <w:rPr>
          <w:rFonts w:ascii="Arial" w:eastAsia="Calibri" w:hAnsi="Arial" w:cs="Arial"/>
          <w:sz w:val="20"/>
          <w:szCs w:val="20"/>
          <w:lang w:val="en-US"/>
        </w:rPr>
        <w:t>a</w:t>
      </w:r>
      <w:r w:rsidR="00322634" w:rsidRPr="000F5A61">
        <w:rPr>
          <w:rFonts w:ascii="Arial" w:eastAsia="Calibri" w:hAnsi="Arial" w:cs="Arial"/>
          <w:sz w:val="20"/>
          <w:szCs w:val="20"/>
          <w:lang w:val="en-US"/>
        </w:rPr>
        <w:t xml:space="preserve">llocation </w:t>
      </w:r>
      <w:r w:rsidR="008C6C43" w:rsidRPr="000F5A61">
        <w:rPr>
          <w:rFonts w:ascii="Arial" w:eastAsia="Calibri" w:hAnsi="Arial" w:cs="Arial"/>
          <w:sz w:val="20"/>
          <w:szCs w:val="20"/>
          <w:lang w:val="en-US"/>
        </w:rPr>
        <w:t>r</w:t>
      </w:r>
      <w:r w:rsidR="00AB3764" w:rsidRPr="000F5A61">
        <w:rPr>
          <w:rFonts w:ascii="Arial" w:eastAsia="Calibri" w:hAnsi="Arial" w:cs="Arial"/>
          <w:sz w:val="20"/>
          <w:szCs w:val="20"/>
          <w:lang w:val="en-US"/>
        </w:rPr>
        <w:t>equest</w:t>
      </w:r>
    </w:p>
    <w:p w:rsidR="00322634" w:rsidRPr="000F5A61" w:rsidRDefault="00322634">
      <w:pPr>
        <w:rPr>
          <w:rFonts w:ascii="Arial" w:hAnsi="Arial" w:cs="Arial"/>
          <w:sz w:val="20"/>
          <w:szCs w:val="20"/>
          <w:lang w:val="en-US"/>
        </w:rPr>
      </w:pPr>
    </w:p>
    <w:p w:rsidR="00593530" w:rsidRPr="000F5A61" w:rsidRDefault="00593530">
      <w:pPr>
        <w:rPr>
          <w:rFonts w:ascii="Arial" w:hAnsi="Arial" w:cs="Arial"/>
          <w:sz w:val="20"/>
          <w:szCs w:val="20"/>
          <w:lang w:val="en-US"/>
        </w:rPr>
      </w:pPr>
    </w:p>
    <w:p w:rsidR="00FE411C" w:rsidRPr="000F5A61" w:rsidRDefault="00FE411C">
      <w:pPr>
        <w:rPr>
          <w:rFonts w:ascii="Arial" w:hAnsi="Arial" w:cs="Arial"/>
          <w:sz w:val="20"/>
          <w:szCs w:val="20"/>
          <w:lang w:val="en-US"/>
        </w:rPr>
      </w:pPr>
      <w:r w:rsidRPr="000F5A61">
        <w:rPr>
          <w:rFonts w:ascii="Arial" w:hAnsi="Arial" w:cs="Arial"/>
          <w:sz w:val="20"/>
          <w:szCs w:val="20"/>
          <w:lang w:val="en-US"/>
        </w:rPr>
        <w:br w:type="page"/>
      </w:r>
    </w:p>
    <w:tbl>
      <w:tblPr>
        <w:tblW w:w="9356"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A0"/>
      </w:tblPr>
      <w:tblGrid>
        <w:gridCol w:w="9356"/>
      </w:tblGrid>
      <w:tr w:rsidR="00171098" w:rsidRPr="000F5A61" w:rsidTr="00171098">
        <w:trPr>
          <w:trHeight w:val="332"/>
        </w:trPr>
        <w:tc>
          <w:tcPr>
            <w:tcW w:w="9356" w:type="dxa"/>
            <w:shd w:val="clear" w:color="auto" w:fill="1F497D"/>
          </w:tcPr>
          <w:p w:rsidR="00042DCA" w:rsidRPr="000F5A61" w:rsidRDefault="00CB18B1" w:rsidP="00171098">
            <w:pPr>
              <w:spacing w:before="120" w:after="120" w:line="240" w:lineRule="auto"/>
              <w:jc w:val="both"/>
              <w:rPr>
                <w:rFonts w:ascii="Arial" w:hAnsi="Arial" w:cs="Arial"/>
                <w:b/>
                <w:bCs/>
                <w:sz w:val="20"/>
                <w:szCs w:val="20"/>
              </w:rPr>
            </w:pPr>
            <w:r w:rsidRPr="000F5A61">
              <w:rPr>
                <w:rFonts w:ascii="Arial" w:hAnsi="Arial" w:cs="Arial"/>
                <w:sz w:val="20"/>
                <w:szCs w:val="20"/>
              </w:rPr>
              <w:lastRenderedPageBreak/>
              <w:br w:type="page"/>
            </w:r>
            <w:r w:rsidR="00042DCA" w:rsidRPr="000F5A61">
              <w:rPr>
                <w:rFonts w:ascii="Arial" w:hAnsi="Arial" w:cs="Arial"/>
                <w:b/>
                <w:bCs/>
                <w:sz w:val="20"/>
                <w:szCs w:val="20"/>
                <w:shd w:val="clear" w:color="auto" w:fill="1F497D"/>
              </w:rPr>
              <w:t>SECTION 1: CONTEXT</w:t>
            </w:r>
          </w:p>
        </w:tc>
      </w:tr>
      <w:tr w:rsidR="00171098" w:rsidRPr="000F5A61" w:rsidTr="00171098">
        <w:trPr>
          <w:trHeight w:val="332"/>
        </w:trPr>
        <w:tc>
          <w:tcPr>
            <w:tcW w:w="9356" w:type="dxa"/>
            <w:shd w:val="clear" w:color="auto" w:fill="F2F2F2"/>
          </w:tcPr>
          <w:p w:rsidR="00042DCA" w:rsidRPr="000F5A61" w:rsidRDefault="001E247E" w:rsidP="00171098">
            <w:pPr>
              <w:keepNext/>
              <w:keepLines/>
              <w:spacing w:before="120" w:after="120" w:line="240" w:lineRule="auto"/>
              <w:jc w:val="both"/>
              <w:rPr>
                <w:rFonts w:ascii="Arial" w:hAnsi="Arial" w:cs="Arial"/>
                <w:b/>
                <w:bCs/>
                <w:iCs/>
                <w:sz w:val="20"/>
                <w:szCs w:val="20"/>
              </w:rPr>
            </w:pPr>
            <w:r w:rsidRPr="000F5A61">
              <w:rPr>
                <w:rFonts w:ascii="Arial" w:hAnsi="Arial" w:cs="Arial"/>
                <w:bCs/>
                <w:iCs/>
                <w:sz w:val="20"/>
                <w:szCs w:val="20"/>
              </w:rPr>
              <w:t>This section shouldcapture in a concise way relevant information on the country context.</w:t>
            </w:r>
            <w:r w:rsidR="00027F87" w:rsidRPr="000F5A61">
              <w:rPr>
                <w:rFonts w:ascii="Arial" w:eastAsia="Calibri" w:hAnsi="Arial" w:cs="Arial"/>
                <w:bCs/>
                <w:iCs/>
                <w:sz w:val="20"/>
                <w:szCs w:val="20"/>
                <w:lang w:val="en-US"/>
              </w:rPr>
              <w:t>A</w:t>
            </w:r>
            <w:r w:rsidR="00340B08" w:rsidRPr="000F5A61">
              <w:rPr>
                <w:rFonts w:ascii="Arial" w:eastAsia="Calibri" w:hAnsi="Arial" w:cs="Arial"/>
                <w:bCs/>
                <w:iCs/>
                <w:sz w:val="20"/>
                <w:szCs w:val="20"/>
                <w:lang w:val="en-US"/>
              </w:rPr>
              <w:t xml:space="preserve">ttach and refer to key contextual documentation </w:t>
            </w:r>
            <w:r w:rsidR="00CB18B1" w:rsidRPr="000F5A61">
              <w:rPr>
                <w:rFonts w:ascii="Arial" w:hAnsi="Arial" w:cs="Arial"/>
                <w:bCs/>
                <w:iCs/>
                <w:sz w:val="20"/>
                <w:szCs w:val="20"/>
              </w:rPr>
              <w:t xml:space="preserve">justifying the choice of </w:t>
            </w:r>
            <w:r w:rsidR="00042DCA" w:rsidRPr="000F5A61">
              <w:rPr>
                <w:rFonts w:ascii="Arial" w:hAnsi="Arial" w:cs="Arial"/>
                <w:bCs/>
                <w:iCs/>
                <w:sz w:val="20"/>
                <w:szCs w:val="20"/>
              </w:rPr>
              <w:t xml:space="preserve">interventions </w:t>
            </w:r>
            <w:r w:rsidR="00E12AC8" w:rsidRPr="000F5A61">
              <w:rPr>
                <w:rFonts w:ascii="Arial" w:hAnsi="Arial" w:cs="Arial"/>
                <w:bCs/>
                <w:iCs/>
                <w:sz w:val="20"/>
                <w:szCs w:val="20"/>
              </w:rPr>
              <w:t xml:space="preserve">proposed. </w:t>
            </w:r>
            <w:r w:rsidR="001C281C" w:rsidRPr="000F5A61">
              <w:rPr>
                <w:rFonts w:ascii="Arial" w:hAnsi="Arial" w:cs="Arial"/>
                <w:bCs/>
                <w:iCs/>
                <w:sz w:val="20"/>
                <w:szCs w:val="20"/>
              </w:rPr>
              <w:t xml:space="preserve">To respond, </w:t>
            </w:r>
            <w:r w:rsidR="009F54F1" w:rsidRPr="000F5A61">
              <w:rPr>
                <w:rFonts w:ascii="Arial" w:hAnsi="Arial" w:cs="Arial"/>
                <w:bCs/>
                <w:iCs/>
                <w:sz w:val="20"/>
                <w:szCs w:val="20"/>
              </w:rPr>
              <w:t xml:space="preserve">refer </w:t>
            </w:r>
            <w:r w:rsidR="00E12AC8" w:rsidRPr="000F5A61">
              <w:rPr>
                <w:rFonts w:ascii="Arial" w:eastAsia="Calibri" w:hAnsi="Arial" w:cs="Arial"/>
                <w:sz w:val="20"/>
                <w:szCs w:val="20"/>
                <w:lang w:val="en-US"/>
              </w:rPr>
              <w:t>to</w:t>
            </w:r>
            <w:r w:rsidR="006E048B" w:rsidRPr="000F5A61">
              <w:rPr>
                <w:rFonts w:ascii="Arial" w:eastAsia="Calibri" w:hAnsi="Arial" w:cs="Arial"/>
                <w:sz w:val="20"/>
                <w:szCs w:val="20"/>
                <w:lang w:val="en-US"/>
              </w:rPr>
              <w:t xml:space="preserve"> additional</w:t>
            </w:r>
            <w:r w:rsidR="00D51B37" w:rsidRPr="000F5A61">
              <w:rPr>
                <w:rFonts w:ascii="Arial" w:eastAsia="Calibri" w:hAnsi="Arial" w:cs="Arial"/>
                <w:sz w:val="20"/>
                <w:szCs w:val="20"/>
                <w:lang w:val="en-US"/>
              </w:rPr>
              <w:t xml:space="preserve"> guidance provided in the</w:t>
            </w:r>
            <w:r w:rsidR="001C281C" w:rsidRPr="000F5A61">
              <w:rPr>
                <w:rFonts w:ascii="Arial" w:hAnsi="Arial" w:cs="Arial"/>
                <w:bCs/>
                <w:i/>
                <w:iCs/>
                <w:sz w:val="20"/>
                <w:szCs w:val="20"/>
              </w:rPr>
              <w:t>Instructions</w:t>
            </w:r>
            <w:r w:rsidR="00485F5B" w:rsidRPr="000F5A61">
              <w:rPr>
                <w:rFonts w:ascii="Arial" w:eastAsia="Calibri" w:hAnsi="Arial" w:cs="Arial"/>
                <w:sz w:val="20"/>
                <w:szCs w:val="20"/>
                <w:lang w:val="en-US"/>
              </w:rPr>
              <w:t>.</w:t>
            </w:r>
          </w:p>
        </w:tc>
      </w:tr>
    </w:tbl>
    <w:p w:rsidR="00042DCA" w:rsidRPr="000F5A61" w:rsidRDefault="00042DCA" w:rsidP="00171098">
      <w:pPr>
        <w:rPr>
          <w:rFonts w:ascii="Arial" w:hAnsi="Arial" w:cs="Arial"/>
          <w:sz w:val="20"/>
          <w:szCs w:val="20"/>
        </w:rPr>
      </w:pPr>
    </w:p>
    <w:tbl>
      <w:tblPr>
        <w:tblW w:w="9417"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A0"/>
      </w:tblPr>
      <w:tblGrid>
        <w:gridCol w:w="17"/>
        <w:gridCol w:w="2251"/>
        <w:gridCol w:w="3811"/>
        <w:gridCol w:w="1406"/>
        <w:gridCol w:w="1871"/>
        <w:gridCol w:w="61"/>
      </w:tblGrid>
      <w:tr w:rsidR="00171098" w:rsidRPr="000F5A61" w:rsidTr="00171098">
        <w:trPr>
          <w:gridBefore w:val="1"/>
          <w:wBefore w:w="17" w:type="dxa"/>
          <w:trHeight w:val="274"/>
        </w:trPr>
        <w:tc>
          <w:tcPr>
            <w:tcW w:w="9400" w:type="dxa"/>
            <w:gridSpan w:val="5"/>
            <w:shd w:val="clear" w:color="auto" w:fill="C6D9F1"/>
          </w:tcPr>
          <w:p w:rsidR="00042DCA" w:rsidRPr="000F5A61" w:rsidRDefault="00042DCA" w:rsidP="00171098">
            <w:pPr>
              <w:spacing w:before="120" w:after="120" w:line="240" w:lineRule="auto"/>
              <w:jc w:val="both"/>
              <w:rPr>
                <w:rFonts w:ascii="Arial" w:eastAsia="Calibri" w:hAnsi="Arial" w:cs="Arial"/>
                <w:b/>
                <w:sz w:val="20"/>
                <w:szCs w:val="20"/>
                <w:lang w:val="en-US"/>
              </w:rPr>
            </w:pPr>
            <w:r w:rsidRPr="000F5A61">
              <w:rPr>
                <w:rFonts w:ascii="Arial" w:eastAsia="Calibri" w:hAnsi="Arial" w:cs="Arial"/>
                <w:b/>
                <w:bCs/>
                <w:sz w:val="20"/>
                <w:szCs w:val="20"/>
                <w:lang w:val="en-US"/>
              </w:rPr>
              <w:t>1.1 Key reference documents on country context</w:t>
            </w:r>
          </w:p>
        </w:tc>
      </w:tr>
      <w:tr w:rsidR="00171098" w:rsidRPr="000F5A61" w:rsidTr="00171098">
        <w:trPr>
          <w:gridAfter w:val="1"/>
          <w:wAfter w:w="61" w:type="dxa"/>
          <w:trHeight w:val="1639"/>
        </w:trPr>
        <w:tc>
          <w:tcPr>
            <w:tcW w:w="9356" w:type="dxa"/>
            <w:gridSpan w:val="5"/>
            <w:shd w:val="clear" w:color="auto" w:fill="F2F2F2" w:themeFill="background1" w:themeFillShade="F2"/>
            <w:vAlign w:val="center"/>
          </w:tcPr>
          <w:p w:rsidR="00FE411C" w:rsidRPr="000F5A61" w:rsidRDefault="001F0181" w:rsidP="00171098">
            <w:pPr>
              <w:spacing w:after="0"/>
              <w:rPr>
                <w:rFonts w:ascii="Arial" w:hAnsi="Arial" w:cs="Arial"/>
                <w:sz w:val="20"/>
                <w:szCs w:val="20"/>
              </w:rPr>
            </w:pPr>
            <w:r w:rsidRPr="000F5A61">
              <w:rPr>
                <w:rFonts w:ascii="Arial" w:eastAsia="Calibri" w:hAnsi="Arial" w:cs="Arial"/>
                <w:sz w:val="20"/>
                <w:szCs w:val="20"/>
                <w:lang w:val="en-US"/>
              </w:rPr>
              <w:t>List contextual documentation</w:t>
            </w:r>
            <w:r w:rsidR="00D31FA7" w:rsidRPr="000F5A61">
              <w:rPr>
                <w:rFonts w:ascii="Arial" w:eastAsia="Calibri" w:hAnsi="Arial" w:cs="Arial"/>
                <w:sz w:val="20"/>
                <w:szCs w:val="20"/>
                <w:lang w:val="en-US"/>
              </w:rPr>
              <w:t xml:space="preserve"> for key areas</w:t>
            </w:r>
            <w:r w:rsidR="00A47305" w:rsidRPr="000F5A61">
              <w:rPr>
                <w:rFonts w:ascii="Arial" w:eastAsia="Calibri" w:hAnsi="Arial" w:cs="Arial"/>
                <w:sz w:val="20"/>
                <w:szCs w:val="20"/>
                <w:lang w:val="en-US"/>
              </w:rPr>
              <w:t xml:space="preserve"> in the table provided below</w:t>
            </w:r>
            <w:r w:rsidRPr="000F5A61">
              <w:rPr>
                <w:rFonts w:ascii="Arial" w:eastAsia="Calibri" w:hAnsi="Arial" w:cs="Arial"/>
                <w:sz w:val="20"/>
                <w:szCs w:val="20"/>
                <w:lang w:val="en-US"/>
              </w:rPr>
              <w:t xml:space="preserve">. </w:t>
            </w:r>
            <w:r w:rsidR="00042DCA" w:rsidRPr="000F5A61">
              <w:rPr>
                <w:rFonts w:ascii="Arial" w:eastAsia="Calibri" w:hAnsi="Arial" w:cs="Arial"/>
                <w:sz w:val="20"/>
                <w:szCs w:val="20"/>
                <w:lang w:val="en-US"/>
              </w:rPr>
              <w:t>I</w:t>
            </w:r>
            <w:r w:rsidR="00BD0A83" w:rsidRPr="000F5A61">
              <w:rPr>
                <w:rFonts w:ascii="Arial" w:eastAsia="Calibri" w:hAnsi="Arial" w:cs="Arial"/>
                <w:sz w:val="20"/>
                <w:szCs w:val="20"/>
                <w:lang w:val="en-US"/>
              </w:rPr>
              <w:t>f</w:t>
            </w:r>
            <w:r w:rsidR="00042DCA" w:rsidRPr="000F5A61">
              <w:rPr>
                <w:rFonts w:ascii="Arial" w:eastAsia="Calibri" w:hAnsi="Arial" w:cs="Arial"/>
                <w:sz w:val="20"/>
                <w:szCs w:val="20"/>
                <w:lang w:val="en-US"/>
              </w:rPr>
              <w:t xml:space="preserve"> key information for effective programming is not available, </w:t>
            </w:r>
            <w:r w:rsidR="00191EA3" w:rsidRPr="000F5A61">
              <w:rPr>
                <w:rFonts w:ascii="Arial" w:eastAsia="Calibri" w:hAnsi="Arial" w:cs="Arial"/>
                <w:sz w:val="20"/>
                <w:szCs w:val="20"/>
                <w:lang w:val="en-US"/>
              </w:rPr>
              <w:t>specify</w:t>
            </w:r>
            <w:r w:rsidR="00A47305" w:rsidRPr="000F5A61">
              <w:rPr>
                <w:rFonts w:ascii="Arial" w:eastAsia="Calibri" w:hAnsi="Arial" w:cs="Arial"/>
                <w:sz w:val="20"/>
                <w:szCs w:val="20"/>
                <w:lang w:val="en-US"/>
              </w:rPr>
              <w:t xml:space="preserve"> this</w:t>
            </w:r>
            <w:r w:rsidR="00042DCA" w:rsidRPr="000F5A61">
              <w:rPr>
                <w:rFonts w:ascii="Arial" w:eastAsia="Calibri" w:hAnsi="Arial" w:cs="Arial"/>
                <w:sz w:val="20"/>
                <w:szCs w:val="20"/>
                <w:lang w:val="en-US"/>
              </w:rPr>
              <w:t xml:space="preserve"> in the </w:t>
            </w:r>
            <w:r w:rsidR="00A600FA" w:rsidRPr="000F5A61">
              <w:rPr>
                <w:rFonts w:ascii="Arial" w:eastAsia="Calibri" w:hAnsi="Arial" w:cs="Arial"/>
                <w:sz w:val="20"/>
                <w:szCs w:val="20"/>
                <w:lang w:val="en-US"/>
              </w:rPr>
              <w:t>table</w:t>
            </w:r>
            <w:r w:rsidR="00B555E1" w:rsidRPr="000F5A61">
              <w:rPr>
                <w:rFonts w:ascii="Arial" w:eastAsia="Calibri" w:hAnsi="Arial" w:cs="Arial"/>
                <w:sz w:val="20"/>
                <w:szCs w:val="20"/>
                <w:lang w:val="en-US"/>
              </w:rPr>
              <w:t xml:space="preserve"> (“N/A”)</w:t>
            </w:r>
            <w:r w:rsidR="00340B08" w:rsidRPr="000F5A61">
              <w:rPr>
                <w:rFonts w:ascii="Arial" w:eastAsia="Calibri" w:hAnsi="Arial" w:cs="Arial"/>
                <w:sz w:val="20"/>
                <w:szCs w:val="20"/>
                <w:lang w:val="en-US"/>
              </w:rPr>
              <w:t xml:space="preserve"> and </w:t>
            </w:r>
            <w:r w:rsidR="00BD0A83" w:rsidRPr="000F5A61">
              <w:rPr>
                <w:rFonts w:ascii="Arial" w:eastAsia="Calibri" w:hAnsi="Arial" w:cs="Arial"/>
                <w:sz w:val="20"/>
                <w:szCs w:val="20"/>
                <w:lang w:val="en-US"/>
              </w:rPr>
              <w:t xml:space="preserve">explain </w:t>
            </w:r>
            <w:r w:rsidR="00340B08" w:rsidRPr="000F5A61">
              <w:rPr>
                <w:rFonts w:ascii="Arial" w:eastAsia="Calibri" w:hAnsi="Arial" w:cs="Arial"/>
                <w:sz w:val="20"/>
                <w:szCs w:val="20"/>
                <w:lang w:val="en-US"/>
              </w:rPr>
              <w:t>in Section 1.2how this was dealt with withi</w:t>
            </w:r>
            <w:r w:rsidR="00A600FA" w:rsidRPr="000F5A61">
              <w:rPr>
                <w:rFonts w:ascii="Arial" w:eastAsia="Calibri" w:hAnsi="Arial" w:cs="Arial"/>
                <w:sz w:val="20"/>
                <w:szCs w:val="20"/>
                <w:lang w:val="en-US"/>
              </w:rPr>
              <w:t>n the context of the request</w:t>
            </w:r>
            <w:r w:rsidR="00BD0A83" w:rsidRPr="000F5A61">
              <w:rPr>
                <w:rFonts w:ascii="Arial" w:eastAsia="Calibri" w:hAnsi="Arial" w:cs="Arial"/>
                <w:sz w:val="20"/>
                <w:szCs w:val="20"/>
                <w:lang w:val="en-US"/>
              </w:rPr>
              <w:t xml:space="preserve">,including </w:t>
            </w:r>
            <w:r w:rsidR="00A600FA" w:rsidRPr="000F5A61">
              <w:rPr>
                <w:rFonts w:ascii="Arial" w:eastAsia="Calibri" w:hAnsi="Arial" w:cs="Arial"/>
                <w:sz w:val="20"/>
                <w:szCs w:val="20"/>
                <w:lang w:val="en-US"/>
              </w:rPr>
              <w:t>plans</w:t>
            </w:r>
            <w:r w:rsidRPr="000F5A61">
              <w:rPr>
                <w:rFonts w:ascii="Arial" w:eastAsia="Calibri" w:hAnsi="Arial" w:cs="Arial"/>
                <w:sz w:val="20"/>
                <w:szCs w:val="20"/>
                <w:lang w:val="en-US"/>
              </w:rPr>
              <w:t>,</w:t>
            </w:r>
            <w:r w:rsidR="00A600FA" w:rsidRPr="000F5A61">
              <w:rPr>
                <w:rFonts w:ascii="Arial" w:eastAsia="Calibri" w:hAnsi="Arial" w:cs="Arial"/>
                <w:sz w:val="20"/>
                <w:szCs w:val="20"/>
                <w:lang w:val="en-US"/>
              </w:rPr>
              <w:t xml:space="preserve"> if any</w:t>
            </w:r>
            <w:r w:rsidRPr="000F5A61">
              <w:rPr>
                <w:rFonts w:ascii="Arial" w:eastAsia="Calibri" w:hAnsi="Arial" w:cs="Arial"/>
                <w:sz w:val="20"/>
                <w:szCs w:val="20"/>
                <w:lang w:val="en-US"/>
              </w:rPr>
              <w:t>, to address such gaps</w:t>
            </w:r>
            <w:r w:rsidR="00A600FA" w:rsidRPr="000F5A61">
              <w:rPr>
                <w:rFonts w:ascii="Arial" w:eastAsia="Calibri" w:hAnsi="Arial" w:cs="Arial"/>
                <w:sz w:val="20"/>
                <w:szCs w:val="20"/>
                <w:lang w:val="en-US"/>
              </w:rPr>
              <w:t>.</w:t>
            </w:r>
          </w:p>
          <w:p w:rsidR="00FE411C" w:rsidRPr="000F5A61" w:rsidRDefault="00FE411C" w:rsidP="00171098">
            <w:pPr>
              <w:tabs>
                <w:tab w:val="center" w:pos="4513"/>
                <w:tab w:val="right" w:pos="9026"/>
              </w:tabs>
              <w:spacing w:after="0" w:line="240" w:lineRule="auto"/>
              <w:rPr>
                <w:rFonts w:ascii="Arial" w:hAnsi="Arial" w:cs="Arial"/>
                <w:sz w:val="20"/>
                <w:szCs w:val="20"/>
              </w:rPr>
            </w:pPr>
          </w:p>
          <w:p w:rsidR="00042DCA" w:rsidRPr="000F5A61" w:rsidRDefault="00FE411C" w:rsidP="00171098">
            <w:pPr>
              <w:spacing w:after="0"/>
              <w:rPr>
                <w:rFonts w:ascii="Arial" w:hAnsi="Arial" w:cs="Arial"/>
                <w:sz w:val="20"/>
                <w:szCs w:val="20"/>
              </w:rPr>
            </w:pPr>
            <w:r w:rsidRPr="000F5A61">
              <w:rPr>
                <w:rFonts w:ascii="Arial" w:hAnsi="Arial" w:cs="Arial"/>
                <w:sz w:val="20"/>
                <w:szCs w:val="20"/>
              </w:rPr>
              <w:t>Applicant response in table below</w:t>
            </w:r>
            <w:r w:rsidR="00997C31" w:rsidRPr="000F5A61">
              <w:rPr>
                <w:rFonts w:ascii="Arial" w:hAnsi="Arial" w:cs="Arial"/>
                <w:sz w:val="20"/>
                <w:szCs w:val="20"/>
              </w:rPr>
              <w:t>.</w:t>
            </w:r>
          </w:p>
        </w:tc>
      </w:tr>
      <w:tr w:rsidR="00171098" w:rsidRPr="000F5A61" w:rsidTr="00171098">
        <w:trPr>
          <w:gridBefore w:val="1"/>
          <w:wBefore w:w="17" w:type="dxa"/>
          <w:trHeight w:val="546"/>
        </w:trPr>
        <w:tc>
          <w:tcPr>
            <w:tcW w:w="2251" w:type="dxa"/>
            <w:shd w:val="clear" w:color="auto" w:fill="C6D9F1"/>
            <w:vAlign w:val="center"/>
          </w:tcPr>
          <w:p w:rsidR="009F54F1" w:rsidRPr="000F5A61" w:rsidRDefault="009F54F1" w:rsidP="00171098">
            <w:pPr>
              <w:spacing w:after="0" w:line="276" w:lineRule="auto"/>
              <w:rPr>
                <w:rFonts w:ascii="Arial" w:eastAsia="Calibri" w:hAnsi="Arial" w:cs="Arial"/>
                <w:b/>
                <w:sz w:val="20"/>
                <w:szCs w:val="20"/>
                <w:lang w:val="en-US"/>
              </w:rPr>
            </w:pPr>
            <w:r w:rsidRPr="000F5A61">
              <w:rPr>
                <w:rFonts w:ascii="Arial" w:eastAsia="Calibri" w:hAnsi="Arial" w:cs="Arial"/>
                <w:b/>
                <w:sz w:val="20"/>
                <w:szCs w:val="20"/>
                <w:lang w:val="en-US"/>
              </w:rPr>
              <w:t>Key area</w:t>
            </w:r>
          </w:p>
        </w:tc>
        <w:tc>
          <w:tcPr>
            <w:tcW w:w="3811" w:type="dxa"/>
            <w:shd w:val="clear" w:color="auto" w:fill="C6D9F1"/>
            <w:vAlign w:val="center"/>
          </w:tcPr>
          <w:p w:rsidR="009F54F1" w:rsidRPr="000F5A61" w:rsidRDefault="009F54F1" w:rsidP="00171098">
            <w:pPr>
              <w:spacing w:before="120" w:after="0" w:line="276" w:lineRule="auto"/>
              <w:rPr>
                <w:rFonts w:ascii="Arial" w:eastAsia="Calibri" w:hAnsi="Arial" w:cs="Arial"/>
                <w:b/>
                <w:iCs/>
                <w:sz w:val="20"/>
                <w:szCs w:val="20"/>
                <w:lang w:val="en-US"/>
              </w:rPr>
            </w:pPr>
            <w:r w:rsidRPr="000F5A61">
              <w:rPr>
                <w:rFonts w:ascii="Arial" w:eastAsia="Calibri" w:hAnsi="Arial" w:cs="Arial"/>
                <w:b/>
                <w:sz w:val="20"/>
                <w:szCs w:val="20"/>
                <w:lang w:val="en-US"/>
              </w:rPr>
              <w:t>Applicable reference document(s)</w:t>
            </w:r>
          </w:p>
        </w:tc>
        <w:tc>
          <w:tcPr>
            <w:tcW w:w="1406" w:type="dxa"/>
            <w:shd w:val="clear" w:color="auto" w:fill="C6D9F1"/>
            <w:vAlign w:val="center"/>
          </w:tcPr>
          <w:p w:rsidR="009F54F1" w:rsidRPr="000F5A61" w:rsidRDefault="009F54F1" w:rsidP="00171098">
            <w:pPr>
              <w:spacing w:before="120" w:after="0" w:line="276" w:lineRule="auto"/>
              <w:rPr>
                <w:rFonts w:ascii="Arial" w:eastAsia="Calibri" w:hAnsi="Arial" w:cs="Arial"/>
                <w:b/>
                <w:iCs/>
                <w:sz w:val="20"/>
                <w:szCs w:val="20"/>
                <w:lang w:val="fr-CH"/>
              </w:rPr>
            </w:pPr>
            <w:r w:rsidRPr="000F5A61">
              <w:rPr>
                <w:rFonts w:ascii="Arial" w:eastAsia="Calibri" w:hAnsi="Arial" w:cs="Arial"/>
                <w:b/>
                <w:iCs/>
                <w:sz w:val="20"/>
                <w:szCs w:val="20"/>
                <w:lang w:val="fr-CH"/>
              </w:rPr>
              <w:t>Relevant section(s)</w:t>
            </w:r>
            <w:r w:rsidR="00E73BE1" w:rsidRPr="000F5A61">
              <w:rPr>
                <w:rFonts w:ascii="Arial" w:eastAsia="Calibri" w:hAnsi="Arial" w:cs="Arial"/>
                <w:b/>
                <w:iCs/>
                <w:sz w:val="20"/>
                <w:szCs w:val="20"/>
                <w:lang w:val="fr-CH"/>
              </w:rPr>
              <w:t>&amp; pages nb.</w:t>
            </w:r>
          </w:p>
        </w:tc>
        <w:tc>
          <w:tcPr>
            <w:tcW w:w="1932" w:type="dxa"/>
            <w:gridSpan w:val="2"/>
            <w:shd w:val="clear" w:color="auto" w:fill="C6D9F1"/>
            <w:vAlign w:val="center"/>
          </w:tcPr>
          <w:p w:rsidR="009F54F1" w:rsidRPr="000F5A61" w:rsidRDefault="009F54F1" w:rsidP="00171098">
            <w:pPr>
              <w:spacing w:before="120" w:after="0" w:line="276" w:lineRule="auto"/>
              <w:rPr>
                <w:rFonts w:ascii="Arial" w:eastAsia="Calibri" w:hAnsi="Arial" w:cs="Arial"/>
                <w:b/>
                <w:iCs/>
                <w:sz w:val="20"/>
                <w:szCs w:val="20"/>
                <w:lang w:val="en-US"/>
              </w:rPr>
            </w:pPr>
            <w:r w:rsidRPr="000F5A61">
              <w:rPr>
                <w:rFonts w:ascii="Arial" w:eastAsia="Calibri" w:hAnsi="Arial" w:cs="Arial"/>
                <w:b/>
                <w:iCs/>
                <w:sz w:val="20"/>
                <w:szCs w:val="20"/>
                <w:lang w:val="en-US"/>
              </w:rPr>
              <w:t>N/A</w:t>
            </w:r>
          </w:p>
        </w:tc>
      </w:tr>
      <w:tr w:rsidR="00171098" w:rsidRPr="000F5A61" w:rsidTr="00171098">
        <w:trPr>
          <w:gridBefore w:val="1"/>
          <w:wBefore w:w="17" w:type="dxa"/>
          <w:trHeight w:val="443"/>
        </w:trPr>
        <w:tc>
          <w:tcPr>
            <w:tcW w:w="9400" w:type="dxa"/>
            <w:gridSpan w:val="5"/>
            <w:shd w:val="clear" w:color="auto" w:fill="F2F2F2" w:themeFill="background1" w:themeFillShade="F2"/>
            <w:vAlign w:val="center"/>
          </w:tcPr>
          <w:p w:rsidR="00B50C6D" w:rsidRPr="000F5A61" w:rsidRDefault="00B50C6D" w:rsidP="00171098">
            <w:pPr>
              <w:spacing w:before="120" w:after="120" w:line="240" w:lineRule="auto"/>
              <w:rPr>
                <w:rFonts w:ascii="Arial" w:eastAsia="SimSun" w:hAnsi="Arial" w:cs="Arial"/>
                <w:b/>
                <w:sz w:val="20"/>
                <w:szCs w:val="20"/>
                <w:lang w:val="en-US" w:eastAsia="zh-CN"/>
              </w:rPr>
            </w:pPr>
            <w:r w:rsidRPr="000F5A61">
              <w:rPr>
                <w:rFonts w:ascii="Arial" w:eastAsia="Calibri" w:hAnsi="Arial" w:cs="Arial"/>
                <w:b/>
                <w:sz w:val="20"/>
                <w:szCs w:val="20"/>
                <w:lang w:val="en-US"/>
              </w:rPr>
              <w:t>Resilient and Sustainable Systems for Health (RSSH)</w:t>
            </w:r>
          </w:p>
        </w:tc>
      </w:tr>
      <w:tr w:rsidR="00171098" w:rsidRPr="000F5A61" w:rsidTr="00171098">
        <w:trPr>
          <w:gridBefore w:val="1"/>
          <w:wBefore w:w="17" w:type="dxa"/>
          <w:trHeight w:val="393"/>
        </w:trPr>
        <w:tc>
          <w:tcPr>
            <w:tcW w:w="2251" w:type="dxa"/>
            <w:shd w:val="clear" w:color="auto" w:fill="F2F2F2" w:themeFill="background1" w:themeFillShade="F2"/>
            <w:vAlign w:val="center"/>
          </w:tcPr>
          <w:p w:rsidR="009F54F1" w:rsidRPr="000F5A61" w:rsidRDefault="009F54F1" w:rsidP="00171098">
            <w:pPr>
              <w:tabs>
                <w:tab w:val="left" w:pos="360"/>
              </w:tabs>
              <w:spacing w:after="0" w:line="276" w:lineRule="auto"/>
              <w:ind w:right="-54"/>
              <w:contextualSpacing/>
              <w:rPr>
                <w:rFonts w:ascii="Arial" w:eastAsia="Calibri" w:hAnsi="Arial" w:cs="Arial"/>
                <w:bCs/>
                <w:iCs/>
                <w:sz w:val="20"/>
                <w:szCs w:val="20"/>
                <w:lang w:val="en-US"/>
              </w:rPr>
            </w:pPr>
            <w:r w:rsidRPr="000F5A61">
              <w:rPr>
                <w:rFonts w:ascii="Arial" w:eastAsia="Calibri" w:hAnsi="Arial" w:cs="Arial"/>
                <w:sz w:val="20"/>
                <w:szCs w:val="20"/>
                <w:lang w:val="en-US"/>
              </w:rPr>
              <w:t>Health system overview</w:t>
            </w:r>
          </w:p>
        </w:tc>
        <w:tc>
          <w:tcPr>
            <w:tcW w:w="3811" w:type="dxa"/>
          </w:tcPr>
          <w:p w:rsidR="009F54F1" w:rsidRPr="000F5A61" w:rsidRDefault="008B1AD7" w:rsidP="00A666AF">
            <w:pPr>
              <w:tabs>
                <w:tab w:val="left" w:pos="338"/>
              </w:tabs>
              <w:spacing w:after="0" w:line="276" w:lineRule="auto"/>
              <w:ind w:right="-54"/>
              <w:contextualSpacing/>
              <w:rPr>
                <w:rFonts w:ascii="Arial" w:eastAsia="Calibri" w:hAnsi="Arial" w:cs="Arial"/>
                <w:bCs/>
                <w:iCs/>
                <w:sz w:val="20"/>
                <w:szCs w:val="20"/>
                <w:lang w:val="en-US"/>
              </w:rPr>
            </w:pPr>
            <w:r w:rsidRPr="000F5A61">
              <w:rPr>
                <w:rFonts w:ascii="Arial" w:eastAsia="Calibri" w:hAnsi="Arial" w:cs="Arial"/>
                <w:bCs/>
                <w:iCs/>
                <w:sz w:val="20"/>
                <w:szCs w:val="20"/>
                <w:lang w:val="en-US"/>
              </w:rPr>
              <w:t xml:space="preserve">Annex 1. </w:t>
            </w:r>
            <w:r w:rsidR="00A666AF" w:rsidRPr="000F5A61">
              <w:rPr>
                <w:rFonts w:ascii="Arial" w:eastAsia="Calibri" w:hAnsi="Arial" w:cs="Arial"/>
                <w:bCs/>
                <w:iCs/>
                <w:sz w:val="20"/>
                <w:szCs w:val="20"/>
                <w:lang w:val="en-US"/>
              </w:rPr>
              <w:t>Annual Report, Department of Health Services, 2015-16, Ministry of Health, Government of Nepal. [http://dohs.gov.np/wp-content/uploads/2017/06/DoHS_Annual_Report_2072_73.pdf]</w:t>
            </w:r>
          </w:p>
        </w:tc>
        <w:tc>
          <w:tcPr>
            <w:tcW w:w="1406" w:type="dxa"/>
            <w:vAlign w:val="center"/>
          </w:tcPr>
          <w:p w:rsidR="009F54F1" w:rsidRPr="000F5A61" w:rsidRDefault="00A666AF" w:rsidP="00A666AF">
            <w:pPr>
              <w:spacing w:after="0" w:line="276" w:lineRule="auto"/>
              <w:jc w:val="center"/>
              <w:rPr>
                <w:rFonts w:ascii="Arial" w:eastAsia="Calibri" w:hAnsi="Arial" w:cs="Arial"/>
                <w:bCs/>
                <w:iCs/>
                <w:sz w:val="20"/>
                <w:szCs w:val="20"/>
                <w:lang w:val="en-US"/>
              </w:rPr>
            </w:pPr>
            <w:r w:rsidRPr="000F5A61">
              <w:rPr>
                <w:rFonts w:ascii="Arial" w:eastAsia="Calibri" w:hAnsi="Arial" w:cs="Arial"/>
                <w:bCs/>
                <w:iCs/>
                <w:sz w:val="20"/>
                <w:szCs w:val="20"/>
                <w:lang w:val="en-US"/>
              </w:rPr>
              <w:t>XXIII-XXVI</w:t>
            </w:r>
          </w:p>
        </w:tc>
        <w:tc>
          <w:tcPr>
            <w:tcW w:w="1932" w:type="dxa"/>
            <w:gridSpan w:val="2"/>
            <w:vAlign w:val="center"/>
          </w:tcPr>
          <w:p w:rsidR="009F54F1" w:rsidRPr="000F5A61" w:rsidRDefault="00035C1E" w:rsidP="00171098">
            <w:pPr>
              <w:spacing w:after="0" w:line="240" w:lineRule="auto"/>
              <w:jc w:val="center"/>
              <w:rPr>
                <w:rFonts w:ascii="Arial" w:eastAsia="SimSun" w:hAnsi="Arial" w:cs="Arial"/>
                <w:b/>
                <w:sz w:val="20"/>
                <w:szCs w:val="20"/>
                <w:lang w:val="en-US" w:eastAsia="zh-CN"/>
              </w:rPr>
            </w:pPr>
            <w:sdt>
              <w:sdtPr>
                <w:rPr>
                  <w:rFonts w:ascii="Arial" w:eastAsia="Calibri" w:hAnsi="Arial" w:cs="Arial"/>
                  <w:bCs/>
                  <w:iCs/>
                  <w:sz w:val="20"/>
                  <w:szCs w:val="20"/>
                  <w:lang w:val="en-US"/>
                </w:rPr>
                <w:id w:val="1463616910"/>
              </w:sdtPr>
              <w:sdtContent>
                <w:r w:rsidR="00972638" w:rsidRPr="000F5A61">
                  <w:rPr>
                    <w:rFonts w:ascii="Arial" w:eastAsia="MS Gothic" w:hAnsi="Arial" w:cs="Arial"/>
                    <w:bCs/>
                    <w:iCs/>
                    <w:sz w:val="20"/>
                    <w:szCs w:val="20"/>
                    <w:lang w:val="en-US"/>
                  </w:rPr>
                  <w:t>☐</w:t>
                </w:r>
              </w:sdtContent>
            </w:sdt>
          </w:p>
        </w:tc>
      </w:tr>
      <w:tr w:rsidR="00171098" w:rsidRPr="000F5A61" w:rsidTr="00171098">
        <w:trPr>
          <w:gridBefore w:val="1"/>
          <w:wBefore w:w="17" w:type="dxa"/>
          <w:trHeight w:val="413"/>
        </w:trPr>
        <w:tc>
          <w:tcPr>
            <w:tcW w:w="2251" w:type="dxa"/>
            <w:shd w:val="clear" w:color="auto" w:fill="F2F2F2" w:themeFill="background1" w:themeFillShade="F2"/>
            <w:vAlign w:val="center"/>
          </w:tcPr>
          <w:p w:rsidR="009F54F1" w:rsidRPr="000F5A61" w:rsidRDefault="009F54F1" w:rsidP="00171098">
            <w:pPr>
              <w:tabs>
                <w:tab w:val="left" w:pos="360"/>
              </w:tabs>
              <w:spacing w:after="0" w:line="276" w:lineRule="auto"/>
              <w:contextualSpacing/>
              <w:rPr>
                <w:rFonts w:ascii="Arial" w:eastAsia="Calibri" w:hAnsi="Arial" w:cs="Arial"/>
                <w:bCs/>
                <w:iCs/>
                <w:sz w:val="20"/>
                <w:szCs w:val="20"/>
                <w:lang w:val="en-US"/>
              </w:rPr>
            </w:pPr>
            <w:r w:rsidRPr="000F5A61">
              <w:rPr>
                <w:rFonts w:ascii="Arial" w:eastAsia="Calibri" w:hAnsi="Arial" w:cs="Arial"/>
                <w:sz w:val="20"/>
                <w:szCs w:val="20"/>
                <w:lang w:val="en-US"/>
              </w:rPr>
              <w:t>Health system strategy</w:t>
            </w:r>
          </w:p>
        </w:tc>
        <w:tc>
          <w:tcPr>
            <w:tcW w:w="3811" w:type="dxa"/>
          </w:tcPr>
          <w:p w:rsidR="00A666AF" w:rsidRPr="000F5A61" w:rsidRDefault="008B1AD7" w:rsidP="00A666AF">
            <w:pPr>
              <w:tabs>
                <w:tab w:val="left" w:pos="338"/>
              </w:tabs>
              <w:spacing w:after="0" w:line="276" w:lineRule="auto"/>
              <w:contextualSpacing/>
              <w:rPr>
                <w:rFonts w:ascii="Arial" w:eastAsia="Calibri" w:hAnsi="Arial" w:cs="Arial"/>
                <w:bCs/>
                <w:iCs/>
                <w:sz w:val="20"/>
                <w:szCs w:val="20"/>
                <w:lang w:val="en-US"/>
              </w:rPr>
            </w:pPr>
            <w:r w:rsidRPr="000F5A61">
              <w:rPr>
                <w:rFonts w:ascii="Arial" w:eastAsia="Calibri" w:hAnsi="Arial" w:cs="Arial"/>
                <w:bCs/>
                <w:iCs/>
                <w:sz w:val="20"/>
                <w:szCs w:val="20"/>
                <w:lang w:val="en-US"/>
              </w:rPr>
              <w:t xml:space="preserve">Annex 2. </w:t>
            </w:r>
            <w:r w:rsidR="00A666AF" w:rsidRPr="000F5A61">
              <w:rPr>
                <w:rFonts w:ascii="Arial" w:eastAsia="Calibri" w:hAnsi="Arial" w:cs="Arial"/>
                <w:bCs/>
                <w:iCs/>
                <w:sz w:val="20"/>
                <w:szCs w:val="20"/>
                <w:lang w:val="en-US"/>
              </w:rPr>
              <w:t xml:space="preserve">Nepal Health Sector Strategy, 2015-20. Ministry of Health and Population, Government of Nepal, 2015. </w:t>
            </w:r>
          </w:p>
          <w:p w:rsidR="00A666AF" w:rsidRPr="000F5A61" w:rsidRDefault="00A666AF" w:rsidP="00A666AF">
            <w:pPr>
              <w:tabs>
                <w:tab w:val="left" w:pos="338"/>
                <w:tab w:val="center" w:pos="4513"/>
                <w:tab w:val="right" w:pos="9026"/>
              </w:tabs>
              <w:spacing w:after="0" w:line="276" w:lineRule="auto"/>
              <w:contextualSpacing/>
              <w:rPr>
                <w:rFonts w:ascii="Arial" w:eastAsia="Calibri" w:hAnsi="Arial" w:cs="Arial"/>
                <w:bCs/>
                <w:iCs/>
                <w:sz w:val="20"/>
                <w:szCs w:val="20"/>
                <w:lang w:val="en-US"/>
              </w:rPr>
            </w:pPr>
          </w:p>
          <w:p w:rsidR="009F54F1" w:rsidRPr="000F5A61" w:rsidRDefault="008B1AD7" w:rsidP="008B1AD7">
            <w:pPr>
              <w:tabs>
                <w:tab w:val="left" w:pos="338"/>
              </w:tabs>
              <w:spacing w:after="0" w:line="276" w:lineRule="auto"/>
              <w:contextualSpacing/>
              <w:rPr>
                <w:rFonts w:ascii="Arial" w:eastAsia="Calibri" w:hAnsi="Arial" w:cs="Arial"/>
                <w:bCs/>
                <w:iCs/>
                <w:sz w:val="20"/>
                <w:szCs w:val="20"/>
                <w:lang w:val="en-US"/>
              </w:rPr>
            </w:pPr>
            <w:r w:rsidRPr="000F5A61">
              <w:rPr>
                <w:rFonts w:ascii="Arial" w:eastAsia="Calibri" w:hAnsi="Arial" w:cs="Arial"/>
                <w:bCs/>
                <w:iCs/>
                <w:sz w:val="20"/>
                <w:szCs w:val="20"/>
                <w:lang w:val="en-US"/>
              </w:rPr>
              <w:t xml:space="preserve">Annex 1. </w:t>
            </w:r>
            <w:r w:rsidR="00A666AF" w:rsidRPr="000F5A61">
              <w:rPr>
                <w:rFonts w:ascii="Arial" w:eastAsia="Calibri" w:hAnsi="Arial" w:cs="Arial"/>
                <w:bCs/>
                <w:iCs/>
                <w:sz w:val="20"/>
                <w:szCs w:val="20"/>
                <w:lang w:val="en-US"/>
              </w:rPr>
              <w:t>Annual Report, Department of Health Services, 2015-16, Ministry of Health, Government of Nepal. [http://dohs.gov.np/wp-content/uploads/2017/06/DoHS_Annual_Report_2072_73.pdf]</w:t>
            </w:r>
          </w:p>
        </w:tc>
        <w:tc>
          <w:tcPr>
            <w:tcW w:w="1406" w:type="dxa"/>
            <w:vAlign w:val="center"/>
          </w:tcPr>
          <w:p w:rsidR="00F24558" w:rsidRPr="000F5A61" w:rsidRDefault="00F24558" w:rsidP="00A666AF">
            <w:pPr>
              <w:spacing w:after="0" w:line="276" w:lineRule="auto"/>
              <w:jc w:val="center"/>
              <w:rPr>
                <w:rFonts w:ascii="Arial" w:eastAsia="Calibri" w:hAnsi="Arial" w:cs="Arial"/>
                <w:bCs/>
                <w:iCs/>
                <w:sz w:val="20"/>
                <w:szCs w:val="20"/>
                <w:lang w:val="en-US"/>
              </w:rPr>
            </w:pPr>
            <w:r w:rsidRPr="000F5A61">
              <w:rPr>
                <w:rFonts w:ascii="Arial" w:eastAsia="Calibri" w:hAnsi="Arial" w:cs="Arial"/>
                <w:bCs/>
                <w:iCs/>
                <w:sz w:val="20"/>
                <w:szCs w:val="20"/>
                <w:lang w:val="en-US"/>
              </w:rPr>
              <w:t xml:space="preserve">All </w:t>
            </w:r>
          </w:p>
          <w:p w:rsidR="00F24558" w:rsidRPr="000F5A61" w:rsidRDefault="00F24558" w:rsidP="00A666AF">
            <w:pPr>
              <w:spacing w:after="0" w:line="276" w:lineRule="auto"/>
              <w:jc w:val="center"/>
              <w:rPr>
                <w:rFonts w:ascii="Arial" w:eastAsia="Calibri" w:hAnsi="Arial" w:cs="Arial"/>
                <w:bCs/>
                <w:iCs/>
                <w:sz w:val="20"/>
                <w:szCs w:val="20"/>
                <w:lang w:val="en-US"/>
              </w:rPr>
            </w:pPr>
          </w:p>
          <w:p w:rsidR="00F24558" w:rsidRPr="000F5A61" w:rsidRDefault="00F24558" w:rsidP="00A666AF">
            <w:pPr>
              <w:spacing w:after="0" w:line="276" w:lineRule="auto"/>
              <w:jc w:val="center"/>
              <w:rPr>
                <w:rFonts w:ascii="Arial" w:eastAsia="Calibri" w:hAnsi="Arial" w:cs="Arial"/>
                <w:bCs/>
                <w:iCs/>
                <w:sz w:val="20"/>
                <w:szCs w:val="20"/>
                <w:lang w:val="en-US"/>
              </w:rPr>
            </w:pPr>
          </w:p>
          <w:p w:rsidR="00F24558" w:rsidRPr="000F5A61" w:rsidRDefault="00F24558" w:rsidP="00A666AF">
            <w:pPr>
              <w:spacing w:after="0" w:line="276" w:lineRule="auto"/>
              <w:jc w:val="center"/>
              <w:rPr>
                <w:rFonts w:ascii="Arial" w:eastAsia="Calibri" w:hAnsi="Arial" w:cs="Arial"/>
                <w:bCs/>
                <w:iCs/>
                <w:sz w:val="20"/>
                <w:szCs w:val="20"/>
                <w:lang w:val="en-US"/>
              </w:rPr>
            </w:pPr>
          </w:p>
          <w:p w:rsidR="009F54F1" w:rsidRPr="000F5A61" w:rsidRDefault="00A666AF" w:rsidP="00A666AF">
            <w:pPr>
              <w:spacing w:after="0" w:line="276" w:lineRule="auto"/>
              <w:jc w:val="center"/>
              <w:rPr>
                <w:rFonts w:ascii="Arial" w:eastAsia="Calibri" w:hAnsi="Arial" w:cs="Arial"/>
                <w:bCs/>
                <w:iCs/>
                <w:sz w:val="20"/>
                <w:szCs w:val="20"/>
                <w:lang w:val="en-US"/>
              </w:rPr>
            </w:pPr>
            <w:r w:rsidRPr="000F5A61">
              <w:rPr>
                <w:rFonts w:ascii="Arial" w:eastAsia="Calibri" w:hAnsi="Arial" w:cs="Arial"/>
                <w:bCs/>
                <w:iCs/>
                <w:sz w:val="20"/>
                <w:szCs w:val="20"/>
                <w:lang w:val="en-US"/>
              </w:rPr>
              <w:t>XXVII-XXXVIII</w:t>
            </w:r>
          </w:p>
        </w:tc>
        <w:tc>
          <w:tcPr>
            <w:tcW w:w="1932" w:type="dxa"/>
            <w:gridSpan w:val="2"/>
            <w:vAlign w:val="center"/>
          </w:tcPr>
          <w:p w:rsidR="009F54F1" w:rsidRPr="000F5A61" w:rsidRDefault="00035C1E" w:rsidP="00171098">
            <w:pPr>
              <w:spacing w:after="0" w:line="240" w:lineRule="auto"/>
              <w:jc w:val="center"/>
              <w:rPr>
                <w:rFonts w:ascii="Arial" w:eastAsia="SimSun" w:hAnsi="Arial" w:cs="Arial"/>
                <w:b/>
                <w:sz w:val="20"/>
                <w:szCs w:val="20"/>
                <w:lang w:val="en-US" w:eastAsia="zh-CN"/>
              </w:rPr>
            </w:pPr>
            <w:sdt>
              <w:sdtPr>
                <w:rPr>
                  <w:rFonts w:ascii="Arial" w:eastAsia="Calibri" w:hAnsi="Arial" w:cs="Arial"/>
                  <w:bCs/>
                  <w:iCs/>
                  <w:sz w:val="20"/>
                  <w:szCs w:val="20"/>
                  <w:lang w:val="en-US"/>
                </w:rPr>
                <w:id w:val="-1611280088"/>
              </w:sdtPr>
              <w:sdtContent>
                <w:r w:rsidR="009F54F1" w:rsidRPr="000F5A61">
                  <w:rPr>
                    <w:rFonts w:ascii="Arial" w:eastAsia="Calibri" w:hAnsi="Arial" w:cs="Arial"/>
                    <w:bCs/>
                    <w:iCs/>
                    <w:sz w:val="20"/>
                    <w:szCs w:val="20"/>
                    <w:lang w:val="en-US"/>
                  </w:rPr>
                  <w:t>☐</w:t>
                </w:r>
              </w:sdtContent>
            </w:sdt>
          </w:p>
        </w:tc>
      </w:tr>
      <w:tr w:rsidR="00171098" w:rsidRPr="000F5A61" w:rsidTr="00171098">
        <w:trPr>
          <w:gridBefore w:val="1"/>
          <w:wBefore w:w="17" w:type="dxa"/>
          <w:trHeight w:val="734"/>
        </w:trPr>
        <w:tc>
          <w:tcPr>
            <w:tcW w:w="2251" w:type="dxa"/>
            <w:shd w:val="clear" w:color="auto" w:fill="F2F2F2" w:themeFill="background1" w:themeFillShade="F2"/>
            <w:vAlign w:val="center"/>
          </w:tcPr>
          <w:p w:rsidR="009F54F1" w:rsidRPr="000F5A61" w:rsidRDefault="009F54F1" w:rsidP="00171098">
            <w:pPr>
              <w:tabs>
                <w:tab w:val="left" w:pos="360"/>
              </w:tabs>
              <w:spacing w:after="0" w:line="276" w:lineRule="auto"/>
              <w:contextualSpacing/>
              <w:rPr>
                <w:rFonts w:ascii="Arial" w:eastAsia="Calibri" w:hAnsi="Arial" w:cs="Arial"/>
                <w:sz w:val="20"/>
                <w:szCs w:val="20"/>
                <w:lang w:val="en-US"/>
              </w:rPr>
            </w:pPr>
            <w:r w:rsidRPr="000F5A61">
              <w:rPr>
                <w:rFonts w:ascii="Arial" w:eastAsia="Calibri" w:hAnsi="Arial" w:cs="Arial"/>
                <w:sz w:val="20"/>
                <w:szCs w:val="20"/>
                <w:lang w:val="en-US"/>
              </w:rPr>
              <w:t>Human rights and gender considerations (cross-cutting)</w:t>
            </w:r>
          </w:p>
        </w:tc>
        <w:tc>
          <w:tcPr>
            <w:tcW w:w="3811" w:type="dxa"/>
          </w:tcPr>
          <w:p w:rsidR="009F54F1" w:rsidRPr="000F5A61" w:rsidRDefault="008B1AD7" w:rsidP="00C74813">
            <w:pPr>
              <w:tabs>
                <w:tab w:val="left" w:pos="338"/>
              </w:tabs>
              <w:spacing w:after="0" w:line="276" w:lineRule="auto"/>
              <w:contextualSpacing/>
              <w:rPr>
                <w:rFonts w:ascii="Arial" w:eastAsia="Calibri" w:hAnsi="Arial" w:cs="Arial"/>
                <w:bCs/>
                <w:iCs/>
                <w:sz w:val="20"/>
                <w:szCs w:val="20"/>
                <w:lang w:val="en-US"/>
              </w:rPr>
            </w:pPr>
            <w:r w:rsidRPr="000F5A61">
              <w:rPr>
                <w:rFonts w:ascii="Arial" w:eastAsia="Calibri" w:hAnsi="Arial" w:cs="Arial"/>
                <w:bCs/>
                <w:iCs/>
                <w:sz w:val="20"/>
                <w:szCs w:val="20"/>
                <w:lang w:val="en-US"/>
              </w:rPr>
              <w:t xml:space="preserve">Annex 3. </w:t>
            </w:r>
            <w:r w:rsidR="002831E1" w:rsidRPr="000F5A61">
              <w:rPr>
                <w:rFonts w:ascii="Arial" w:eastAsia="Calibri" w:hAnsi="Arial" w:cs="Arial"/>
                <w:bCs/>
                <w:iCs/>
                <w:sz w:val="20"/>
                <w:szCs w:val="20"/>
                <w:lang w:val="en-US"/>
              </w:rPr>
              <w:t>Health Sector Gender Equality and Social Inclusion Strategy, Ministry of Health and Population, Government of Nepal, 2009.</w:t>
            </w:r>
          </w:p>
        </w:tc>
        <w:tc>
          <w:tcPr>
            <w:tcW w:w="1406" w:type="dxa"/>
            <w:vAlign w:val="center"/>
          </w:tcPr>
          <w:p w:rsidR="009F54F1" w:rsidRPr="000F5A61" w:rsidRDefault="002831E1" w:rsidP="00C74813">
            <w:pPr>
              <w:spacing w:after="0" w:line="276" w:lineRule="auto"/>
              <w:jc w:val="center"/>
              <w:rPr>
                <w:rFonts w:ascii="Arial" w:eastAsia="Calibri" w:hAnsi="Arial" w:cs="Arial"/>
                <w:bCs/>
                <w:iCs/>
                <w:sz w:val="20"/>
                <w:szCs w:val="20"/>
                <w:lang w:val="en-US"/>
              </w:rPr>
            </w:pPr>
            <w:r w:rsidRPr="000F5A61">
              <w:rPr>
                <w:rFonts w:ascii="Arial" w:eastAsia="Calibri" w:hAnsi="Arial" w:cs="Arial"/>
                <w:bCs/>
                <w:iCs/>
                <w:sz w:val="20"/>
                <w:szCs w:val="20"/>
                <w:lang w:val="en-US"/>
              </w:rPr>
              <w:t>Pages 1-2</w:t>
            </w:r>
            <w:r w:rsidR="00C74813" w:rsidRPr="000F5A61">
              <w:rPr>
                <w:rFonts w:ascii="Arial" w:eastAsia="Calibri" w:hAnsi="Arial" w:cs="Arial"/>
                <w:bCs/>
                <w:iCs/>
                <w:sz w:val="20"/>
                <w:szCs w:val="20"/>
                <w:lang w:val="en-US"/>
              </w:rPr>
              <w:t>&amp; 12-18.</w:t>
            </w:r>
          </w:p>
        </w:tc>
        <w:tc>
          <w:tcPr>
            <w:tcW w:w="1932" w:type="dxa"/>
            <w:gridSpan w:val="2"/>
            <w:vAlign w:val="center"/>
          </w:tcPr>
          <w:p w:rsidR="009F54F1" w:rsidRPr="000F5A61" w:rsidRDefault="00035C1E" w:rsidP="00171098">
            <w:pPr>
              <w:spacing w:after="0" w:line="240" w:lineRule="auto"/>
              <w:jc w:val="center"/>
              <w:rPr>
                <w:rFonts w:ascii="Arial" w:eastAsia="Calibri" w:hAnsi="Arial" w:cs="Arial"/>
                <w:bCs/>
                <w:iCs/>
                <w:sz w:val="20"/>
                <w:szCs w:val="20"/>
                <w:lang w:val="en-US"/>
              </w:rPr>
            </w:pPr>
            <w:sdt>
              <w:sdtPr>
                <w:rPr>
                  <w:rFonts w:ascii="Arial" w:eastAsia="Calibri" w:hAnsi="Arial" w:cs="Arial"/>
                  <w:bCs/>
                  <w:iCs/>
                  <w:sz w:val="20"/>
                  <w:szCs w:val="20"/>
                  <w:lang w:val="en-US"/>
                </w:rPr>
                <w:id w:val="79487682"/>
              </w:sdtPr>
              <w:sdtContent>
                <w:r w:rsidR="009F54F1" w:rsidRPr="000F5A61">
                  <w:rPr>
                    <w:rFonts w:ascii="Arial" w:eastAsia="Calibri" w:hAnsi="Arial" w:cs="Arial"/>
                    <w:bCs/>
                    <w:iCs/>
                    <w:sz w:val="20"/>
                    <w:szCs w:val="20"/>
                    <w:lang w:val="en-US"/>
                  </w:rPr>
                  <w:t>☐</w:t>
                </w:r>
              </w:sdtContent>
            </w:sdt>
          </w:p>
        </w:tc>
      </w:tr>
      <w:tr w:rsidR="00171098" w:rsidRPr="000F5A61" w:rsidTr="00171098">
        <w:trPr>
          <w:gridBefore w:val="1"/>
          <w:wBefore w:w="17" w:type="dxa"/>
          <w:trHeight w:val="457"/>
        </w:trPr>
        <w:tc>
          <w:tcPr>
            <w:tcW w:w="9400" w:type="dxa"/>
            <w:gridSpan w:val="5"/>
            <w:shd w:val="clear" w:color="auto" w:fill="F2F2F2" w:themeFill="background1" w:themeFillShade="F2"/>
            <w:vAlign w:val="center"/>
          </w:tcPr>
          <w:p w:rsidR="00B50C6D" w:rsidRPr="000F5A61" w:rsidRDefault="00B50C6D" w:rsidP="00171098">
            <w:pPr>
              <w:spacing w:after="0" w:line="240" w:lineRule="auto"/>
              <w:rPr>
                <w:rFonts w:ascii="Arial" w:eastAsia="Calibri" w:hAnsi="Arial" w:cs="Arial"/>
                <w:bCs/>
                <w:iCs/>
                <w:sz w:val="20"/>
                <w:szCs w:val="20"/>
                <w:lang w:val="en-US"/>
              </w:rPr>
            </w:pPr>
            <w:r w:rsidRPr="000F5A61">
              <w:rPr>
                <w:rFonts w:ascii="Arial" w:eastAsia="Calibri" w:hAnsi="Arial" w:cs="Arial"/>
                <w:b/>
                <w:sz w:val="20"/>
                <w:szCs w:val="20"/>
                <w:lang w:val="en-US"/>
              </w:rPr>
              <w:t>Disease-specific</w:t>
            </w:r>
          </w:p>
        </w:tc>
      </w:tr>
      <w:tr w:rsidR="00171098" w:rsidRPr="000F5A61" w:rsidTr="00390D00">
        <w:trPr>
          <w:gridBefore w:val="1"/>
          <w:wBefore w:w="17" w:type="dxa"/>
          <w:trHeight w:val="274"/>
        </w:trPr>
        <w:tc>
          <w:tcPr>
            <w:tcW w:w="2251" w:type="dxa"/>
            <w:shd w:val="clear" w:color="auto" w:fill="F2F2F2" w:themeFill="background1" w:themeFillShade="F2"/>
            <w:vAlign w:val="center"/>
          </w:tcPr>
          <w:p w:rsidR="009F54F1" w:rsidRPr="000F5A61" w:rsidRDefault="009F54F1" w:rsidP="00171098">
            <w:pPr>
              <w:tabs>
                <w:tab w:val="left" w:pos="338"/>
              </w:tabs>
              <w:spacing w:after="0" w:line="276" w:lineRule="auto"/>
              <w:contextualSpacing/>
              <w:rPr>
                <w:rFonts w:ascii="Arial" w:eastAsia="Calibri" w:hAnsi="Arial" w:cs="Arial"/>
                <w:bCs/>
                <w:iCs/>
                <w:sz w:val="20"/>
                <w:szCs w:val="20"/>
                <w:lang w:val="en-US"/>
              </w:rPr>
            </w:pPr>
            <w:r w:rsidRPr="000F5A61">
              <w:rPr>
                <w:rFonts w:ascii="Arial" w:eastAsia="Calibri" w:hAnsi="Arial" w:cs="Arial"/>
                <w:sz w:val="20"/>
                <w:szCs w:val="20"/>
                <w:lang w:val="en-US"/>
              </w:rPr>
              <w:t>Epidemiological profile (including interventions for key and vulnerable populations, as relevant)</w:t>
            </w:r>
          </w:p>
        </w:tc>
        <w:tc>
          <w:tcPr>
            <w:tcW w:w="3811" w:type="dxa"/>
          </w:tcPr>
          <w:p w:rsidR="00F50871" w:rsidRPr="000F5A61" w:rsidRDefault="008B1AD7" w:rsidP="00F50871">
            <w:pPr>
              <w:tabs>
                <w:tab w:val="left" w:pos="338"/>
              </w:tabs>
              <w:spacing w:after="0" w:line="276" w:lineRule="auto"/>
              <w:contextualSpacing/>
              <w:rPr>
                <w:rFonts w:ascii="Arial" w:eastAsia="Calibri" w:hAnsi="Arial" w:cs="Arial"/>
                <w:bCs/>
                <w:iCs/>
                <w:sz w:val="20"/>
                <w:szCs w:val="20"/>
              </w:rPr>
            </w:pPr>
            <w:r w:rsidRPr="000F5A61">
              <w:rPr>
                <w:rFonts w:ascii="Arial" w:eastAsia="Calibri" w:hAnsi="Arial" w:cs="Arial"/>
                <w:bCs/>
                <w:iCs/>
                <w:sz w:val="20"/>
                <w:szCs w:val="20"/>
              </w:rPr>
              <w:t xml:space="preserve">Annex 4. </w:t>
            </w:r>
            <w:r w:rsidR="00F50871" w:rsidRPr="000F5A61">
              <w:rPr>
                <w:rFonts w:ascii="Arial" w:eastAsia="Calibri" w:hAnsi="Arial" w:cs="Arial"/>
                <w:bCs/>
                <w:iCs/>
                <w:sz w:val="20"/>
                <w:szCs w:val="20"/>
              </w:rPr>
              <w:t>Operational Framework for Malaria Elimination in Nepal, July 2017. Epidemiology and Diseases Control Division, Department of Health Services,</w:t>
            </w:r>
          </w:p>
          <w:p w:rsidR="00F50871" w:rsidRPr="000F5A61" w:rsidRDefault="00F50871" w:rsidP="00F50871">
            <w:pPr>
              <w:tabs>
                <w:tab w:val="left" w:pos="338"/>
              </w:tabs>
              <w:spacing w:after="0" w:line="276" w:lineRule="auto"/>
              <w:contextualSpacing/>
              <w:rPr>
                <w:rFonts w:ascii="Arial" w:eastAsia="Calibri" w:hAnsi="Arial" w:cs="Arial"/>
                <w:bCs/>
                <w:iCs/>
                <w:sz w:val="20"/>
                <w:szCs w:val="20"/>
              </w:rPr>
            </w:pPr>
            <w:r w:rsidRPr="000F5A61">
              <w:rPr>
                <w:rFonts w:ascii="Arial" w:eastAsia="Calibri" w:hAnsi="Arial" w:cs="Arial"/>
                <w:bCs/>
                <w:iCs/>
                <w:sz w:val="20"/>
                <w:szCs w:val="20"/>
              </w:rPr>
              <w:t>Ministry of Health</w:t>
            </w:r>
          </w:p>
          <w:p w:rsidR="00F24558" w:rsidRPr="000F5A61" w:rsidRDefault="00F24558" w:rsidP="00847070">
            <w:pPr>
              <w:tabs>
                <w:tab w:val="left" w:pos="338"/>
              </w:tabs>
              <w:spacing w:after="0" w:line="276" w:lineRule="auto"/>
              <w:contextualSpacing/>
              <w:rPr>
                <w:rFonts w:ascii="Arial" w:eastAsia="Calibri" w:hAnsi="Arial" w:cs="Arial"/>
                <w:bCs/>
                <w:iCs/>
                <w:sz w:val="20"/>
                <w:szCs w:val="20"/>
                <w:lang w:val="en-US"/>
              </w:rPr>
            </w:pPr>
          </w:p>
          <w:p w:rsidR="00C2070F" w:rsidRPr="000F5A61" w:rsidRDefault="008B1AD7" w:rsidP="00847070">
            <w:pPr>
              <w:tabs>
                <w:tab w:val="left" w:pos="338"/>
              </w:tabs>
              <w:spacing w:after="0" w:line="276" w:lineRule="auto"/>
              <w:contextualSpacing/>
              <w:rPr>
                <w:rFonts w:ascii="Arial" w:eastAsia="Calibri" w:hAnsi="Arial" w:cs="Arial"/>
                <w:bCs/>
                <w:iCs/>
                <w:sz w:val="20"/>
                <w:szCs w:val="20"/>
                <w:lang w:val="en-US"/>
              </w:rPr>
            </w:pPr>
            <w:r w:rsidRPr="000F5A61">
              <w:rPr>
                <w:rFonts w:ascii="Arial" w:eastAsia="Calibri" w:hAnsi="Arial" w:cs="Arial"/>
                <w:bCs/>
                <w:iCs/>
                <w:sz w:val="20"/>
                <w:szCs w:val="20"/>
                <w:lang w:val="en-US"/>
              </w:rPr>
              <w:t xml:space="preserve">Annex 5. </w:t>
            </w:r>
            <w:r w:rsidR="00847070" w:rsidRPr="000F5A61">
              <w:rPr>
                <w:rFonts w:ascii="Arial" w:eastAsia="Calibri" w:hAnsi="Arial" w:cs="Arial"/>
                <w:bCs/>
                <w:iCs/>
                <w:sz w:val="20"/>
                <w:szCs w:val="20"/>
                <w:lang w:val="en-US"/>
              </w:rPr>
              <w:t xml:space="preserve">Formative Assessment to CharacterizeImported Malaria and Identify Strategies for Accessing High-Risk Mobile and Migrant Populations in Nepal (2017) UCSF Global Health Group Malaria Elimination Initiative, </w:t>
            </w:r>
            <w:r w:rsidR="00847070" w:rsidRPr="000F5A61">
              <w:rPr>
                <w:rFonts w:ascii="Arial" w:eastAsia="Calibri" w:hAnsi="Arial" w:cs="Arial"/>
                <w:bCs/>
                <w:iCs/>
                <w:sz w:val="20"/>
                <w:szCs w:val="20"/>
                <w:lang w:val="en-US"/>
              </w:rPr>
              <w:lastRenderedPageBreak/>
              <w:t xml:space="preserve">Ministry of Health, Tribhuvan University and Kantipur College of Medical Sciences. </w:t>
            </w:r>
          </w:p>
        </w:tc>
        <w:tc>
          <w:tcPr>
            <w:tcW w:w="1406" w:type="dxa"/>
            <w:vAlign w:val="center"/>
          </w:tcPr>
          <w:p w:rsidR="009F54F1" w:rsidRPr="000F5A61" w:rsidRDefault="00F50871" w:rsidP="00171098">
            <w:pPr>
              <w:spacing w:after="0" w:line="276" w:lineRule="auto"/>
              <w:jc w:val="center"/>
              <w:rPr>
                <w:rFonts w:ascii="Arial" w:eastAsia="Calibri" w:hAnsi="Arial" w:cs="Arial"/>
                <w:bCs/>
                <w:iCs/>
                <w:sz w:val="20"/>
                <w:szCs w:val="20"/>
                <w:lang w:val="en-US"/>
              </w:rPr>
            </w:pPr>
            <w:r w:rsidRPr="000F5A61">
              <w:rPr>
                <w:rFonts w:ascii="Arial" w:eastAsia="Calibri" w:hAnsi="Arial" w:cs="Arial"/>
                <w:bCs/>
                <w:iCs/>
                <w:sz w:val="20"/>
                <w:szCs w:val="20"/>
                <w:lang w:val="en-US"/>
              </w:rPr>
              <w:lastRenderedPageBreak/>
              <w:t>Pages 7-11</w:t>
            </w:r>
          </w:p>
          <w:p w:rsidR="00F24558" w:rsidRPr="000F5A61" w:rsidRDefault="00F24558" w:rsidP="00171098">
            <w:pPr>
              <w:spacing w:after="0" w:line="276" w:lineRule="auto"/>
              <w:jc w:val="center"/>
              <w:rPr>
                <w:rFonts w:ascii="Arial" w:eastAsia="Calibri" w:hAnsi="Arial" w:cs="Arial"/>
                <w:bCs/>
                <w:iCs/>
                <w:sz w:val="20"/>
                <w:szCs w:val="20"/>
                <w:lang w:val="en-US"/>
              </w:rPr>
            </w:pPr>
          </w:p>
          <w:p w:rsidR="00F24558" w:rsidRPr="000F5A61" w:rsidRDefault="00F24558" w:rsidP="00171098">
            <w:pPr>
              <w:spacing w:after="0" w:line="276" w:lineRule="auto"/>
              <w:jc w:val="center"/>
              <w:rPr>
                <w:rFonts w:ascii="Arial" w:eastAsia="Calibri" w:hAnsi="Arial" w:cs="Arial"/>
                <w:bCs/>
                <w:iCs/>
                <w:sz w:val="20"/>
                <w:szCs w:val="20"/>
                <w:lang w:val="en-US"/>
              </w:rPr>
            </w:pPr>
          </w:p>
          <w:p w:rsidR="00F24558" w:rsidRPr="000F5A61" w:rsidRDefault="00F24558" w:rsidP="00171098">
            <w:pPr>
              <w:spacing w:after="0" w:line="276" w:lineRule="auto"/>
              <w:jc w:val="center"/>
              <w:rPr>
                <w:rFonts w:ascii="Arial" w:eastAsia="Calibri" w:hAnsi="Arial" w:cs="Arial"/>
                <w:bCs/>
                <w:iCs/>
                <w:sz w:val="20"/>
                <w:szCs w:val="20"/>
                <w:lang w:val="en-US"/>
              </w:rPr>
            </w:pPr>
          </w:p>
          <w:p w:rsidR="00F24558" w:rsidRPr="000F5A61" w:rsidRDefault="00F24558" w:rsidP="00171098">
            <w:pPr>
              <w:spacing w:after="0" w:line="276" w:lineRule="auto"/>
              <w:jc w:val="center"/>
              <w:rPr>
                <w:rFonts w:ascii="Arial" w:eastAsia="Calibri" w:hAnsi="Arial" w:cs="Arial"/>
                <w:bCs/>
                <w:iCs/>
                <w:sz w:val="20"/>
                <w:szCs w:val="20"/>
                <w:lang w:val="en-US"/>
              </w:rPr>
            </w:pPr>
          </w:p>
          <w:p w:rsidR="00F24558" w:rsidRPr="000F5A61" w:rsidRDefault="00F24558" w:rsidP="00171098">
            <w:pPr>
              <w:spacing w:after="0" w:line="276" w:lineRule="auto"/>
              <w:jc w:val="center"/>
              <w:rPr>
                <w:rFonts w:ascii="Arial" w:eastAsia="Calibri" w:hAnsi="Arial" w:cs="Arial"/>
                <w:bCs/>
                <w:iCs/>
                <w:sz w:val="20"/>
                <w:szCs w:val="20"/>
                <w:lang w:val="en-US"/>
              </w:rPr>
            </w:pPr>
          </w:p>
          <w:p w:rsidR="00F24558" w:rsidRPr="000F5A61" w:rsidRDefault="00F24558" w:rsidP="00171098">
            <w:pPr>
              <w:spacing w:after="0" w:line="276" w:lineRule="auto"/>
              <w:jc w:val="center"/>
              <w:rPr>
                <w:rFonts w:ascii="Arial" w:eastAsia="Calibri" w:hAnsi="Arial" w:cs="Arial"/>
                <w:bCs/>
                <w:iCs/>
                <w:sz w:val="20"/>
                <w:szCs w:val="20"/>
                <w:lang w:val="en-US"/>
              </w:rPr>
            </w:pPr>
          </w:p>
          <w:p w:rsidR="00F24558" w:rsidRPr="000F5A61" w:rsidRDefault="00F24558" w:rsidP="00171098">
            <w:pPr>
              <w:spacing w:after="0" w:line="276" w:lineRule="auto"/>
              <w:jc w:val="center"/>
              <w:rPr>
                <w:rFonts w:ascii="Arial" w:eastAsia="Calibri" w:hAnsi="Arial" w:cs="Arial"/>
                <w:bCs/>
                <w:iCs/>
                <w:sz w:val="20"/>
                <w:szCs w:val="20"/>
                <w:lang w:val="en-US"/>
              </w:rPr>
            </w:pPr>
          </w:p>
          <w:p w:rsidR="00F24558" w:rsidRPr="000F5A61" w:rsidRDefault="00F24558" w:rsidP="00171098">
            <w:pPr>
              <w:spacing w:after="0" w:line="276" w:lineRule="auto"/>
              <w:jc w:val="center"/>
              <w:rPr>
                <w:rFonts w:ascii="Arial" w:eastAsia="Calibri" w:hAnsi="Arial" w:cs="Arial"/>
                <w:bCs/>
                <w:iCs/>
                <w:sz w:val="20"/>
                <w:szCs w:val="20"/>
                <w:lang w:val="en-US"/>
              </w:rPr>
            </w:pPr>
          </w:p>
          <w:p w:rsidR="00F24558" w:rsidRPr="000F5A61" w:rsidRDefault="00F24558" w:rsidP="00171098">
            <w:pPr>
              <w:spacing w:after="0" w:line="276" w:lineRule="auto"/>
              <w:jc w:val="center"/>
              <w:rPr>
                <w:rFonts w:ascii="Arial" w:eastAsia="Calibri" w:hAnsi="Arial" w:cs="Arial"/>
                <w:bCs/>
                <w:iCs/>
                <w:sz w:val="20"/>
                <w:szCs w:val="20"/>
                <w:lang w:val="en-US"/>
              </w:rPr>
            </w:pPr>
          </w:p>
          <w:p w:rsidR="00F24558" w:rsidRPr="000F5A61" w:rsidRDefault="00F24558" w:rsidP="00171098">
            <w:pPr>
              <w:spacing w:after="0" w:line="276" w:lineRule="auto"/>
              <w:jc w:val="center"/>
              <w:rPr>
                <w:rFonts w:ascii="Arial" w:eastAsia="Calibri" w:hAnsi="Arial" w:cs="Arial"/>
                <w:bCs/>
                <w:iCs/>
                <w:sz w:val="20"/>
                <w:szCs w:val="20"/>
                <w:lang w:val="en-US"/>
              </w:rPr>
            </w:pPr>
            <w:r w:rsidRPr="000F5A61">
              <w:rPr>
                <w:rFonts w:ascii="Arial" w:eastAsia="Calibri" w:hAnsi="Arial" w:cs="Arial"/>
                <w:bCs/>
                <w:iCs/>
                <w:sz w:val="20"/>
                <w:szCs w:val="20"/>
                <w:lang w:val="en-US"/>
              </w:rPr>
              <w:t>All</w:t>
            </w:r>
          </w:p>
        </w:tc>
        <w:tc>
          <w:tcPr>
            <w:tcW w:w="1932" w:type="dxa"/>
            <w:gridSpan w:val="2"/>
            <w:vAlign w:val="center"/>
          </w:tcPr>
          <w:p w:rsidR="009F54F1" w:rsidRPr="000F5A61" w:rsidRDefault="00035C1E" w:rsidP="00171098">
            <w:pPr>
              <w:spacing w:after="0" w:line="240" w:lineRule="auto"/>
              <w:jc w:val="center"/>
              <w:rPr>
                <w:rFonts w:ascii="Arial" w:eastAsia="Calibri" w:hAnsi="Arial" w:cs="Arial"/>
                <w:bCs/>
                <w:iCs/>
                <w:sz w:val="20"/>
                <w:szCs w:val="20"/>
                <w:lang w:val="en-US"/>
              </w:rPr>
            </w:pPr>
            <w:sdt>
              <w:sdtPr>
                <w:rPr>
                  <w:rFonts w:ascii="Arial" w:eastAsia="Calibri" w:hAnsi="Arial" w:cs="Arial"/>
                  <w:bCs/>
                  <w:iCs/>
                  <w:sz w:val="20"/>
                  <w:szCs w:val="20"/>
                  <w:lang w:val="en-US"/>
                </w:rPr>
                <w:id w:val="1368335482"/>
              </w:sdtPr>
              <w:sdtContent>
                <w:r w:rsidR="009F54F1" w:rsidRPr="000F5A61">
                  <w:rPr>
                    <w:rFonts w:ascii="Arial" w:eastAsia="Calibri" w:hAnsi="Arial" w:cs="Arial"/>
                    <w:bCs/>
                    <w:iCs/>
                    <w:sz w:val="20"/>
                    <w:szCs w:val="20"/>
                    <w:lang w:val="en-US"/>
                  </w:rPr>
                  <w:t>☐</w:t>
                </w:r>
              </w:sdtContent>
            </w:sdt>
          </w:p>
        </w:tc>
      </w:tr>
      <w:tr w:rsidR="00171098" w:rsidRPr="000F5A61" w:rsidTr="00171098">
        <w:trPr>
          <w:gridBefore w:val="1"/>
          <w:wBefore w:w="17" w:type="dxa"/>
          <w:trHeight w:val="677"/>
        </w:trPr>
        <w:tc>
          <w:tcPr>
            <w:tcW w:w="2251" w:type="dxa"/>
            <w:shd w:val="clear" w:color="auto" w:fill="F2F2F2" w:themeFill="background1" w:themeFillShade="F2"/>
            <w:vAlign w:val="center"/>
          </w:tcPr>
          <w:p w:rsidR="009F54F1" w:rsidRPr="000F5A61" w:rsidRDefault="009F54F1" w:rsidP="00171098">
            <w:pPr>
              <w:tabs>
                <w:tab w:val="left" w:pos="338"/>
              </w:tabs>
              <w:spacing w:after="0" w:line="276" w:lineRule="auto"/>
              <w:contextualSpacing/>
              <w:rPr>
                <w:rFonts w:ascii="Arial" w:eastAsia="Calibri" w:hAnsi="Arial" w:cs="Arial"/>
                <w:bCs/>
                <w:iCs/>
                <w:sz w:val="20"/>
                <w:szCs w:val="20"/>
                <w:lang w:val="en-US"/>
              </w:rPr>
            </w:pPr>
            <w:r w:rsidRPr="000F5A61">
              <w:rPr>
                <w:rFonts w:ascii="Arial" w:eastAsia="Calibri" w:hAnsi="Arial" w:cs="Arial"/>
                <w:sz w:val="20"/>
                <w:szCs w:val="20"/>
                <w:lang w:val="en-US"/>
              </w:rPr>
              <w:lastRenderedPageBreak/>
              <w:t>Disease strategy (including interventions for key and vulnerable populations, as relevant)</w:t>
            </w:r>
          </w:p>
        </w:tc>
        <w:tc>
          <w:tcPr>
            <w:tcW w:w="3811" w:type="dxa"/>
          </w:tcPr>
          <w:p w:rsidR="006D1F25" w:rsidRPr="000F5A61" w:rsidRDefault="008B1AD7" w:rsidP="00F50871">
            <w:pPr>
              <w:tabs>
                <w:tab w:val="left" w:pos="338"/>
              </w:tabs>
              <w:spacing w:after="0" w:line="276" w:lineRule="auto"/>
              <w:contextualSpacing/>
              <w:rPr>
                <w:rFonts w:ascii="Arial" w:eastAsia="Calibri" w:hAnsi="Arial" w:cs="Arial"/>
                <w:bCs/>
                <w:iCs/>
                <w:sz w:val="20"/>
                <w:szCs w:val="20"/>
                <w:lang w:val="en-US"/>
              </w:rPr>
            </w:pPr>
            <w:r w:rsidRPr="000F5A61">
              <w:rPr>
                <w:rFonts w:ascii="Arial" w:hAnsi="Arial" w:cs="Arial"/>
                <w:sz w:val="20"/>
                <w:szCs w:val="20"/>
              </w:rPr>
              <w:t xml:space="preserve">Annex 6. </w:t>
            </w:r>
            <w:r w:rsidR="006D1F25" w:rsidRPr="000F5A61">
              <w:rPr>
                <w:rFonts w:ascii="Arial" w:hAnsi="Arial" w:cs="Arial"/>
                <w:sz w:val="20"/>
                <w:szCs w:val="20"/>
              </w:rPr>
              <w:t>National Malaria Strategic Plan 2014-25 (</w:t>
            </w:r>
            <w:r w:rsidR="00C2070F" w:rsidRPr="000F5A61">
              <w:rPr>
                <w:rFonts w:ascii="Arial" w:eastAsia="Calibri" w:hAnsi="Arial" w:cs="Arial"/>
                <w:bCs/>
                <w:iCs/>
                <w:sz w:val="20"/>
                <w:szCs w:val="20"/>
                <w:lang w:val="en-US"/>
              </w:rPr>
              <w:t>NMSP</w:t>
            </w:r>
            <w:r w:rsidR="006D1F25" w:rsidRPr="000F5A61">
              <w:rPr>
                <w:rFonts w:ascii="Arial" w:eastAsia="Calibri" w:hAnsi="Arial" w:cs="Arial"/>
                <w:bCs/>
                <w:iCs/>
                <w:sz w:val="20"/>
                <w:szCs w:val="20"/>
                <w:lang w:val="en-US"/>
              </w:rPr>
              <w:t>)</w:t>
            </w:r>
            <w:r w:rsidR="00C2070F" w:rsidRPr="000F5A61">
              <w:rPr>
                <w:rFonts w:ascii="Arial" w:eastAsia="Calibri" w:hAnsi="Arial" w:cs="Arial"/>
                <w:bCs/>
                <w:iCs/>
                <w:sz w:val="20"/>
                <w:szCs w:val="20"/>
                <w:lang w:val="en-US"/>
              </w:rPr>
              <w:t xml:space="preserve">, </w:t>
            </w:r>
          </w:p>
          <w:p w:rsidR="006D1F25" w:rsidRPr="000F5A61" w:rsidRDefault="008B1AD7" w:rsidP="00F50871">
            <w:pPr>
              <w:tabs>
                <w:tab w:val="left" w:pos="338"/>
              </w:tabs>
              <w:spacing w:after="0" w:line="276" w:lineRule="auto"/>
              <w:contextualSpacing/>
              <w:rPr>
                <w:rFonts w:ascii="Arial" w:eastAsia="Calibri" w:hAnsi="Arial" w:cs="Arial"/>
                <w:bCs/>
                <w:iCs/>
                <w:sz w:val="20"/>
                <w:szCs w:val="20"/>
              </w:rPr>
            </w:pPr>
            <w:r w:rsidRPr="000F5A61">
              <w:rPr>
                <w:rFonts w:ascii="Arial" w:eastAsia="Calibri" w:hAnsi="Arial" w:cs="Arial"/>
                <w:bCs/>
                <w:iCs/>
                <w:sz w:val="20"/>
                <w:szCs w:val="20"/>
              </w:rPr>
              <w:t xml:space="preserve">Annex 7. </w:t>
            </w:r>
            <w:r w:rsidR="006D1F25" w:rsidRPr="000F5A61">
              <w:rPr>
                <w:rFonts w:ascii="Arial" w:eastAsia="Calibri" w:hAnsi="Arial" w:cs="Arial"/>
                <w:bCs/>
                <w:iCs/>
                <w:sz w:val="20"/>
                <w:szCs w:val="20"/>
              </w:rPr>
              <w:t>‘Addendum to the NMSP, 2017’.</w:t>
            </w:r>
          </w:p>
          <w:p w:rsidR="00F50871" w:rsidRPr="000F5A61" w:rsidRDefault="00F50871" w:rsidP="00F50871">
            <w:pPr>
              <w:tabs>
                <w:tab w:val="left" w:pos="338"/>
              </w:tabs>
              <w:spacing w:after="0" w:line="276" w:lineRule="auto"/>
              <w:contextualSpacing/>
              <w:rPr>
                <w:rFonts w:ascii="Arial" w:eastAsia="Calibri" w:hAnsi="Arial" w:cs="Arial"/>
                <w:bCs/>
                <w:iCs/>
                <w:sz w:val="20"/>
                <w:szCs w:val="20"/>
              </w:rPr>
            </w:pPr>
            <w:r w:rsidRPr="000F5A61">
              <w:rPr>
                <w:rFonts w:ascii="Arial" w:eastAsia="Calibri" w:hAnsi="Arial" w:cs="Arial"/>
                <w:bCs/>
                <w:iCs/>
                <w:sz w:val="20"/>
                <w:szCs w:val="20"/>
              </w:rPr>
              <w:t>‘Operational Framework for Malaria Elimination in Nepal, July 2017’.</w:t>
            </w:r>
          </w:p>
          <w:p w:rsidR="009F54F1" w:rsidRPr="000F5A61" w:rsidRDefault="009F54F1" w:rsidP="00171098">
            <w:pPr>
              <w:tabs>
                <w:tab w:val="left" w:pos="338"/>
                <w:tab w:val="center" w:pos="4513"/>
                <w:tab w:val="right" w:pos="9026"/>
              </w:tabs>
              <w:spacing w:after="0" w:line="276" w:lineRule="auto"/>
              <w:contextualSpacing/>
              <w:rPr>
                <w:rFonts w:ascii="Arial" w:eastAsia="Calibri" w:hAnsi="Arial" w:cs="Arial"/>
                <w:bCs/>
                <w:iCs/>
                <w:sz w:val="20"/>
                <w:szCs w:val="20"/>
                <w:lang w:val="en-US"/>
              </w:rPr>
            </w:pPr>
          </w:p>
        </w:tc>
        <w:tc>
          <w:tcPr>
            <w:tcW w:w="1406" w:type="dxa"/>
            <w:vAlign w:val="center"/>
          </w:tcPr>
          <w:p w:rsidR="006D1F25" w:rsidRPr="000F5A61" w:rsidRDefault="00761FD3" w:rsidP="00C86062">
            <w:pPr>
              <w:spacing w:after="0" w:line="276" w:lineRule="auto"/>
              <w:rPr>
                <w:rFonts w:ascii="Arial" w:eastAsia="Calibri" w:hAnsi="Arial" w:cs="Arial"/>
                <w:bCs/>
                <w:iCs/>
                <w:sz w:val="20"/>
                <w:szCs w:val="20"/>
                <w:lang w:val="en-US"/>
              </w:rPr>
            </w:pPr>
            <w:r w:rsidRPr="000F5A61">
              <w:rPr>
                <w:rFonts w:ascii="Arial" w:eastAsia="Calibri" w:hAnsi="Arial" w:cs="Arial"/>
                <w:bCs/>
                <w:iCs/>
                <w:sz w:val="20"/>
                <w:szCs w:val="20"/>
                <w:lang w:val="en-US"/>
              </w:rPr>
              <w:t xml:space="preserve">All </w:t>
            </w:r>
          </w:p>
          <w:p w:rsidR="006D1F25" w:rsidRPr="000F5A61" w:rsidRDefault="006D1F25" w:rsidP="00171098">
            <w:pPr>
              <w:spacing w:after="0" w:line="276" w:lineRule="auto"/>
              <w:jc w:val="center"/>
              <w:rPr>
                <w:rFonts w:ascii="Arial" w:eastAsia="Calibri" w:hAnsi="Arial" w:cs="Arial"/>
                <w:bCs/>
                <w:iCs/>
                <w:sz w:val="20"/>
                <w:szCs w:val="20"/>
                <w:lang w:val="en-US"/>
              </w:rPr>
            </w:pPr>
          </w:p>
          <w:p w:rsidR="00761FD3" w:rsidRPr="000F5A61" w:rsidRDefault="00761FD3" w:rsidP="00761FD3">
            <w:pPr>
              <w:spacing w:after="0" w:line="276" w:lineRule="auto"/>
              <w:rPr>
                <w:rFonts w:ascii="Arial" w:eastAsia="Calibri" w:hAnsi="Arial" w:cs="Arial"/>
                <w:bCs/>
                <w:iCs/>
                <w:sz w:val="20"/>
                <w:szCs w:val="20"/>
                <w:lang w:val="en-US"/>
              </w:rPr>
            </w:pPr>
            <w:r w:rsidRPr="000F5A61">
              <w:rPr>
                <w:rFonts w:ascii="Arial" w:eastAsia="Calibri" w:hAnsi="Arial" w:cs="Arial"/>
                <w:bCs/>
                <w:iCs/>
                <w:sz w:val="20"/>
                <w:szCs w:val="20"/>
                <w:lang w:val="en-US"/>
              </w:rPr>
              <w:t xml:space="preserve">All </w:t>
            </w:r>
          </w:p>
          <w:p w:rsidR="006D1F25" w:rsidRPr="000F5A61" w:rsidRDefault="006D1F25" w:rsidP="00C86062">
            <w:pPr>
              <w:spacing w:after="0" w:line="276" w:lineRule="auto"/>
              <w:rPr>
                <w:rFonts w:ascii="Arial" w:eastAsia="Calibri" w:hAnsi="Arial" w:cs="Arial"/>
                <w:bCs/>
                <w:iCs/>
                <w:sz w:val="20"/>
                <w:szCs w:val="20"/>
                <w:lang w:val="en-US"/>
              </w:rPr>
            </w:pPr>
          </w:p>
          <w:p w:rsidR="009F54F1" w:rsidRPr="000F5A61" w:rsidRDefault="00F50871" w:rsidP="00171098">
            <w:pPr>
              <w:spacing w:after="0" w:line="276" w:lineRule="auto"/>
              <w:jc w:val="center"/>
              <w:rPr>
                <w:rFonts w:ascii="Arial" w:eastAsia="Calibri" w:hAnsi="Arial" w:cs="Arial"/>
                <w:bCs/>
                <w:iCs/>
                <w:sz w:val="20"/>
                <w:szCs w:val="20"/>
                <w:lang w:val="en-US"/>
              </w:rPr>
            </w:pPr>
            <w:r w:rsidRPr="000F5A61">
              <w:rPr>
                <w:rFonts w:ascii="Arial" w:eastAsia="Calibri" w:hAnsi="Arial" w:cs="Arial"/>
                <w:bCs/>
                <w:iCs/>
                <w:sz w:val="20"/>
                <w:szCs w:val="20"/>
                <w:lang w:val="en-US"/>
              </w:rPr>
              <w:t>Pages 17-43</w:t>
            </w:r>
          </w:p>
          <w:p w:rsidR="006D1F25" w:rsidRPr="000F5A61" w:rsidRDefault="006D1F25" w:rsidP="00171098">
            <w:pPr>
              <w:spacing w:after="0" w:line="276" w:lineRule="auto"/>
              <w:jc w:val="center"/>
              <w:rPr>
                <w:rFonts w:ascii="Arial" w:eastAsia="Calibri" w:hAnsi="Arial" w:cs="Arial"/>
                <w:bCs/>
                <w:iCs/>
                <w:sz w:val="20"/>
                <w:szCs w:val="20"/>
                <w:lang w:val="en-US"/>
              </w:rPr>
            </w:pPr>
          </w:p>
        </w:tc>
        <w:tc>
          <w:tcPr>
            <w:tcW w:w="1932" w:type="dxa"/>
            <w:gridSpan w:val="2"/>
            <w:vAlign w:val="center"/>
          </w:tcPr>
          <w:p w:rsidR="009F54F1" w:rsidRPr="000F5A61" w:rsidRDefault="00035C1E" w:rsidP="00171098">
            <w:pPr>
              <w:spacing w:after="0" w:line="240" w:lineRule="auto"/>
              <w:jc w:val="center"/>
              <w:rPr>
                <w:rFonts w:ascii="Arial" w:eastAsia="Calibri" w:hAnsi="Arial" w:cs="Arial"/>
                <w:bCs/>
                <w:iCs/>
                <w:sz w:val="20"/>
                <w:szCs w:val="20"/>
                <w:lang w:val="en-US"/>
              </w:rPr>
            </w:pPr>
            <w:sdt>
              <w:sdtPr>
                <w:rPr>
                  <w:rFonts w:ascii="Arial" w:eastAsia="Calibri" w:hAnsi="Arial" w:cs="Arial"/>
                  <w:bCs/>
                  <w:iCs/>
                  <w:sz w:val="20"/>
                  <w:szCs w:val="20"/>
                  <w:lang w:val="en-US"/>
                </w:rPr>
                <w:id w:val="-1507287556"/>
              </w:sdtPr>
              <w:sdtContent>
                <w:r w:rsidR="009F54F1" w:rsidRPr="000F5A61">
                  <w:rPr>
                    <w:rFonts w:ascii="Arial" w:eastAsia="Calibri" w:hAnsi="Arial" w:cs="Arial"/>
                    <w:bCs/>
                    <w:iCs/>
                    <w:sz w:val="20"/>
                    <w:szCs w:val="20"/>
                    <w:lang w:val="en-US"/>
                  </w:rPr>
                  <w:t>☐</w:t>
                </w:r>
              </w:sdtContent>
            </w:sdt>
          </w:p>
        </w:tc>
      </w:tr>
      <w:tr w:rsidR="00171098" w:rsidRPr="000F5A61" w:rsidTr="00171098">
        <w:trPr>
          <w:gridBefore w:val="1"/>
          <w:wBefore w:w="17" w:type="dxa"/>
          <w:trHeight w:val="677"/>
        </w:trPr>
        <w:tc>
          <w:tcPr>
            <w:tcW w:w="2251" w:type="dxa"/>
            <w:shd w:val="clear" w:color="auto" w:fill="F2F2F2" w:themeFill="background1" w:themeFillShade="F2"/>
            <w:vAlign w:val="center"/>
          </w:tcPr>
          <w:p w:rsidR="009F54F1" w:rsidRPr="000F5A61" w:rsidRDefault="009F54F1" w:rsidP="00171098">
            <w:pPr>
              <w:tabs>
                <w:tab w:val="left" w:pos="338"/>
              </w:tabs>
              <w:spacing w:after="0" w:line="276" w:lineRule="auto"/>
              <w:contextualSpacing/>
              <w:rPr>
                <w:rFonts w:ascii="Arial" w:eastAsia="Calibri" w:hAnsi="Arial" w:cs="Arial"/>
                <w:bCs/>
                <w:iCs/>
                <w:sz w:val="20"/>
                <w:szCs w:val="20"/>
                <w:lang w:val="en-US"/>
              </w:rPr>
            </w:pPr>
            <w:r w:rsidRPr="000F5A61">
              <w:rPr>
                <w:rFonts w:ascii="Arial" w:eastAsia="Calibri" w:hAnsi="Arial" w:cs="Arial"/>
                <w:sz w:val="20"/>
                <w:szCs w:val="20"/>
                <w:lang w:val="en-US"/>
              </w:rPr>
              <w:t>Operational plan, including budgetary framework</w:t>
            </w:r>
          </w:p>
        </w:tc>
        <w:tc>
          <w:tcPr>
            <w:tcW w:w="3811" w:type="dxa"/>
          </w:tcPr>
          <w:p w:rsidR="009F54F1" w:rsidRPr="000F5A61" w:rsidRDefault="008B1AD7" w:rsidP="00F50871">
            <w:pPr>
              <w:tabs>
                <w:tab w:val="left" w:pos="338"/>
              </w:tabs>
              <w:spacing w:after="0" w:line="276" w:lineRule="auto"/>
              <w:contextualSpacing/>
              <w:rPr>
                <w:rFonts w:ascii="Arial" w:eastAsia="Calibri" w:hAnsi="Arial" w:cs="Arial"/>
                <w:bCs/>
                <w:iCs/>
                <w:sz w:val="20"/>
                <w:szCs w:val="20"/>
              </w:rPr>
            </w:pPr>
            <w:r w:rsidRPr="000F5A61">
              <w:rPr>
                <w:rFonts w:ascii="Arial" w:eastAsia="Calibri" w:hAnsi="Arial" w:cs="Arial"/>
                <w:bCs/>
                <w:iCs/>
                <w:sz w:val="20"/>
                <w:szCs w:val="20"/>
                <w:lang w:val="en-US"/>
              </w:rPr>
              <w:t xml:space="preserve">Annex 4. </w:t>
            </w:r>
            <w:r w:rsidR="004A43AD" w:rsidRPr="000F5A61">
              <w:rPr>
                <w:rFonts w:ascii="Arial" w:eastAsia="Calibri" w:hAnsi="Arial" w:cs="Arial"/>
                <w:bCs/>
                <w:iCs/>
                <w:sz w:val="20"/>
                <w:szCs w:val="20"/>
                <w:lang w:val="en-US"/>
              </w:rPr>
              <w:t>‘</w:t>
            </w:r>
            <w:r w:rsidR="004A43AD" w:rsidRPr="000F5A61">
              <w:rPr>
                <w:rFonts w:ascii="Arial" w:eastAsia="Calibri" w:hAnsi="Arial" w:cs="Arial"/>
                <w:bCs/>
                <w:iCs/>
                <w:sz w:val="20"/>
                <w:szCs w:val="20"/>
              </w:rPr>
              <w:t>Operational Framework for Malaria Elimination in Nepal, July 2017’</w:t>
            </w:r>
            <w:r w:rsidR="00F50871" w:rsidRPr="000F5A61">
              <w:rPr>
                <w:rFonts w:ascii="Arial" w:eastAsia="Calibri" w:hAnsi="Arial" w:cs="Arial"/>
                <w:bCs/>
                <w:iCs/>
                <w:sz w:val="20"/>
                <w:szCs w:val="20"/>
              </w:rPr>
              <w:t>.</w:t>
            </w:r>
          </w:p>
          <w:p w:rsidR="00F50871" w:rsidRPr="000F5A61" w:rsidRDefault="00F50871" w:rsidP="00F50871">
            <w:pPr>
              <w:tabs>
                <w:tab w:val="left" w:pos="338"/>
              </w:tabs>
              <w:spacing w:after="0" w:line="276" w:lineRule="auto"/>
              <w:contextualSpacing/>
              <w:rPr>
                <w:rFonts w:ascii="Arial" w:eastAsia="Calibri" w:hAnsi="Arial" w:cs="Arial"/>
                <w:bCs/>
                <w:iCs/>
                <w:sz w:val="20"/>
                <w:szCs w:val="20"/>
                <w:lang w:val="en-US"/>
              </w:rPr>
            </w:pPr>
            <w:r w:rsidRPr="000F5A61">
              <w:rPr>
                <w:rFonts w:ascii="Arial" w:eastAsia="Calibri" w:hAnsi="Arial" w:cs="Arial"/>
                <w:bCs/>
                <w:iCs/>
                <w:sz w:val="20"/>
                <w:szCs w:val="20"/>
              </w:rPr>
              <w:t>NMEP Budget.</w:t>
            </w:r>
          </w:p>
        </w:tc>
        <w:tc>
          <w:tcPr>
            <w:tcW w:w="1406" w:type="dxa"/>
            <w:vAlign w:val="center"/>
          </w:tcPr>
          <w:p w:rsidR="009F54F1" w:rsidRPr="000F5A61" w:rsidRDefault="004A43AD" w:rsidP="00C86062">
            <w:pPr>
              <w:spacing w:after="0" w:line="276" w:lineRule="auto"/>
              <w:rPr>
                <w:rFonts w:ascii="Arial" w:eastAsia="Calibri" w:hAnsi="Arial" w:cs="Arial"/>
                <w:bCs/>
                <w:iCs/>
                <w:sz w:val="20"/>
                <w:szCs w:val="20"/>
                <w:lang w:val="en-US" w:eastAsia="en-GB"/>
              </w:rPr>
            </w:pPr>
            <w:r w:rsidRPr="000F5A61">
              <w:rPr>
                <w:rFonts w:ascii="Arial" w:eastAsia="Calibri" w:hAnsi="Arial" w:cs="Arial"/>
                <w:bCs/>
                <w:iCs/>
                <w:sz w:val="20"/>
                <w:szCs w:val="20"/>
                <w:lang w:val="en-US"/>
              </w:rPr>
              <w:t>All</w:t>
            </w:r>
          </w:p>
          <w:p w:rsidR="005B41A6" w:rsidRPr="000F5A61" w:rsidRDefault="005B41A6" w:rsidP="00171098">
            <w:pPr>
              <w:spacing w:after="0" w:line="276" w:lineRule="auto"/>
              <w:jc w:val="center"/>
              <w:rPr>
                <w:rFonts w:ascii="Arial" w:eastAsia="Calibri" w:hAnsi="Arial" w:cs="Arial"/>
                <w:bCs/>
                <w:iCs/>
                <w:sz w:val="20"/>
                <w:szCs w:val="20"/>
                <w:lang w:val="en-US"/>
              </w:rPr>
            </w:pPr>
          </w:p>
          <w:p w:rsidR="00F50871" w:rsidRPr="000F5A61" w:rsidRDefault="00F50871" w:rsidP="00C86062">
            <w:pPr>
              <w:spacing w:after="0" w:line="276" w:lineRule="auto"/>
              <w:rPr>
                <w:rFonts w:ascii="Arial" w:eastAsia="Calibri" w:hAnsi="Arial" w:cs="Arial"/>
                <w:bCs/>
                <w:iCs/>
                <w:sz w:val="20"/>
                <w:szCs w:val="20"/>
                <w:lang w:val="en-US" w:eastAsia="en-GB"/>
              </w:rPr>
            </w:pPr>
            <w:r w:rsidRPr="000F5A61">
              <w:rPr>
                <w:rFonts w:ascii="Arial" w:eastAsia="Calibri" w:hAnsi="Arial" w:cs="Arial"/>
                <w:bCs/>
                <w:iCs/>
                <w:sz w:val="20"/>
                <w:szCs w:val="20"/>
                <w:lang w:val="en-US"/>
              </w:rPr>
              <w:t>All</w:t>
            </w:r>
          </w:p>
        </w:tc>
        <w:tc>
          <w:tcPr>
            <w:tcW w:w="1932" w:type="dxa"/>
            <w:gridSpan w:val="2"/>
            <w:vAlign w:val="center"/>
          </w:tcPr>
          <w:p w:rsidR="009F54F1" w:rsidRPr="000F5A61" w:rsidRDefault="00035C1E" w:rsidP="00171098">
            <w:pPr>
              <w:spacing w:after="0" w:line="240" w:lineRule="auto"/>
              <w:jc w:val="center"/>
              <w:rPr>
                <w:rFonts w:ascii="Arial" w:eastAsia="Calibri" w:hAnsi="Arial" w:cs="Arial"/>
                <w:bCs/>
                <w:iCs/>
                <w:sz w:val="20"/>
                <w:szCs w:val="20"/>
                <w:lang w:val="en-US"/>
              </w:rPr>
            </w:pPr>
            <w:sdt>
              <w:sdtPr>
                <w:rPr>
                  <w:rFonts w:ascii="Arial" w:eastAsia="Calibri" w:hAnsi="Arial" w:cs="Arial"/>
                  <w:bCs/>
                  <w:iCs/>
                  <w:sz w:val="20"/>
                  <w:szCs w:val="20"/>
                  <w:lang w:val="en-US"/>
                </w:rPr>
                <w:id w:val="-1254424447"/>
              </w:sdtPr>
              <w:sdtContent>
                <w:r w:rsidR="009F54F1" w:rsidRPr="000F5A61">
                  <w:rPr>
                    <w:rFonts w:ascii="Arial" w:eastAsia="Calibri" w:hAnsi="Arial" w:cs="Arial"/>
                    <w:bCs/>
                    <w:iCs/>
                    <w:sz w:val="20"/>
                    <w:szCs w:val="20"/>
                    <w:lang w:val="en-US"/>
                  </w:rPr>
                  <w:t>☐</w:t>
                </w:r>
              </w:sdtContent>
            </w:sdt>
          </w:p>
        </w:tc>
      </w:tr>
      <w:tr w:rsidR="00171098" w:rsidRPr="000F5A61" w:rsidTr="00171098">
        <w:trPr>
          <w:gridBefore w:val="1"/>
          <w:wBefore w:w="17" w:type="dxa"/>
          <w:trHeight w:val="677"/>
        </w:trPr>
        <w:tc>
          <w:tcPr>
            <w:tcW w:w="2251" w:type="dxa"/>
            <w:shd w:val="clear" w:color="auto" w:fill="F2F2F2" w:themeFill="background1" w:themeFillShade="F2"/>
            <w:vAlign w:val="center"/>
          </w:tcPr>
          <w:p w:rsidR="009F54F1" w:rsidRPr="000F5A61" w:rsidRDefault="009F54F1" w:rsidP="00171098">
            <w:pPr>
              <w:tabs>
                <w:tab w:val="left" w:pos="338"/>
              </w:tabs>
              <w:spacing w:after="0" w:line="276" w:lineRule="auto"/>
              <w:contextualSpacing/>
              <w:rPr>
                <w:rFonts w:ascii="Arial" w:eastAsia="Calibri" w:hAnsi="Arial" w:cs="Arial"/>
                <w:bCs/>
                <w:iCs/>
                <w:sz w:val="20"/>
                <w:szCs w:val="20"/>
                <w:lang w:val="en-US"/>
              </w:rPr>
            </w:pPr>
            <w:r w:rsidRPr="000F5A61">
              <w:rPr>
                <w:rFonts w:ascii="Arial" w:eastAsia="Calibri" w:hAnsi="Arial" w:cs="Arial"/>
                <w:sz w:val="20"/>
                <w:szCs w:val="20"/>
                <w:lang w:val="en-US"/>
              </w:rPr>
              <w:t>Program reviews and/or evaluations</w:t>
            </w:r>
          </w:p>
        </w:tc>
        <w:tc>
          <w:tcPr>
            <w:tcW w:w="3811" w:type="dxa"/>
          </w:tcPr>
          <w:p w:rsidR="009F54F1" w:rsidRPr="000F5A61" w:rsidRDefault="008B1AD7" w:rsidP="00171098">
            <w:pPr>
              <w:tabs>
                <w:tab w:val="left" w:pos="338"/>
              </w:tabs>
              <w:spacing w:after="0" w:line="276" w:lineRule="auto"/>
              <w:contextualSpacing/>
              <w:rPr>
                <w:rFonts w:ascii="Arial" w:eastAsia="Calibri" w:hAnsi="Arial" w:cs="Arial"/>
                <w:bCs/>
                <w:iCs/>
                <w:sz w:val="20"/>
                <w:szCs w:val="20"/>
                <w:lang w:val="en-US"/>
              </w:rPr>
            </w:pPr>
            <w:r w:rsidRPr="000F5A61">
              <w:rPr>
                <w:rFonts w:ascii="Arial" w:eastAsia="Calibri" w:hAnsi="Arial" w:cs="Arial"/>
                <w:bCs/>
                <w:iCs/>
                <w:sz w:val="20"/>
                <w:szCs w:val="20"/>
                <w:lang w:val="en-US"/>
              </w:rPr>
              <w:t xml:space="preserve">Annex 8. </w:t>
            </w:r>
            <w:r w:rsidR="004A43AD" w:rsidRPr="000F5A61">
              <w:rPr>
                <w:rFonts w:ascii="Arial" w:eastAsia="Calibri" w:hAnsi="Arial" w:cs="Arial"/>
                <w:bCs/>
                <w:iCs/>
                <w:sz w:val="20"/>
                <w:szCs w:val="20"/>
                <w:lang w:val="en-US"/>
              </w:rPr>
              <w:t>‘Malaria Programme Review in Nepal, 1-9 June 2017’.</w:t>
            </w:r>
          </w:p>
        </w:tc>
        <w:tc>
          <w:tcPr>
            <w:tcW w:w="1406" w:type="dxa"/>
            <w:vAlign w:val="center"/>
          </w:tcPr>
          <w:p w:rsidR="009F54F1" w:rsidRPr="000F5A61" w:rsidRDefault="004A43AD" w:rsidP="00C86062">
            <w:pPr>
              <w:spacing w:after="0" w:line="276" w:lineRule="auto"/>
              <w:rPr>
                <w:rFonts w:ascii="Arial" w:eastAsia="Calibri" w:hAnsi="Arial" w:cs="Arial"/>
                <w:bCs/>
                <w:iCs/>
                <w:sz w:val="20"/>
                <w:szCs w:val="20"/>
                <w:lang w:val="en-US" w:eastAsia="en-GB"/>
              </w:rPr>
            </w:pPr>
            <w:r w:rsidRPr="000F5A61">
              <w:rPr>
                <w:rFonts w:ascii="Arial" w:eastAsia="Calibri" w:hAnsi="Arial" w:cs="Arial"/>
                <w:bCs/>
                <w:iCs/>
                <w:sz w:val="20"/>
                <w:szCs w:val="20"/>
                <w:lang w:val="en-US"/>
              </w:rPr>
              <w:t>All</w:t>
            </w:r>
          </w:p>
        </w:tc>
        <w:tc>
          <w:tcPr>
            <w:tcW w:w="1932" w:type="dxa"/>
            <w:gridSpan w:val="2"/>
            <w:vAlign w:val="center"/>
          </w:tcPr>
          <w:p w:rsidR="009F54F1" w:rsidRPr="000F5A61" w:rsidRDefault="00035C1E" w:rsidP="00171098">
            <w:pPr>
              <w:spacing w:after="0" w:line="240" w:lineRule="auto"/>
              <w:jc w:val="center"/>
              <w:rPr>
                <w:rFonts w:ascii="Arial" w:eastAsia="Calibri" w:hAnsi="Arial" w:cs="Arial"/>
                <w:bCs/>
                <w:iCs/>
                <w:sz w:val="20"/>
                <w:szCs w:val="20"/>
                <w:lang w:val="en-US"/>
              </w:rPr>
            </w:pPr>
            <w:sdt>
              <w:sdtPr>
                <w:rPr>
                  <w:rFonts w:ascii="Arial" w:eastAsia="Calibri" w:hAnsi="Arial" w:cs="Arial"/>
                  <w:bCs/>
                  <w:iCs/>
                  <w:sz w:val="20"/>
                  <w:szCs w:val="20"/>
                  <w:lang w:val="en-US"/>
                </w:rPr>
                <w:id w:val="-1515295290"/>
              </w:sdtPr>
              <w:sdtContent>
                <w:r w:rsidR="009F54F1" w:rsidRPr="000F5A61">
                  <w:rPr>
                    <w:rFonts w:ascii="Arial" w:eastAsia="Calibri" w:hAnsi="Arial" w:cs="Arial"/>
                    <w:bCs/>
                    <w:iCs/>
                    <w:sz w:val="20"/>
                    <w:szCs w:val="20"/>
                    <w:lang w:val="en-US"/>
                  </w:rPr>
                  <w:t>☐</w:t>
                </w:r>
              </w:sdtContent>
            </w:sdt>
          </w:p>
        </w:tc>
      </w:tr>
      <w:tr w:rsidR="00171098" w:rsidRPr="000F5A61" w:rsidTr="00171098">
        <w:trPr>
          <w:gridBefore w:val="1"/>
          <w:wBefore w:w="17" w:type="dxa"/>
          <w:trHeight w:val="677"/>
        </w:trPr>
        <w:tc>
          <w:tcPr>
            <w:tcW w:w="2251" w:type="dxa"/>
            <w:shd w:val="clear" w:color="auto" w:fill="F2F2F2" w:themeFill="background1" w:themeFillShade="F2"/>
            <w:vAlign w:val="center"/>
          </w:tcPr>
          <w:p w:rsidR="009F54F1" w:rsidRPr="000F5A61" w:rsidRDefault="009F54F1" w:rsidP="00171098">
            <w:pPr>
              <w:tabs>
                <w:tab w:val="left" w:pos="338"/>
              </w:tabs>
              <w:spacing w:after="0" w:line="276" w:lineRule="auto"/>
              <w:contextualSpacing/>
              <w:rPr>
                <w:rFonts w:ascii="Arial" w:eastAsia="Calibri" w:hAnsi="Arial" w:cs="Arial"/>
                <w:sz w:val="20"/>
                <w:szCs w:val="20"/>
                <w:lang w:val="en-US"/>
              </w:rPr>
            </w:pPr>
            <w:r w:rsidRPr="000F5A61">
              <w:rPr>
                <w:rFonts w:ascii="Arial" w:eastAsia="Calibri" w:hAnsi="Arial" w:cs="Arial"/>
                <w:sz w:val="20"/>
                <w:szCs w:val="20"/>
                <w:lang w:val="en-US"/>
              </w:rPr>
              <w:t>Human rights and gender considerations (disease-specific)</w:t>
            </w:r>
          </w:p>
        </w:tc>
        <w:tc>
          <w:tcPr>
            <w:tcW w:w="3811" w:type="dxa"/>
          </w:tcPr>
          <w:p w:rsidR="009F54F1" w:rsidRPr="000F5A61" w:rsidRDefault="008B1AD7" w:rsidP="00171098">
            <w:pPr>
              <w:tabs>
                <w:tab w:val="left" w:pos="338"/>
              </w:tabs>
              <w:spacing w:after="0" w:line="276" w:lineRule="auto"/>
              <w:contextualSpacing/>
              <w:rPr>
                <w:rFonts w:ascii="Arial" w:eastAsia="Calibri" w:hAnsi="Arial" w:cs="Arial"/>
                <w:bCs/>
                <w:iCs/>
                <w:sz w:val="20"/>
                <w:szCs w:val="20"/>
                <w:lang w:val="en-US"/>
              </w:rPr>
            </w:pPr>
            <w:r w:rsidRPr="000F5A61">
              <w:rPr>
                <w:rFonts w:ascii="Arial" w:eastAsia="Calibri" w:hAnsi="Arial" w:cs="Arial"/>
                <w:bCs/>
                <w:iCs/>
                <w:sz w:val="20"/>
                <w:szCs w:val="20"/>
                <w:lang w:val="en-US"/>
              </w:rPr>
              <w:t xml:space="preserve">Annex 9. </w:t>
            </w:r>
            <w:r w:rsidR="00CB708C" w:rsidRPr="000F5A61">
              <w:rPr>
                <w:rFonts w:ascii="Arial" w:eastAsia="Calibri" w:hAnsi="Arial" w:cs="Arial"/>
                <w:bCs/>
                <w:iCs/>
                <w:sz w:val="20"/>
                <w:szCs w:val="20"/>
                <w:lang w:val="en-US"/>
              </w:rPr>
              <w:t>‘</w:t>
            </w:r>
            <w:r w:rsidR="00416913" w:rsidRPr="000F5A61">
              <w:rPr>
                <w:rFonts w:ascii="Arial" w:eastAsia="Calibri" w:hAnsi="Arial" w:cs="Arial"/>
                <w:bCs/>
                <w:iCs/>
                <w:sz w:val="20"/>
                <w:szCs w:val="20"/>
                <w:lang w:val="en-US"/>
              </w:rPr>
              <w:t>Chhaupadi</w:t>
            </w:r>
            <w:r w:rsidR="00CB708C" w:rsidRPr="000F5A61">
              <w:rPr>
                <w:rFonts w:ascii="Arial" w:eastAsia="Calibri" w:hAnsi="Arial" w:cs="Arial"/>
                <w:bCs/>
                <w:iCs/>
                <w:sz w:val="20"/>
                <w:szCs w:val="20"/>
                <w:lang w:val="en-US"/>
              </w:rPr>
              <w:t>’</w:t>
            </w:r>
            <w:r w:rsidR="00416913" w:rsidRPr="000F5A61">
              <w:rPr>
                <w:rFonts w:ascii="Arial" w:eastAsia="Calibri" w:hAnsi="Arial" w:cs="Arial"/>
                <w:bCs/>
                <w:iCs/>
                <w:sz w:val="20"/>
                <w:szCs w:val="20"/>
                <w:lang w:val="en-US"/>
              </w:rPr>
              <w:t xml:space="preserve"> https://en.wikipedia.org/wiki/Chhaupadi</w:t>
            </w:r>
          </w:p>
        </w:tc>
        <w:tc>
          <w:tcPr>
            <w:tcW w:w="1406" w:type="dxa"/>
            <w:vAlign w:val="center"/>
          </w:tcPr>
          <w:p w:rsidR="009F54F1" w:rsidRPr="000F5A61" w:rsidRDefault="00416913" w:rsidP="00C86062">
            <w:pPr>
              <w:spacing w:after="0" w:line="276" w:lineRule="auto"/>
              <w:rPr>
                <w:rFonts w:ascii="Arial" w:eastAsia="Calibri" w:hAnsi="Arial" w:cs="Arial"/>
                <w:bCs/>
                <w:iCs/>
                <w:sz w:val="20"/>
                <w:szCs w:val="20"/>
                <w:lang w:val="en-US" w:eastAsia="en-GB"/>
              </w:rPr>
            </w:pPr>
            <w:r w:rsidRPr="000F5A61">
              <w:rPr>
                <w:rFonts w:ascii="Arial" w:eastAsia="Calibri" w:hAnsi="Arial" w:cs="Arial"/>
                <w:bCs/>
                <w:iCs/>
                <w:sz w:val="20"/>
                <w:szCs w:val="20"/>
                <w:lang w:val="en-US"/>
              </w:rPr>
              <w:t>1 page</w:t>
            </w:r>
          </w:p>
        </w:tc>
        <w:tc>
          <w:tcPr>
            <w:tcW w:w="1932" w:type="dxa"/>
            <w:gridSpan w:val="2"/>
            <w:vAlign w:val="center"/>
          </w:tcPr>
          <w:p w:rsidR="009F54F1" w:rsidRPr="000F5A61" w:rsidRDefault="00035C1E" w:rsidP="00171098">
            <w:pPr>
              <w:spacing w:after="0" w:line="240" w:lineRule="auto"/>
              <w:jc w:val="center"/>
              <w:rPr>
                <w:rFonts w:ascii="Arial" w:eastAsia="Calibri" w:hAnsi="Arial" w:cs="Arial"/>
                <w:bCs/>
                <w:iCs/>
                <w:sz w:val="20"/>
                <w:szCs w:val="20"/>
                <w:lang w:val="en-US"/>
              </w:rPr>
            </w:pPr>
            <w:sdt>
              <w:sdtPr>
                <w:rPr>
                  <w:rFonts w:ascii="Arial" w:eastAsia="Calibri" w:hAnsi="Arial" w:cs="Arial"/>
                  <w:bCs/>
                  <w:iCs/>
                  <w:sz w:val="20"/>
                  <w:szCs w:val="20"/>
                  <w:lang w:val="en-US"/>
                </w:rPr>
                <w:id w:val="-1606494358"/>
              </w:sdtPr>
              <w:sdtContent>
                <w:r w:rsidR="009F54F1" w:rsidRPr="000F5A61">
                  <w:rPr>
                    <w:rFonts w:ascii="Arial" w:eastAsia="Calibri" w:hAnsi="Arial" w:cs="Arial"/>
                    <w:bCs/>
                    <w:iCs/>
                    <w:sz w:val="20"/>
                    <w:szCs w:val="20"/>
                    <w:lang w:val="en-US"/>
                  </w:rPr>
                  <w:t>☐</w:t>
                </w:r>
              </w:sdtContent>
            </w:sdt>
          </w:p>
        </w:tc>
      </w:tr>
      <w:tr w:rsidR="00171098" w:rsidRPr="000F5A61" w:rsidTr="00171098">
        <w:trPr>
          <w:gridBefore w:val="1"/>
          <w:wBefore w:w="17" w:type="dxa"/>
          <w:trHeight w:val="529"/>
        </w:trPr>
        <w:tc>
          <w:tcPr>
            <w:tcW w:w="9400" w:type="dxa"/>
            <w:gridSpan w:val="5"/>
            <w:vAlign w:val="center"/>
          </w:tcPr>
          <w:p w:rsidR="00B50C6D" w:rsidRPr="000F5A61" w:rsidRDefault="00B50C6D" w:rsidP="00171098">
            <w:pPr>
              <w:spacing w:after="0" w:line="240" w:lineRule="auto"/>
              <w:rPr>
                <w:rFonts w:ascii="Arial" w:eastAsia="Calibri" w:hAnsi="Arial" w:cs="Arial"/>
                <w:bCs/>
                <w:iCs/>
                <w:sz w:val="20"/>
                <w:szCs w:val="20"/>
                <w:lang w:val="en-US"/>
              </w:rPr>
            </w:pPr>
            <w:r w:rsidRPr="000F5A61">
              <w:rPr>
                <w:rFonts w:ascii="Arial" w:eastAsia="Calibri" w:hAnsi="Arial" w:cs="Arial"/>
                <w:bCs/>
                <w:i/>
                <w:iCs/>
                <w:sz w:val="20"/>
                <w:szCs w:val="20"/>
                <w:lang w:val="en-US"/>
              </w:rPr>
              <w:t xml:space="preserve">Add rows as relevant, for any additional key area as relevant to the funding request </w:t>
            </w:r>
          </w:p>
        </w:tc>
      </w:tr>
    </w:tbl>
    <w:p w:rsidR="00B04E0C" w:rsidRPr="000F5A61" w:rsidRDefault="00B04E0C" w:rsidP="00171098">
      <w:pPr>
        <w:rPr>
          <w:rFonts w:ascii="Arial" w:hAnsi="Arial" w:cs="Arial"/>
          <w:sz w:val="20"/>
          <w:szCs w:val="20"/>
        </w:rPr>
      </w:pPr>
    </w:p>
    <w:p w:rsidR="00FE411C" w:rsidRPr="000F5A61" w:rsidRDefault="00FE411C">
      <w:pPr>
        <w:rPr>
          <w:rFonts w:ascii="Arial" w:hAnsi="Arial" w:cs="Arial"/>
          <w:sz w:val="20"/>
          <w:szCs w:val="20"/>
        </w:rPr>
      </w:pPr>
    </w:p>
    <w:tbl>
      <w:tblPr>
        <w:tblW w:w="906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A0"/>
      </w:tblPr>
      <w:tblGrid>
        <w:gridCol w:w="9067"/>
      </w:tblGrid>
      <w:tr w:rsidR="00042DCA" w:rsidRPr="000F5A61" w:rsidTr="00FE411C">
        <w:trPr>
          <w:trHeight w:val="448"/>
          <w:jc w:val="center"/>
        </w:trPr>
        <w:tc>
          <w:tcPr>
            <w:tcW w:w="9067" w:type="dxa"/>
            <w:shd w:val="clear" w:color="auto" w:fill="C6D9F1"/>
            <w:vAlign w:val="center"/>
          </w:tcPr>
          <w:p w:rsidR="00042DCA" w:rsidRPr="000F5A61" w:rsidRDefault="00042DCA" w:rsidP="00CC0842">
            <w:pPr>
              <w:spacing w:after="0" w:line="276" w:lineRule="auto"/>
              <w:rPr>
                <w:rFonts w:ascii="Arial" w:eastAsia="Calibri" w:hAnsi="Arial" w:cs="Arial"/>
                <w:sz w:val="20"/>
                <w:szCs w:val="20"/>
                <w:lang w:val="en-US"/>
              </w:rPr>
            </w:pPr>
            <w:r w:rsidRPr="000F5A61">
              <w:rPr>
                <w:rFonts w:ascii="Arial" w:eastAsia="Calibri" w:hAnsi="Arial" w:cs="Arial"/>
                <w:b/>
                <w:bCs/>
                <w:sz w:val="20"/>
                <w:szCs w:val="20"/>
                <w:lang w:val="en-US"/>
              </w:rPr>
              <w:t>1</w:t>
            </w:r>
            <w:r w:rsidRPr="000F5A61">
              <w:rPr>
                <w:rFonts w:ascii="Arial" w:eastAsia="Calibri" w:hAnsi="Arial" w:cs="Arial"/>
                <w:b/>
                <w:bCs/>
                <w:sz w:val="20"/>
                <w:szCs w:val="20"/>
                <w:shd w:val="clear" w:color="auto" w:fill="C6D9F1"/>
                <w:lang w:val="en-US"/>
              </w:rPr>
              <w:t>.2 Summary of country context</w:t>
            </w:r>
          </w:p>
        </w:tc>
      </w:tr>
      <w:tr w:rsidR="00042DCA" w:rsidRPr="000F5A61" w:rsidTr="00FE411C">
        <w:trPr>
          <w:trHeight w:val="1790"/>
          <w:jc w:val="center"/>
        </w:trPr>
        <w:tc>
          <w:tcPr>
            <w:tcW w:w="9067" w:type="dxa"/>
            <w:shd w:val="clear" w:color="auto" w:fill="F2F2F2" w:themeFill="background1" w:themeFillShade="F2"/>
            <w:vAlign w:val="center"/>
          </w:tcPr>
          <w:p w:rsidR="00F57EBD" w:rsidRPr="000F5A61" w:rsidRDefault="00F57EBD" w:rsidP="00AB3764">
            <w:pPr>
              <w:spacing w:after="200" w:line="276" w:lineRule="auto"/>
              <w:jc w:val="both"/>
              <w:rPr>
                <w:rFonts w:ascii="Arial" w:eastAsia="Calibri" w:hAnsi="Arial" w:cs="Arial"/>
                <w:sz w:val="20"/>
                <w:szCs w:val="20"/>
                <w:lang w:val="en-US"/>
              </w:rPr>
            </w:pPr>
            <w:r w:rsidRPr="000F5A61">
              <w:rPr>
                <w:rFonts w:ascii="Arial" w:eastAsia="Calibri" w:hAnsi="Arial" w:cs="Arial"/>
                <w:sz w:val="20"/>
                <w:szCs w:val="20"/>
                <w:lang w:val="en-US"/>
              </w:rPr>
              <w:t>To complement the reference documents listed in Section 1.1 above, provide a summary of the critical elements within the context that informed the development of the funding request. The brief description of the context should cover disease-specific and RSSH components, as appropriate</w:t>
            </w:r>
            <w:r w:rsidR="001824E8" w:rsidRPr="000F5A61">
              <w:rPr>
                <w:rFonts w:ascii="Arial" w:eastAsia="Calibri" w:hAnsi="Arial" w:cs="Arial"/>
                <w:sz w:val="20"/>
                <w:szCs w:val="20"/>
                <w:lang w:val="en-US"/>
              </w:rPr>
              <w:t>, as well as human righ</w:t>
            </w:r>
            <w:r w:rsidR="007B548A" w:rsidRPr="000F5A61">
              <w:rPr>
                <w:rFonts w:ascii="Arial" w:eastAsia="Calibri" w:hAnsi="Arial" w:cs="Arial"/>
                <w:sz w:val="20"/>
                <w:szCs w:val="20"/>
                <w:lang w:val="en-US"/>
              </w:rPr>
              <w:t>ts and gender-related considerations</w:t>
            </w:r>
            <w:r w:rsidRPr="000F5A61">
              <w:rPr>
                <w:rFonts w:ascii="Arial" w:eastAsia="Calibri" w:hAnsi="Arial" w:cs="Arial"/>
                <w:sz w:val="20"/>
                <w:szCs w:val="20"/>
                <w:lang w:val="en-US"/>
              </w:rPr>
              <w:t>.</w:t>
            </w:r>
          </w:p>
          <w:p w:rsidR="00042DCA" w:rsidRPr="000F5A61" w:rsidRDefault="001631BD" w:rsidP="00142F1D">
            <w:pPr>
              <w:spacing w:after="0"/>
              <w:rPr>
                <w:rFonts w:ascii="Arial" w:eastAsia="Calibri" w:hAnsi="Arial" w:cs="Arial"/>
                <w:sz w:val="20"/>
                <w:szCs w:val="20"/>
                <w:lang w:val="fr-CH"/>
              </w:rPr>
            </w:pPr>
            <w:r w:rsidRPr="000F5A61">
              <w:rPr>
                <w:rFonts w:ascii="Arial" w:eastAsia="Calibri" w:hAnsi="Arial" w:cs="Arial"/>
                <w:b/>
                <w:bCs/>
                <w:sz w:val="20"/>
                <w:szCs w:val="20"/>
                <w:lang w:val="en-US"/>
              </w:rPr>
              <w:t>(maximum</w:t>
            </w:r>
            <w:r w:rsidR="00042DCA" w:rsidRPr="000F5A61">
              <w:rPr>
                <w:rFonts w:ascii="Arial" w:eastAsia="Calibri" w:hAnsi="Arial" w:cs="Arial"/>
                <w:b/>
                <w:bCs/>
                <w:sz w:val="20"/>
                <w:szCs w:val="20"/>
                <w:lang w:val="en-US"/>
              </w:rPr>
              <w:t xml:space="preserve"> 2 </w:t>
            </w:r>
            <w:r w:rsidR="005A62F6" w:rsidRPr="000F5A61">
              <w:rPr>
                <w:rFonts w:ascii="Arial" w:eastAsia="Calibri" w:hAnsi="Arial" w:cs="Arial"/>
                <w:b/>
                <w:bCs/>
                <w:sz w:val="20"/>
                <w:szCs w:val="20"/>
                <w:lang w:val="en-US"/>
              </w:rPr>
              <w:t>pages</w:t>
            </w:r>
            <w:r w:rsidR="00042DCA" w:rsidRPr="000F5A61">
              <w:rPr>
                <w:rFonts w:ascii="Arial" w:eastAsia="Calibri" w:hAnsi="Arial" w:cs="Arial"/>
                <w:b/>
                <w:bCs/>
                <w:sz w:val="20"/>
                <w:szCs w:val="20"/>
                <w:lang w:val="en-US"/>
              </w:rPr>
              <w:t xml:space="preserve"> per component)</w:t>
            </w:r>
          </w:p>
        </w:tc>
      </w:tr>
    </w:tbl>
    <w:p w:rsidR="00042DCA" w:rsidRPr="000F5A61" w:rsidRDefault="00042DCA" w:rsidP="00042DCA">
      <w:pPr>
        <w:spacing w:after="0"/>
        <w:rPr>
          <w:rFonts w:ascii="Arial" w:hAnsi="Arial" w:cs="Arial"/>
          <w:sz w:val="20"/>
          <w:szCs w:val="20"/>
          <w:lang w:val="fr-CH"/>
        </w:rPr>
      </w:pPr>
    </w:p>
    <w:p w:rsidR="00BD5910" w:rsidRPr="000F5A61" w:rsidRDefault="00476BE6" w:rsidP="00C86062">
      <w:pPr>
        <w:widowControl w:val="0"/>
        <w:autoSpaceDE w:val="0"/>
        <w:autoSpaceDN w:val="0"/>
        <w:adjustRightInd w:val="0"/>
        <w:spacing w:after="120" w:line="240" w:lineRule="auto"/>
        <w:rPr>
          <w:rFonts w:ascii="Arial" w:hAnsi="Arial" w:cs="Arial"/>
          <w:sz w:val="20"/>
          <w:szCs w:val="20"/>
        </w:rPr>
      </w:pPr>
      <w:r w:rsidRPr="000F5A61">
        <w:rPr>
          <w:rFonts w:ascii="Arial" w:hAnsi="Arial" w:cs="Arial"/>
          <w:b/>
          <w:sz w:val="20"/>
          <w:szCs w:val="20"/>
          <w:lang w:val="en-US"/>
        </w:rPr>
        <w:t>O</w:t>
      </w:r>
      <w:r w:rsidR="00240533" w:rsidRPr="000F5A61">
        <w:rPr>
          <w:rFonts w:ascii="Arial" w:hAnsi="Arial" w:cs="Arial"/>
          <w:b/>
          <w:sz w:val="20"/>
          <w:szCs w:val="20"/>
          <w:lang w:val="en-US"/>
        </w:rPr>
        <w:t>verview of health system</w:t>
      </w:r>
      <w:r w:rsidRPr="000F5A61">
        <w:rPr>
          <w:rFonts w:ascii="Arial" w:hAnsi="Arial" w:cs="Arial"/>
          <w:b/>
          <w:sz w:val="20"/>
          <w:szCs w:val="20"/>
          <w:lang w:val="en-US"/>
        </w:rPr>
        <w:t>.</w:t>
      </w:r>
      <w:r w:rsidR="008A76B3" w:rsidRPr="000F5A61">
        <w:rPr>
          <w:rFonts w:ascii="Arial" w:hAnsi="Arial" w:cs="Arial"/>
          <w:sz w:val="20"/>
          <w:szCs w:val="20"/>
          <w:lang w:val="en-US"/>
        </w:rPr>
        <w:t>Nepal</w:t>
      </w:r>
      <w:r w:rsidR="008A76B3" w:rsidRPr="000F5A61">
        <w:rPr>
          <w:rFonts w:ascii="Arial" w:hAnsi="Arial" w:cs="Arial"/>
          <w:bCs/>
          <w:sz w:val="20"/>
          <w:szCs w:val="20"/>
        </w:rPr>
        <w:t xml:space="preserve"> has a comprehensive health infrastructure stretching to Ward level. The four-tier health services delivery system follows a decentralized administrative approach. Disease control programmes are implemented through Regional </w:t>
      </w:r>
      <w:r w:rsidR="00D17653" w:rsidRPr="000F5A61">
        <w:rPr>
          <w:rFonts w:ascii="Arial" w:hAnsi="Arial" w:cs="Arial"/>
          <w:bCs/>
          <w:sz w:val="20"/>
          <w:szCs w:val="20"/>
        </w:rPr>
        <w:t>H</w:t>
      </w:r>
      <w:r w:rsidR="008A76B3" w:rsidRPr="000F5A61">
        <w:rPr>
          <w:rFonts w:ascii="Arial" w:hAnsi="Arial" w:cs="Arial"/>
          <w:bCs/>
          <w:sz w:val="20"/>
          <w:szCs w:val="20"/>
        </w:rPr>
        <w:t xml:space="preserve">ealth </w:t>
      </w:r>
      <w:r w:rsidR="00D17653" w:rsidRPr="000F5A61">
        <w:rPr>
          <w:rFonts w:ascii="Arial" w:hAnsi="Arial" w:cs="Arial"/>
          <w:bCs/>
          <w:sz w:val="20"/>
          <w:szCs w:val="20"/>
        </w:rPr>
        <w:t>Directorates</w:t>
      </w:r>
      <w:r w:rsidR="008A76B3" w:rsidRPr="000F5A61">
        <w:rPr>
          <w:rFonts w:ascii="Arial" w:hAnsi="Arial" w:cs="Arial"/>
          <w:bCs/>
          <w:sz w:val="20"/>
          <w:szCs w:val="20"/>
        </w:rPr>
        <w:t xml:space="preserve">, with District-level the main focus for implementing malaria control activities. </w:t>
      </w:r>
      <w:r w:rsidR="00B04E0C" w:rsidRPr="000F5A61">
        <w:rPr>
          <w:rFonts w:ascii="Arial" w:hAnsi="Arial" w:cs="Arial"/>
          <w:bCs/>
          <w:sz w:val="20"/>
          <w:szCs w:val="20"/>
        </w:rPr>
        <w:t>Government of Nepal (</w:t>
      </w:r>
      <w:r w:rsidR="008A76B3" w:rsidRPr="000F5A61">
        <w:rPr>
          <w:rFonts w:ascii="Arial" w:hAnsi="Arial" w:cs="Arial"/>
          <w:bCs/>
          <w:sz w:val="20"/>
          <w:szCs w:val="20"/>
        </w:rPr>
        <w:t>GoN</w:t>
      </w:r>
      <w:r w:rsidR="00B04E0C" w:rsidRPr="000F5A61">
        <w:rPr>
          <w:rFonts w:ascii="Arial" w:hAnsi="Arial" w:cs="Arial"/>
          <w:bCs/>
          <w:sz w:val="20"/>
          <w:szCs w:val="20"/>
        </w:rPr>
        <w:t xml:space="preserve">)– Epidemiology and Disease Control Division </w:t>
      </w:r>
      <w:r w:rsidR="008A76B3" w:rsidRPr="000F5A61">
        <w:rPr>
          <w:rFonts w:ascii="Arial" w:hAnsi="Arial" w:cs="Arial"/>
          <w:bCs/>
          <w:sz w:val="20"/>
          <w:szCs w:val="20"/>
        </w:rPr>
        <w:t xml:space="preserve">(EDCD) </w:t>
      </w:r>
      <w:r w:rsidR="00761FD3" w:rsidRPr="000F5A61">
        <w:rPr>
          <w:rFonts w:ascii="Arial" w:hAnsi="Arial" w:cs="Arial"/>
          <w:bCs/>
          <w:sz w:val="20"/>
          <w:szCs w:val="20"/>
        </w:rPr>
        <w:t>is</w:t>
      </w:r>
      <w:r w:rsidR="008A76B3" w:rsidRPr="000F5A61">
        <w:rPr>
          <w:rFonts w:ascii="Arial" w:hAnsi="Arial" w:cs="Arial"/>
          <w:bCs/>
          <w:sz w:val="20"/>
          <w:szCs w:val="20"/>
        </w:rPr>
        <w:t xml:space="preserve"> responsible for providing preventive and curative services to the population at risk </w:t>
      </w:r>
      <w:r w:rsidR="008A76B3" w:rsidRPr="000F5A61">
        <w:rPr>
          <w:rFonts w:ascii="Arial" w:hAnsi="Arial" w:cs="Arial"/>
          <w:bCs/>
          <w:sz w:val="20"/>
          <w:szCs w:val="20"/>
          <w:lang w:val="en-US"/>
        </w:rPr>
        <w:t>(</w:t>
      </w:r>
      <w:r w:rsidR="00BD1498" w:rsidRPr="000F5A61">
        <w:rPr>
          <w:rFonts w:ascii="Arial" w:hAnsi="Arial" w:cs="Arial"/>
          <w:bCs/>
          <w:sz w:val="20"/>
          <w:szCs w:val="20"/>
          <w:lang w:val="en-US"/>
        </w:rPr>
        <w:t>annex 6</w:t>
      </w:r>
      <w:r w:rsidR="008A76B3" w:rsidRPr="000F5A61">
        <w:rPr>
          <w:rFonts w:ascii="Arial" w:hAnsi="Arial" w:cs="Arial"/>
          <w:bCs/>
          <w:sz w:val="20"/>
          <w:szCs w:val="20"/>
          <w:lang w:val="en-US"/>
        </w:rPr>
        <w:t>).</w:t>
      </w:r>
      <w:r w:rsidR="008A76B3" w:rsidRPr="000F5A61">
        <w:rPr>
          <w:rFonts w:ascii="Arial" w:hAnsi="Arial" w:cs="Arial"/>
          <w:sz w:val="20"/>
          <w:szCs w:val="20"/>
        </w:rPr>
        <w:t xml:space="preserve"> The role of the </w:t>
      </w:r>
      <w:r w:rsidR="00D17653" w:rsidRPr="000F5A61">
        <w:rPr>
          <w:rFonts w:ascii="Arial" w:hAnsi="Arial" w:cs="Arial"/>
          <w:sz w:val="20"/>
          <w:szCs w:val="20"/>
        </w:rPr>
        <w:t>P</w:t>
      </w:r>
      <w:r w:rsidR="008A76B3" w:rsidRPr="000F5A61">
        <w:rPr>
          <w:rFonts w:ascii="Arial" w:hAnsi="Arial" w:cs="Arial"/>
          <w:sz w:val="20"/>
          <w:szCs w:val="20"/>
        </w:rPr>
        <w:t xml:space="preserve">rivate </w:t>
      </w:r>
      <w:r w:rsidR="00D17653" w:rsidRPr="000F5A61">
        <w:rPr>
          <w:rFonts w:ascii="Arial" w:hAnsi="Arial" w:cs="Arial"/>
          <w:sz w:val="20"/>
          <w:szCs w:val="20"/>
        </w:rPr>
        <w:t>S</w:t>
      </w:r>
      <w:r w:rsidR="008A76B3" w:rsidRPr="000F5A61">
        <w:rPr>
          <w:rFonts w:ascii="Arial" w:hAnsi="Arial" w:cs="Arial"/>
          <w:sz w:val="20"/>
          <w:szCs w:val="20"/>
        </w:rPr>
        <w:t>ector (PS) in malaria case management is important</w:t>
      </w:r>
      <w:r w:rsidR="00074D5D" w:rsidRPr="000F5A61">
        <w:rPr>
          <w:rStyle w:val="FootnoteReference"/>
          <w:rFonts w:ascii="Arial" w:hAnsi="Arial" w:cs="Arial"/>
          <w:sz w:val="20"/>
          <w:szCs w:val="20"/>
        </w:rPr>
        <w:footnoteReference w:id="3"/>
      </w:r>
      <w:r w:rsidR="008A76B3" w:rsidRPr="000F5A61">
        <w:rPr>
          <w:rFonts w:ascii="Arial" w:hAnsi="Arial" w:cs="Arial"/>
          <w:sz w:val="20"/>
          <w:szCs w:val="20"/>
        </w:rPr>
        <w:t xml:space="preserve">, but ill defined, and PS engagement is a pre-requisite for elimination. </w:t>
      </w:r>
      <w:r w:rsidR="00025432" w:rsidRPr="000F5A61">
        <w:rPr>
          <w:rFonts w:ascii="Arial" w:hAnsi="Arial" w:cs="Arial"/>
          <w:sz w:val="20"/>
          <w:szCs w:val="20"/>
        </w:rPr>
        <w:t>Community-based services for malaria are currently restricted to referral by Female Community Health Volunteers (FCHVs) based on clinical symptoms.</w:t>
      </w:r>
    </w:p>
    <w:p w:rsidR="00B177EB" w:rsidRPr="00B1785B" w:rsidRDefault="00B177EB" w:rsidP="00C86062">
      <w:pPr>
        <w:widowControl w:val="0"/>
        <w:autoSpaceDE w:val="0"/>
        <w:autoSpaceDN w:val="0"/>
        <w:adjustRightInd w:val="0"/>
        <w:spacing w:after="120" w:line="240" w:lineRule="auto"/>
        <w:rPr>
          <w:rFonts w:ascii="Arial" w:hAnsi="Arial" w:cs="Arial"/>
          <w:sz w:val="20"/>
          <w:szCs w:val="20"/>
          <w:lang w:val="en-US"/>
        </w:rPr>
      </w:pPr>
      <w:r w:rsidRPr="000F5A61">
        <w:rPr>
          <w:rFonts w:ascii="Arial" w:hAnsi="Arial" w:cs="Arial"/>
          <w:b/>
          <w:sz w:val="20"/>
          <w:szCs w:val="20"/>
        </w:rPr>
        <w:t>Health System Strategy.</w:t>
      </w:r>
      <w:r w:rsidRPr="00B1785B">
        <w:rPr>
          <w:rFonts w:ascii="Arial" w:hAnsi="Arial" w:cs="Arial"/>
          <w:sz w:val="20"/>
          <w:szCs w:val="20"/>
          <w:lang w:val="en-US"/>
        </w:rPr>
        <w:t>The current Nepal Health Sector Programme, outlined in the ‘</w:t>
      </w:r>
      <w:r w:rsidRPr="000F5A61">
        <w:rPr>
          <w:rFonts w:ascii="Arial" w:eastAsia="Calibri" w:hAnsi="Arial" w:cs="Arial"/>
          <w:bCs/>
          <w:iCs/>
          <w:sz w:val="20"/>
          <w:szCs w:val="20"/>
          <w:lang w:val="en-US"/>
        </w:rPr>
        <w:t>Nepal Health Sector Strategy, 2015-20</w:t>
      </w:r>
      <w:r w:rsidRPr="00B1785B">
        <w:rPr>
          <w:rFonts w:ascii="Arial" w:hAnsi="Arial" w:cs="Arial"/>
          <w:sz w:val="20"/>
          <w:szCs w:val="20"/>
          <w:lang w:val="en-US"/>
        </w:rPr>
        <w:t>’</w:t>
      </w:r>
      <w:r w:rsidR="006D1F25" w:rsidRPr="00B1785B">
        <w:rPr>
          <w:rFonts w:ascii="Arial" w:hAnsi="Arial" w:cs="Arial"/>
          <w:sz w:val="20"/>
          <w:szCs w:val="20"/>
          <w:lang w:val="en-US"/>
        </w:rPr>
        <w:t xml:space="preserve"> (NHSS)</w:t>
      </w:r>
      <w:r w:rsidRPr="00B1785B">
        <w:rPr>
          <w:rFonts w:ascii="Arial" w:hAnsi="Arial" w:cs="Arial"/>
          <w:sz w:val="20"/>
          <w:szCs w:val="20"/>
          <w:lang w:val="en-US"/>
        </w:rPr>
        <w:t>, provides a roadmap towards universal coverage of basic health services as enshrined in the Constitution of Nepal 2015. It calls for a substantive change in the way the sector is organized and managed</w:t>
      </w:r>
      <w:r w:rsidR="00025432" w:rsidRPr="00B1785B">
        <w:rPr>
          <w:rFonts w:ascii="Arial" w:hAnsi="Arial" w:cs="Arial"/>
          <w:sz w:val="20"/>
          <w:szCs w:val="20"/>
          <w:lang w:val="en-US"/>
        </w:rPr>
        <w:t>,</w:t>
      </w:r>
      <w:r w:rsidRPr="00B1785B">
        <w:rPr>
          <w:rFonts w:ascii="Arial" w:hAnsi="Arial" w:cs="Arial"/>
          <w:sz w:val="20"/>
          <w:szCs w:val="20"/>
          <w:lang w:val="en-US"/>
        </w:rPr>
        <w:t xml:space="preserve"> consistent with the Sustainable Development Goals (SDGs). </w:t>
      </w:r>
    </w:p>
    <w:p w:rsidR="009D156F" w:rsidRPr="000F5A61" w:rsidRDefault="009D156F">
      <w:pPr>
        <w:spacing w:after="120" w:line="240" w:lineRule="auto"/>
        <w:rPr>
          <w:rFonts w:ascii="Arial" w:hAnsi="Arial" w:cs="Arial"/>
          <w:b/>
          <w:sz w:val="20"/>
          <w:szCs w:val="20"/>
          <w:lang w:val="en-US"/>
        </w:rPr>
      </w:pPr>
      <w:r w:rsidRPr="000F5A61">
        <w:rPr>
          <w:rFonts w:ascii="Arial" w:hAnsi="Arial" w:cs="Arial"/>
          <w:sz w:val="20"/>
          <w:szCs w:val="20"/>
        </w:rPr>
        <w:t xml:space="preserve">The </w:t>
      </w:r>
      <w:r w:rsidR="006D1F25" w:rsidRPr="000F5A61">
        <w:rPr>
          <w:rFonts w:ascii="Arial" w:hAnsi="Arial" w:cs="Arial"/>
          <w:sz w:val="20"/>
          <w:szCs w:val="20"/>
        </w:rPr>
        <w:t xml:space="preserve">NMSPis aligned with the NHSS, but </w:t>
      </w:r>
      <w:r w:rsidRPr="000F5A61">
        <w:rPr>
          <w:rFonts w:ascii="Arial" w:hAnsi="Arial" w:cs="Arial"/>
          <w:sz w:val="20"/>
          <w:szCs w:val="20"/>
        </w:rPr>
        <w:t xml:space="preserve">was out of step with the latest guidance </w:t>
      </w:r>
      <w:r w:rsidR="006D1F25" w:rsidRPr="000F5A61">
        <w:rPr>
          <w:rFonts w:ascii="Arial" w:hAnsi="Arial" w:cs="Arial"/>
          <w:sz w:val="20"/>
          <w:szCs w:val="20"/>
        </w:rPr>
        <w:t xml:space="preserve">on elimination </w:t>
      </w:r>
      <w:r w:rsidRPr="000F5A61">
        <w:rPr>
          <w:rFonts w:ascii="Arial" w:hAnsi="Arial" w:cs="Arial"/>
          <w:sz w:val="20"/>
          <w:szCs w:val="20"/>
        </w:rPr>
        <w:t xml:space="preserve">from WHO (published 2017). This has been addressed through the development of an </w:t>
      </w:r>
      <w:r w:rsidR="00025432" w:rsidRPr="000F5A61">
        <w:rPr>
          <w:rFonts w:ascii="Arial" w:hAnsi="Arial" w:cs="Arial"/>
          <w:sz w:val="20"/>
          <w:szCs w:val="20"/>
        </w:rPr>
        <w:t>‘A</w:t>
      </w:r>
      <w:r w:rsidRPr="000F5A61">
        <w:rPr>
          <w:rFonts w:ascii="Arial" w:hAnsi="Arial" w:cs="Arial"/>
          <w:sz w:val="20"/>
          <w:szCs w:val="20"/>
        </w:rPr>
        <w:t>ddendum</w:t>
      </w:r>
      <w:r w:rsidR="00025432" w:rsidRPr="000F5A61">
        <w:rPr>
          <w:rFonts w:ascii="Arial" w:hAnsi="Arial" w:cs="Arial"/>
          <w:sz w:val="20"/>
          <w:szCs w:val="20"/>
        </w:rPr>
        <w:t>’</w:t>
      </w:r>
      <w:r w:rsidR="00923815" w:rsidRPr="000F5A61">
        <w:rPr>
          <w:rFonts w:ascii="Arial" w:hAnsi="Arial" w:cs="Arial"/>
          <w:sz w:val="20"/>
          <w:szCs w:val="20"/>
        </w:rPr>
        <w:t xml:space="preserve"> (</w:t>
      </w:r>
      <w:r w:rsidR="00BD1498" w:rsidRPr="000F5A61">
        <w:rPr>
          <w:rFonts w:ascii="Arial" w:hAnsi="Arial" w:cs="Arial"/>
          <w:sz w:val="20"/>
          <w:szCs w:val="20"/>
        </w:rPr>
        <w:t>annex 7</w:t>
      </w:r>
      <w:r w:rsidR="00923815" w:rsidRPr="000F5A61">
        <w:rPr>
          <w:rFonts w:ascii="Arial" w:hAnsi="Arial" w:cs="Arial"/>
          <w:sz w:val="20"/>
          <w:szCs w:val="20"/>
        </w:rPr>
        <w:t>)</w:t>
      </w:r>
      <w:r w:rsidRPr="000F5A61">
        <w:rPr>
          <w:rFonts w:ascii="Arial" w:hAnsi="Arial" w:cs="Arial"/>
          <w:sz w:val="20"/>
          <w:szCs w:val="20"/>
        </w:rPr>
        <w:t xml:space="preserve"> and an ‘Operational Framework</w:t>
      </w:r>
      <w:r w:rsidR="00025432" w:rsidRPr="000F5A61">
        <w:rPr>
          <w:rFonts w:ascii="Arial" w:hAnsi="Arial" w:cs="Arial"/>
          <w:sz w:val="20"/>
          <w:szCs w:val="20"/>
        </w:rPr>
        <w:t>’</w:t>
      </w:r>
      <w:r w:rsidR="00923815" w:rsidRPr="000F5A61">
        <w:rPr>
          <w:rFonts w:ascii="Arial" w:hAnsi="Arial" w:cs="Arial"/>
          <w:sz w:val="20"/>
          <w:szCs w:val="20"/>
        </w:rPr>
        <w:t xml:space="preserve"> (</w:t>
      </w:r>
      <w:r w:rsidR="00BD1498" w:rsidRPr="000F5A61">
        <w:rPr>
          <w:rFonts w:ascii="Arial" w:hAnsi="Arial" w:cs="Arial"/>
          <w:sz w:val="20"/>
          <w:szCs w:val="20"/>
        </w:rPr>
        <w:t>annex 4</w:t>
      </w:r>
      <w:r w:rsidR="00923815" w:rsidRPr="000F5A61">
        <w:rPr>
          <w:rFonts w:ascii="Arial" w:hAnsi="Arial" w:cs="Arial"/>
          <w:sz w:val="20"/>
          <w:szCs w:val="20"/>
        </w:rPr>
        <w:t>)</w:t>
      </w:r>
      <w:r w:rsidRPr="000F5A61">
        <w:rPr>
          <w:rFonts w:ascii="Arial" w:hAnsi="Arial" w:cs="Arial"/>
          <w:sz w:val="20"/>
          <w:szCs w:val="20"/>
        </w:rPr>
        <w:t xml:space="preserve"> upon which this application is based.</w:t>
      </w:r>
    </w:p>
    <w:p w:rsidR="0022471B" w:rsidRPr="000F5A61" w:rsidRDefault="00240533" w:rsidP="0022471B">
      <w:pPr>
        <w:widowControl w:val="0"/>
        <w:autoSpaceDE w:val="0"/>
        <w:autoSpaceDN w:val="0"/>
        <w:adjustRightInd w:val="0"/>
        <w:spacing w:after="120" w:line="240" w:lineRule="auto"/>
        <w:rPr>
          <w:rFonts w:ascii="Arial" w:hAnsi="Arial" w:cs="Arial"/>
          <w:b/>
          <w:sz w:val="20"/>
          <w:szCs w:val="20"/>
        </w:rPr>
      </w:pPr>
      <w:r w:rsidRPr="000F5A61">
        <w:rPr>
          <w:rFonts w:ascii="Arial" w:hAnsi="Arial" w:cs="Arial"/>
          <w:b/>
          <w:sz w:val="20"/>
          <w:szCs w:val="20"/>
          <w:lang w:val="en-US"/>
        </w:rPr>
        <w:lastRenderedPageBreak/>
        <w:t xml:space="preserve">Overview of </w:t>
      </w:r>
      <w:r w:rsidR="00476BE6" w:rsidRPr="000F5A61">
        <w:rPr>
          <w:rFonts w:ascii="Arial" w:hAnsi="Arial" w:cs="Arial"/>
          <w:b/>
          <w:sz w:val="20"/>
          <w:szCs w:val="20"/>
          <w:lang w:val="en-US"/>
        </w:rPr>
        <w:t>malaria</w:t>
      </w:r>
      <w:r w:rsidRPr="000F5A61">
        <w:rPr>
          <w:rFonts w:ascii="Arial" w:hAnsi="Arial" w:cs="Arial"/>
          <w:b/>
          <w:sz w:val="20"/>
          <w:szCs w:val="20"/>
          <w:lang w:val="en-US"/>
        </w:rPr>
        <w:t xml:space="preserve"> situation</w:t>
      </w:r>
      <w:bookmarkStart w:id="0" w:name="_Toc321411376"/>
      <w:r w:rsidR="00476BE6" w:rsidRPr="000F5A61">
        <w:rPr>
          <w:rFonts w:ascii="Arial" w:hAnsi="Arial" w:cs="Arial"/>
          <w:b/>
          <w:sz w:val="20"/>
          <w:szCs w:val="20"/>
          <w:lang w:val="en-US"/>
        </w:rPr>
        <w:t xml:space="preserve">. </w:t>
      </w:r>
      <w:r w:rsidR="0022471B" w:rsidRPr="000F5A61">
        <w:rPr>
          <w:rFonts w:ascii="Arial" w:hAnsi="Arial" w:cs="Arial"/>
          <w:sz w:val="20"/>
          <w:szCs w:val="20"/>
          <w:lang w:val="en-IN"/>
        </w:rPr>
        <w:t xml:space="preserve">The overall malaria trend during the last </w:t>
      </w:r>
      <w:r w:rsidR="00D44EBC" w:rsidRPr="000F5A61">
        <w:rPr>
          <w:rFonts w:ascii="Arial" w:hAnsi="Arial" w:cs="Arial"/>
          <w:sz w:val="20"/>
          <w:szCs w:val="20"/>
          <w:lang w:val="en-IN"/>
        </w:rPr>
        <w:t>10</w:t>
      </w:r>
      <w:r w:rsidR="0022471B" w:rsidRPr="000F5A61">
        <w:rPr>
          <w:rFonts w:ascii="Arial" w:hAnsi="Arial" w:cs="Arial"/>
          <w:sz w:val="20"/>
          <w:szCs w:val="20"/>
          <w:lang w:val="en-IN"/>
        </w:rPr>
        <w:t xml:space="preserve"> years clearly indicates that substantial progress has been made towards elimination in Nepal</w:t>
      </w:r>
      <w:r w:rsidR="00D44EBC" w:rsidRPr="000F5A61">
        <w:rPr>
          <w:rFonts w:ascii="Arial" w:hAnsi="Arial" w:cs="Arial"/>
          <w:sz w:val="20"/>
          <w:szCs w:val="20"/>
          <w:lang w:val="en-IN"/>
        </w:rPr>
        <w:t xml:space="preserve"> (Figure 1.2.1)</w:t>
      </w:r>
      <w:r w:rsidR="0022471B" w:rsidRPr="000F5A61">
        <w:rPr>
          <w:rFonts w:ascii="Arial" w:hAnsi="Arial" w:cs="Arial"/>
          <w:sz w:val="20"/>
          <w:szCs w:val="20"/>
          <w:lang w:val="en-IN"/>
        </w:rPr>
        <w:t xml:space="preserve">. </w:t>
      </w:r>
      <w:r w:rsidR="0022471B" w:rsidRPr="000F5A61">
        <w:rPr>
          <w:rFonts w:ascii="Arial" w:hAnsi="Arial" w:cs="Arial"/>
          <w:sz w:val="20"/>
          <w:szCs w:val="20"/>
        </w:rPr>
        <w:t xml:space="preserve">Financial support from </w:t>
      </w:r>
      <w:r w:rsidR="00025432" w:rsidRPr="000F5A61">
        <w:rPr>
          <w:rFonts w:ascii="Arial" w:hAnsi="Arial" w:cs="Arial"/>
          <w:sz w:val="20"/>
          <w:szCs w:val="20"/>
        </w:rPr>
        <w:t>GFATM</w:t>
      </w:r>
      <w:r w:rsidR="0022471B" w:rsidRPr="000F5A61">
        <w:rPr>
          <w:rFonts w:ascii="Arial" w:hAnsi="Arial" w:cs="Arial"/>
          <w:sz w:val="20"/>
          <w:szCs w:val="20"/>
        </w:rPr>
        <w:t xml:space="preserve"> has been critical.</w:t>
      </w:r>
    </w:p>
    <w:p w:rsidR="00476BE6" w:rsidRPr="000F5A61" w:rsidRDefault="00476BE6" w:rsidP="00476BE6">
      <w:pPr>
        <w:widowControl w:val="0"/>
        <w:autoSpaceDE w:val="0"/>
        <w:autoSpaceDN w:val="0"/>
        <w:adjustRightInd w:val="0"/>
        <w:spacing w:after="120" w:line="240" w:lineRule="auto"/>
        <w:rPr>
          <w:rFonts w:ascii="Arial" w:hAnsi="Arial" w:cs="Arial"/>
          <w:sz w:val="20"/>
          <w:szCs w:val="20"/>
        </w:rPr>
        <w:sectPr w:rsidR="00476BE6" w:rsidRPr="000F5A61" w:rsidSect="00977031">
          <w:pgSz w:w="11900" w:h="16840"/>
          <w:pgMar w:top="851" w:right="1800" w:bottom="1440" w:left="1800" w:header="708" w:footer="708" w:gutter="0"/>
          <w:cols w:space="708"/>
        </w:sectPr>
      </w:pPr>
      <w:r w:rsidRPr="000F5A61">
        <w:rPr>
          <w:rFonts w:ascii="Arial" w:hAnsi="Arial" w:cs="Arial"/>
          <w:sz w:val="20"/>
          <w:szCs w:val="20"/>
        </w:rPr>
        <w:t xml:space="preserve">With the exception of upsurges in 1991 and 2002-3 the malaria burden in Nepal has declined steadily since 1985 (when more than 42,000 cases were confirmed). Just 1,009 confirmed cases were reported in 2016 and 502 </w:t>
      </w:r>
      <w:r w:rsidR="00E97DE3" w:rsidRPr="000F5A61">
        <w:rPr>
          <w:rFonts w:ascii="Arial" w:hAnsi="Arial" w:cs="Arial"/>
          <w:sz w:val="20"/>
          <w:szCs w:val="20"/>
        </w:rPr>
        <w:t xml:space="preserve">(50%) </w:t>
      </w:r>
      <w:r w:rsidRPr="000F5A61">
        <w:rPr>
          <w:rFonts w:ascii="Arial" w:hAnsi="Arial" w:cs="Arial"/>
          <w:sz w:val="20"/>
          <w:szCs w:val="20"/>
        </w:rPr>
        <w:t>of these were classified as imported</w:t>
      </w:r>
      <w:r w:rsidR="00E97DE3" w:rsidRPr="000F5A61">
        <w:rPr>
          <w:rStyle w:val="FootnoteReference"/>
          <w:rFonts w:ascii="Arial" w:hAnsi="Arial" w:cs="Arial"/>
          <w:sz w:val="20"/>
          <w:szCs w:val="20"/>
        </w:rPr>
        <w:footnoteReference w:id="4"/>
      </w:r>
      <w:r w:rsidRPr="000F5A61">
        <w:rPr>
          <w:rFonts w:ascii="Arial" w:hAnsi="Arial" w:cs="Arial"/>
          <w:sz w:val="20"/>
          <w:szCs w:val="20"/>
        </w:rPr>
        <w:t>.</w:t>
      </w:r>
      <w:r w:rsidR="00E97DE3" w:rsidRPr="000F5A61">
        <w:rPr>
          <w:rFonts w:ascii="Arial" w:hAnsi="Arial" w:cs="Arial"/>
          <w:sz w:val="20"/>
          <w:szCs w:val="20"/>
        </w:rPr>
        <w:t xml:space="preserve">84% of cases were </w:t>
      </w:r>
      <w:r w:rsidR="00B342E4" w:rsidRPr="000F5A61">
        <w:rPr>
          <w:rFonts w:ascii="Arial" w:hAnsi="Arial" w:cs="Arial"/>
          <w:sz w:val="20"/>
          <w:szCs w:val="20"/>
        </w:rPr>
        <w:t xml:space="preserve">caused by </w:t>
      </w:r>
      <w:r w:rsidR="00B342E4" w:rsidRPr="000F5A61">
        <w:rPr>
          <w:rFonts w:ascii="Arial" w:hAnsi="Arial" w:cs="Arial"/>
          <w:i/>
          <w:sz w:val="20"/>
          <w:szCs w:val="20"/>
        </w:rPr>
        <w:t xml:space="preserve">P. </w:t>
      </w:r>
      <w:r w:rsidR="00131AD3" w:rsidRPr="000F5A61">
        <w:rPr>
          <w:rFonts w:ascii="Arial" w:hAnsi="Arial" w:cs="Arial"/>
          <w:i/>
          <w:sz w:val="20"/>
          <w:szCs w:val="20"/>
        </w:rPr>
        <w:t>vivax</w:t>
      </w:r>
      <w:r w:rsidR="00131AD3" w:rsidRPr="000F5A61">
        <w:rPr>
          <w:rFonts w:ascii="Arial" w:hAnsi="Arial" w:cs="Arial"/>
          <w:sz w:val="20"/>
          <w:szCs w:val="20"/>
        </w:rPr>
        <w:t xml:space="preserve"> and </w:t>
      </w:r>
      <w:r w:rsidR="00E97DE3" w:rsidRPr="000F5A61">
        <w:rPr>
          <w:rFonts w:ascii="Arial" w:hAnsi="Arial" w:cs="Arial"/>
          <w:sz w:val="20"/>
          <w:szCs w:val="20"/>
        </w:rPr>
        <w:t xml:space="preserve">16% </w:t>
      </w:r>
      <w:r w:rsidR="00B342E4" w:rsidRPr="000F5A61">
        <w:rPr>
          <w:rFonts w:ascii="Arial" w:hAnsi="Arial" w:cs="Arial"/>
          <w:sz w:val="20"/>
          <w:szCs w:val="20"/>
        </w:rPr>
        <w:t xml:space="preserve">by </w:t>
      </w:r>
      <w:r w:rsidR="00B342E4" w:rsidRPr="000F5A61">
        <w:rPr>
          <w:rFonts w:ascii="Arial" w:hAnsi="Arial" w:cs="Arial"/>
          <w:i/>
          <w:sz w:val="20"/>
          <w:szCs w:val="20"/>
        </w:rPr>
        <w:t xml:space="preserve">P. </w:t>
      </w:r>
      <w:r w:rsidR="00131AD3" w:rsidRPr="000F5A61">
        <w:rPr>
          <w:rFonts w:ascii="Arial" w:hAnsi="Arial" w:cs="Arial"/>
          <w:i/>
          <w:sz w:val="20"/>
          <w:szCs w:val="20"/>
        </w:rPr>
        <w:t>falciparum</w:t>
      </w:r>
      <w:r w:rsidR="000B743D" w:rsidRPr="000F5A61">
        <w:rPr>
          <w:rFonts w:ascii="Arial" w:hAnsi="Arial" w:cs="Arial"/>
          <w:sz w:val="20"/>
          <w:szCs w:val="20"/>
        </w:rPr>
        <w:t xml:space="preserve"> (figure 1.2.1). </w:t>
      </w:r>
      <w:r w:rsidR="00131AD3" w:rsidRPr="000F5A61">
        <w:rPr>
          <w:rFonts w:ascii="Arial" w:hAnsi="Arial" w:cs="Arial"/>
          <w:sz w:val="20"/>
          <w:szCs w:val="20"/>
        </w:rPr>
        <w:t xml:space="preserve">All </w:t>
      </w:r>
      <w:r w:rsidR="00066729" w:rsidRPr="000F5A61">
        <w:rPr>
          <w:rFonts w:ascii="Arial" w:hAnsi="Arial" w:cs="Arial"/>
          <w:sz w:val="20"/>
          <w:szCs w:val="20"/>
        </w:rPr>
        <w:t>District</w:t>
      </w:r>
      <w:r w:rsidR="00131AD3" w:rsidRPr="000F5A61">
        <w:rPr>
          <w:rFonts w:ascii="Arial" w:hAnsi="Arial" w:cs="Arial"/>
          <w:sz w:val="20"/>
          <w:szCs w:val="20"/>
        </w:rPr>
        <w:t>s now have an API&lt;1/1,000 and the country is moving towards elimination.</w:t>
      </w:r>
    </w:p>
    <w:p w:rsidR="000B743D" w:rsidRPr="000F5A61" w:rsidRDefault="000B743D" w:rsidP="000B743D">
      <w:pPr>
        <w:spacing w:after="120"/>
        <w:rPr>
          <w:rFonts w:ascii="Arial" w:hAnsi="Arial" w:cs="Arial"/>
          <w:sz w:val="20"/>
          <w:szCs w:val="20"/>
        </w:rPr>
      </w:pPr>
      <w:r w:rsidRPr="000F5A61">
        <w:rPr>
          <w:rFonts w:ascii="Arial" w:hAnsi="Arial" w:cs="Arial"/>
          <w:b/>
          <w:sz w:val="20"/>
          <w:szCs w:val="20"/>
        </w:rPr>
        <w:lastRenderedPageBreak/>
        <w:t xml:space="preserve">Figure </w:t>
      </w:r>
      <w:r w:rsidR="00035C1E" w:rsidRPr="000F5A61">
        <w:rPr>
          <w:rFonts w:ascii="Arial" w:hAnsi="Arial" w:cs="Arial"/>
          <w:b/>
          <w:sz w:val="20"/>
          <w:szCs w:val="20"/>
        </w:rPr>
        <w:fldChar w:fldCharType="begin"/>
      </w:r>
      <w:r w:rsidRPr="000F5A61">
        <w:rPr>
          <w:rFonts w:ascii="Arial" w:hAnsi="Arial" w:cs="Arial"/>
          <w:b/>
          <w:sz w:val="20"/>
          <w:szCs w:val="20"/>
        </w:rPr>
        <w:instrText xml:space="preserve"> SEQ Figure \* ARABIC </w:instrText>
      </w:r>
      <w:r w:rsidR="00035C1E" w:rsidRPr="000F5A61">
        <w:rPr>
          <w:rFonts w:ascii="Arial" w:hAnsi="Arial" w:cs="Arial"/>
          <w:b/>
          <w:sz w:val="20"/>
          <w:szCs w:val="20"/>
        </w:rPr>
        <w:fldChar w:fldCharType="separate"/>
      </w:r>
      <w:r w:rsidR="00B34F95" w:rsidRPr="000F5A61">
        <w:rPr>
          <w:rFonts w:ascii="Arial" w:hAnsi="Arial" w:cs="Arial"/>
          <w:b/>
          <w:noProof/>
          <w:sz w:val="20"/>
          <w:szCs w:val="20"/>
        </w:rPr>
        <w:t>1</w:t>
      </w:r>
      <w:r w:rsidR="00035C1E" w:rsidRPr="000F5A61">
        <w:rPr>
          <w:rFonts w:ascii="Arial" w:hAnsi="Arial" w:cs="Arial"/>
          <w:b/>
          <w:sz w:val="20"/>
          <w:szCs w:val="20"/>
        </w:rPr>
        <w:fldChar w:fldCharType="end"/>
      </w:r>
      <w:r w:rsidRPr="000F5A61">
        <w:rPr>
          <w:rFonts w:ascii="Arial" w:hAnsi="Arial" w:cs="Arial"/>
          <w:b/>
          <w:sz w:val="20"/>
          <w:szCs w:val="20"/>
        </w:rPr>
        <w:t>.2.1. Annual number of officially reported confirmed malaria cases in Nepal since 2004 (by species and origin since 2010) and total slides examined (TSE).</w:t>
      </w:r>
    </w:p>
    <w:p w:rsidR="000B743D" w:rsidRPr="000F5A61" w:rsidRDefault="000D4784" w:rsidP="00927183">
      <w:pPr>
        <w:spacing w:after="120"/>
        <w:rPr>
          <w:rFonts w:ascii="Arial" w:hAnsi="Arial" w:cs="Arial"/>
          <w:sz w:val="20"/>
          <w:szCs w:val="20"/>
        </w:rPr>
      </w:pPr>
      <w:r w:rsidRPr="000F5A61">
        <w:rPr>
          <w:rFonts w:ascii="Arial" w:hAnsi="Arial" w:cs="Arial"/>
          <w:noProof/>
          <w:sz w:val="20"/>
          <w:szCs w:val="20"/>
          <w:lang w:val="en-US"/>
        </w:rPr>
        <w:drawing>
          <wp:inline distT="0" distB="0" distL="0" distR="0">
            <wp:extent cx="5080883" cy="3097729"/>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7-07-14 at 13.06.16.png"/>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080883" cy="3097729"/>
                    </a:xfrm>
                    <a:prstGeom prst="rect">
                      <a:avLst/>
                    </a:prstGeom>
                  </pic:spPr>
                </pic:pic>
              </a:graphicData>
            </a:graphic>
          </wp:inline>
        </w:drawing>
      </w:r>
    </w:p>
    <w:p w:rsidR="00DC1DBB" w:rsidRPr="000F5A61" w:rsidRDefault="00DC1DBB" w:rsidP="00927183">
      <w:pPr>
        <w:spacing w:after="120"/>
        <w:rPr>
          <w:rFonts w:ascii="Arial" w:hAnsi="Arial" w:cs="Arial"/>
          <w:sz w:val="20"/>
          <w:szCs w:val="20"/>
        </w:rPr>
      </w:pPr>
    </w:p>
    <w:p w:rsidR="00476BE6" w:rsidRPr="000F5A61" w:rsidRDefault="009465A2" w:rsidP="00927183">
      <w:pPr>
        <w:spacing w:after="120"/>
        <w:rPr>
          <w:rFonts w:ascii="Arial" w:hAnsi="Arial" w:cs="Arial"/>
          <w:sz w:val="20"/>
          <w:szCs w:val="20"/>
        </w:rPr>
      </w:pPr>
      <w:r w:rsidRPr="000F5A61">
        <w:rPr>
          <w:rFonts w:ascii="Arial" w:hAnsi="Arial" w:cs="Arial"/>
          <w:sz w:val="20"/>
          <w:szCs w:val="20"/>
        </w:rPr>
        <w:t>M</w:t>
      </w:r>
      <w:r w:rsidR="00476BE6" w:rsidRPr="000F5A61">
        <w:rPr>
          <w:rFonts w:ascii="Arial" w:hAnsi="Arial" w:cs="Arial"/>
          <w:sz w:val="20"/>
          <w:szCs w:val="20"/>
        </w:rPr>
        <w:t>alaria</w:t>
      </w:r>
      <w:r w:rsidR="00977031" w:rsidRPr="000F5A61">
        <w:rPr>
          <w:rFonts w:ascii="Arial" w:hAnsi="Arial" w:cs="Arial"/>
          <w:sz w:val="20"/>
          <w:szCs w:val="20"/>
        </w:rPr>
        <w:t xml:space="preserve"> risk map</w:t>
      </w:r>
      <w:r w:rsidRPr="000F5A61">
        <w:rPr>
          <w:rFonts w:ascii="Arial" w:hAnsi="Arial" w:cs="Arial"/>
          <w:sz w:val="20"/>
          <w:szCs w:val="20"/>
        </w:rPr>
        <w:t>s</w:t>
      </w:r>
      <w:r w:rsidR="00977031" w:rsidRPr="000F5A61">
        <w:rPr>
          <w:rFonts w:ascii="Arial" w:hAnsi="Arial" w:cs="Arial"/>
          <w:sz w:val="20"/>
          <w:szCs w:val="20"/>
        </w:rPr>
        <w:t xml:space="preserve"> for Nepal </w:t>
      </w:r>
      <w:r w:rsidRPr="000F5A61">
        <w:rPr>
          <w:rFonts w:ascii="Arial" w:hAnsi="Arial" w:cs="Arial"/>
          <w:sz w:val="20"/>
          <w:szCs w:val="20"/>
        </w:rPr>
        <w:t xml:space="preserve">are </w:t>
      </w:r>
      <w:r w:rsidR="00977031" w:rsidRPr="000F5A61">
        <w:rPr>
          <w:rFonts w:ascii="Arial" w:hAnsi="Arial" w:cs="Arial"/>
          <w:sz w:val="20"/>
          <w:szCs w:val="20"/>
        </w:rPr>
        <w:t>presented in Figure</w:t>
      </w:r>
      <w:r w:rsidR="00EE4076" w:rsidRPr="000F5A61">
        <w:rPr>
          <w:rFonts w:ascii="Arial" w:hAnsi="Arial" w:cs="Arial"/>
          <w:sz w:val="20"/>
          <w:szCs w:val="20"/>
        </w:rPr>
        <w:t>s</w:t>
      </w:r>
      <w:r w:rsidR="00131AD3" w:rsidRPr="000F5A61">
        <w:rPr>
          <w:rFonts w:ascii="Arial" w:hAnsi="Arial" w:cs="Arial"/>
          <w:sz w:val="20"/>
          <w:szCs w:val="20"/>
        </w:rPr>
        <w:t>1</w:t>
      </w:r>
      <w:r w:rsidR="000B743D" w:rsidRPr="000F5A61">
        <w:rPr>
          <w:rFonts w:ascii="Arial" w:hAnsi="Arial" w:cs="Arial"/>
          <w:sz w:val="20"/>
          <w:szCs w:val="20"/>
        </w:rPr>
        <w:t>.2.2</w:t>
      </w:r>
      <w:r w:rsidR="00476BE6" w:rsidRPr="000F5A61">
        <w:rPr>
          <w:rFonts w:ascii="Arial" w:hAnsi="Arial" w:cs="Arial"/>
          <w:sz w:val="20"/>
          <w:szCs w:val="20"/>
        </w:rPr>
        <w:t>.</w:t>
      </w:r>
      <w:r w:rsidR="00EE4076" w:rsidRPr="000F5A61">
        <w:rPr>
          <w:rFonts w:ascii="Arial" w:hAnsi="Arial" w:cs="Arial"/>
          <w:sz w:val="20"/>
          <w:szCs w:val="20"/>
        </w:rPr>
        <w:t xml:space="preserve">a </w:t>
      </w:r>
      <w:r w:rsidRPr="000F5A61">
        <w:rPr>
          <w:rFonts w:ascii="Arial" w:hAnsi="Arial" w:cs="Arial"/>
          <w:sz w:val="20"/>
          <w:szCs w:val="20"/>
        </w:rPr>
        <w:t>(2013</w:t>
      </w:r>
      <w:r w:rsidR="00176282" w:rsidRPr="000F5A61">
        <w:rPr>
          <w:rFonts w:ascii="Arial" w:hAnsi="Arial" w:cs="Arial"/>
          <w:sz w:val="20"/>
          <w:szCs w:val="20"/>
        </w:rPr>
        <w:t xml:space="preserve"> stratification, which gives an overview of risk and an impression of receptivity</w:t>
      </w:r>
      <w:r w:rsidRPr="000F5A61">
        <w:rPr>
          <w:rFonts w:ascii="Arial" w:hAnsi="Arial" w:cs="Arial"/>
          <w:sz w:val="20"/>
          <w:szCs w:val="20"/>
        </w:rPr>
        <w:t xml:space="preserve">) </w:t>
      </w:r>
      <w:r w:rsidR="00EE4076" w:rsidRPr="000F5A61">
        <w:rPr>
          <w:rFonts w:ascii="Arial" w:hAnsi="Arial" w:cs="Arial"/>
          <w:sz w:val="20"/>
          <w:szCs w:val="20"/>
        </w:rPr>
        <w:t>and b</w:t>
      </w:r>
      <w:r w:rsidRPr="000F5A61">
        <w:rPr>
          <w:rFonts w:ascii="Arial" w:hAnsi="Arial" w:cs="Arial"/>
          <w:sz w:val="20"/>
          <w:szCs w:val="20"/>
        </w:rPr>
        <w:t xml:space="preserve"> (</w:t>
      </w:r>
      <w:r w:rsidR="00176282" w:rsidRPr="000F5A61">
        <w:rPr>
          <w:rFonts w:ascii="Arial" w:hAnsi="Arial" w:cs="Arial"/>
          <w:sz w:val="20"/>
          <w:szCs w:val="20"/>
        </w:rPr>
        <w:t xml:space="preserve">presence of indigenous cases during </w:t>
      </w:r>
      <w:r w:rsidRPr="000F5A61">
        <w:rPr>
          <w:rFonts w:ascii="Arial" w:hAnsi="Arial" w:cs="Arial"/>
          <w:sz w:val="20"/>
          <w:szCs w:val="20"/>
        </w:rPr>
        <w:t>2014-16)</w:t>
      </w:r>
      <w:r w:rsidR="00EE4076" w:rsidRPr="000F5A61">
        <w:rPr>
          <w:rFonts w:ascii="Arial" w:hAnsi="Arial" w:cs="Arial"/>
          <w:sz w:val="20"/>
          <w:szCs w:val="20"/>
        </w:rPr>
        <w:t xml:space="preserve">. </w:t>
      </w:r>
      <w:r w:rsidR="00B87E42" w:rsidRPr="000F5A61">
        <w:rPr>
          <w:rFonts w:ascii="Arial" w:hAnsi="Arial" w:cs="Arial"/>
          <w:sz w:val="20"/>
          <w:szCs w:val="20"/>
        </w:rPr>
        <w:t>27</w:t>
      </w:r>
      <w:r w:rsidR="00403D7E" w:rsidRPr="000F5A61">
        <w:rPr>
          <w:rFonts w:ascii="Arial" w:hAnsi="Arial" w:cs="Arial"/>
          <w:sz w:val="20"/>
          <w:szCs w:val="20"/>
        </w:rPr>
        <w:t xml:space="preserve"> and </w:t>
      </w:r>
      <w:r w:rsidR="00B87E42" w:rsidRPr="000F5A61">
        <w:rPr>
          <w:rFonts w:ascii="Arial" w:hAnsi="Arial" w:cs="Arial"/>
          <w:sz w:val="20"/>
          <w:szCs w:val="20"/>
        </w:rPr>
        <w:t>38</w:t>
      </w:r>
      <w:r w:rsidR="00403D7E" w:rsidRPr="000F5A61">
        <w:rPr>
          <w:rFonts w:ascii="Arial" w:hAnsi="Arial" w:cs="Arial"/>
          <w:sz w:val="20"/>
          <w:szCs w:val="20"/>
        </w:rPr>
        <w:t xml:space="preserve"> of Nepal’s </w:t>
      </w:r>
      <w:r w:rsidR="00B87E42" w:rsidRPr="000F5A61">
        <w:rPr>
          <w:rFonts w:ascii="Arial" w:hAnsi="Arial" w:cs="Arial"/>
          <w:sz w:val="20"/>
          <w:szCs w:val="20"/>
        </w:rPr>
        <w:t>75</w:t>
      </w:r>
      <w:r w:rsidR="00403D7E" w:rsidRPr="000F5A61">
        <w:rPr>
          <w:rFonts w:ascii="Arial" w:hAnsi="Arial" w:cs="Arial"/>
          <w:sz w:val="20"/>
          <w:szCs w:val="20"/>
        </w:rPr>
        <w:t xml:space="preserve"> Districts are endemic and receptive respectively. </w:t>
      </w:r>
      <w:r w:rsidR="00977031" w:rsidRPr="000F5A61">
        <w:rPr>
          <w:rFonts w:ascii="Arial" w:hAnsi="Arial" w:cs="Arial"/>
          <w:sz w:val="20"/>
          <w:szCs w:val="20"/>
        </w:rPr>
        <w:t>D</w:t>
      </w:r>
      <w:r w:rsidR="00476BE6" w:rsidRPr="000F5A61">
        <w:rPr>
          <w:rFonts w:ascii="Arial" w:hAnsi="Arial" w:cs="Arial"/>
          <w:sz w:val="20"/>
          <w:szCs w:val="20"/>
        </w:rPr>
        <w:t xml:space="preserve">uring non-epidemic years most indigenous cases occur in the wooded foothills along the northern edge of the </w:t>
      </w:r>
      <w:r w:rsidR="00192E5F" w:rsidRPr="000F5A61">
        <w:rPr>
          <w:rFonts w:ascii="Arial" w:hAnsi="Arial" w:cs="Arial"/>
          <w:sz w:val="20"/>
          <w:szCs w:val="20"/>
        </w:rPr>
        <w:t>‘</w:t>
      </w:r>
      <w:r w:rsidR="00476BE6" w:rsidRPr="000F5A61">
        <w:rPr>
          <w:rFonts w:ascii="Arial" w:hAnsi="Arial" w:cs="Arial"/>
          <w:sz w:val="20"/>
          <w:szCs w:val="20"/>
        </w:rPr>
        <w:t>Terai</w:t>
      </w:r>
      <w:r w:rsidR="00192E5F" w:rsidRPr="000F5A61">
        <w:rPr>
          <w:rFonts w:ascii="Arial" w:hAnsi="Arial" w:cs="Arial"/>
          <w:sz w:val="20"/>
          <w:szCs w:val="20"/>
        </w:rPr>
        <w:t>’</w:t>
      </w:r>
      <w:r w:rsidR="00192E5F" w:rsidRPr="000F5A61">
        <w:rPr>
          <w:rStyle w:val="FootnoteReference"/>
          <w:rFonts w:ascii="Arial" w:hAnsi="Arial" w:cs="Arial"/>
          <w:sz w:val="20"/>
          <w:szCs w:val="20"/>
        </w:rPr>
        <w:footnoteReference w:id="5"/>
      </w:r>
      <w:r w:rsidR="00476BE6" w:rsidRPr="000F5A61">
        <w:rPr>
          <w:rFonts w:ascii="Arial" w:hAnsi="Arial" w:cs="Arial"/>
          <w:sz w:val="20"/>
          <w:szCs w:val="20"/>
        </w:rPr>
        <w:t xml:space="preserve"> (the </w:t>
      </w:r>
      <w:r w:rsidR="00192E5F" w:rsidRPr="000F5A61">
        <w:rPr>
          <w:rFonts w:ascii="Arial" w:hAnsi="Arial" w:cs="Arial"/>
          <w:sz w:val="20"/>
          <w:szCs w:val="20"/>
        </w:rPr>
        <w:t>‘I</w:t>
      </w:r>
      <w:r w:rsidR="00476BE6" w:rsidRPr="000F5A61">
        <w:rPr>
          <w:rFonts w:ascii="Arial" w:hAnsi="Arial" w:cs="Arial"/>
          <w:sz w:val="20"/>
          <w:szCs w:val="20"/>
        </w:rPr>
        <w:t>nner Terai</w:t>
      </w:r>
      <w:r w:rsidR="00192E5F" w:rsidRPr="000F5A61">
        <w:rPr>
          <w:rFonts w:ascii="Arial" w:hAnsi="Arial" w:cs="Arial"/>
          <w:sz w:val="20"/>
          <w:szCs w:val="20"/>
        </w:rPr>
        <w:t>’</w:t>
      </w:r>
      <w:r w:rsidR="00476BE6" w:rsidRPr="000F5A61">
        <w:rPr>
          <w:rFonts w:ascii="Arial" w:hAnsi="Arial" w:cs="Arial"/>
          <w:sz w:val="20"/>
          <w:szCs w:val="20"/>
        </w:rPr>
        <w:t xml:space="preserve">). During epidemic years outbreaks </w:t>
      </w:r>
      <w:r w:rsidR="00131AD3" w:rsidRPr="000F5A61">
        <w:rPr>
          <w:rFonts w:ascii="Arial" w:hAnsi="Arial" w:cs="Arial"/>
          <w:sz w:val="20"/>
          <w:szCs w:val="20"/>
        </w:rPr>
        <w:t>may</w:t>
      </w:r>
      <w:r w:rsidR="00476BE6" w:rsidRPr="000F5A61">
        <w:rPr>
          <w:rFonts w:ascii="Arial" w:hAnsi="Arial" w:cs="Arial"/>
          <w:sz w:val="20"/>
          <w:szCs w:val="20"/>
        </w:rPr>
        <w:t xml:space="preserve"> occur in the </w:t>
      </w:r>
      <w:r w:rsidR="00D44EBC" w:rsidRPr="000F5A61">
        <w:rPr>
          <w:rFonts w:ascii="Arial" w:hAnsi="Arial" w:cs="Arial"/>
          <w:sz w:val="20"/>
          <w:szCs w:val="20"/>
        </w:rPr>
        <w:t xml:space="preserve">‘Outer </w:t>
      </w:r>
      <w:r w:rsidR="00476BE6" w:rsidRPr="000F5A61">
        <w:rPr>
          <w:rFonts w:ascii="Arial" w:hAnsi="Arial" w:cs="Arial"/>
          <w:sz w:val="20"/>
          <w:szCs w:val="20"/>
        </w:rPr>
        <w:t>Terai</w:t>
      </w:r>
      <w:r w:rsidR="00D44EBC" w:rsidRPr="000F5A61">
        <w:rPr>
          <w:rFonts w:ascii="Arial" w:hAnsi="Arial" w:cs="Arial"/>
          <w:sz w:val="20"/>
          <w:szCs w:val="20"/>
        </w:rPr>
        <w:t>’</w:t>
      </w:r>
      <w:r w:rsidR="00B87E42" w:rsidRPr="000F5A61">
        <w:rPr>
          <w:rStyle w:val="FootnoteReference"/>
          <w:rFonts w:ascii="Arial" w:hAnsi="Arial" w:cs="Arial"/>
          <w:sz w:val="20"/>
          <w:szCs w:val="20"/>
        </w:rPr>
        <w:footnoteReference w:id="6"/>
      </w:r>
      <w:r w:rsidR="00476BE6" w:rsidRPr="000F5A61">
        <w:rPr>
          <w:rFonts w:ascii="Arial" w:hAnsi="Arial" w:cs="Arial"/>
          <w:sz w:val="20"/>
          <w:szCs w:val="20"/>
        </w:rPr>
        <w:t>, close</w:t>
      </w:r>
      <w:r w:rsidR="00D44EBC" w:rsidRPr="000F5A61">
        <w:rPr>
          <w:rFonts w:ascii="Arial" w:hAnsi="Arial" w:cs="Arial"/>
          <w:sz w:val="20"/>
          <w:szCs w:val="20"/>
        </w:rPr>
        <w:t>r</w:t>
      </w:r>
      <w:r w:rsidR="00476BE6" w:rsidRPr="000F5A61">
        <w:rPr>
          <w:rFonts w:ascii="Arial" w:hAnsi="Arial" w:cs="Arial"/>
          <w:sz w:val="20"/>
          <w:szCs w:val="20"/>
        </w:rPr>
        <w:t xml:space="preserve"> to the border with India. </w:t>
      </w:r>
    </w:p>
    <w:p w:rsidR="00476BE6" w:rsidRPr="000F5A61" w:rsidRDefault="00476BE6" w:rsidP="00476BE6">
      <w:pPr>
        <w:widowControl w:val="0"/>
        <w:autoSpaceDE w:val="0"/>
        <w:autoSpaceDN w:val="0"/>
        <w:adjustRightInd w:val="0"/>
        <w:spacing w:after="120" w:line="240" w:lineRule="auto"/>
        <w:rPr>
          <w:rFonts w:ascii="Arial" w:hAnsi="Arial" w:cs="Arial"/>
          <w:sz w:val="20"/>
          <w:szCs w:val="20"/>
          <w:lang w:val="en-US"/>
        </w:rPr>
      </w:pPr>
      <w:r w:rsidRPr="000F5A61">
        <w:rPr>
          <w:rFonts w:ascii="Arial" w:hAnsi="Arial" w:cs="Arial"/>
          <w:sz w:val="20"/>
          <w:szCs w:val="20"/>
          <w:lang w:val="en-IN"/>
        </w:rPr>
        <w:t>Malaria cases occur throughout the year. Reported incidence is lowest in December-February</w:t>
      </w:r>
      <w:r w:rsidR="00403D7E" w:rsidRPr="000F5A61">
        <w:rPr>
          <w:rFonts w:ascii="Arial" w:hAnsi="Arial" w:cs="Arial"/>
          <w:sz w:val="20"/>
          <w:szCs w:val="20"/>
          <w:lang w:val="en-IN"/>
        </w:rPr>
        <w:t>,</w:t>
      </w:r>
      <w:r w:rsidRPr="000F5A61">
        <w:rPr>
          <w:rFonts w:ascii="Arial" w:hAnsi="Arial" w:cs="Arial"/>
          <w:sz w:val="20"/>
          <w:szCs w:val="20"/>
          <w:lang w:val="en-IN"/>
        </w:rPr>
        <w:t xml:space="preserve"> starts to increase in March, but rises markedly following the arrival of the monsoon in May. The majority of cases are reported between June and September.</w:t>
      </w:r>
    </w:p>
    <w:p w:rsidR="00D730A7" w:rsidRPr="000F5A61" w:rsidRDefault="00D730A7" w:rsidP="00476BE6">
      <w:pPr>
        <w:widowControl w:val="0"/>
        <w:autoSpaceDE w:val="0"/>
        <w:autoSpaceDN w:val="0"/>
        <w:adjustRightInd w:val="0"/>
        <w:spacing w:after="120" w:line="240" w:lineRule="auto"/>
        <w:rPr>
          <w:rFonts w:ascii="Arial" w:hAnsi="Arial" w:cs="Arial"/>
          <w:sz w:val="20"/>
          <w:szCs w:val="20"/>
          <w:lang w:val="en-US"/>
        </w:rPr>
      </w:pPr>
    </w:p>
    <w:p w:rsidR="00AE5484" w:rsidRDefault="00AE5484" w:rsidP="00476BE6">
      <w:pPr>
        <w:widowControl w:val="0"/>
        <w:autoSpaceDE w:val="0"/>
        <w:autoSpaceDN w:val="0"/>
        <w:adjustRightInd w:val="0"/>
        <w:spacing w:after="120" w:line="240" w:lineRule="auto"/>
        <w:rPr>
          <w:rFonts w:ascii="Arial" w:hAnsi="Arial" w:cs="Arial"/>
          <w:b/>
          <w:sz w:val="20"/>
          <w:szCs w:val="20"/>
        </w:rPr>
      </w:pPr>
    </w:p>
    <w:p w:rsidR="00AE5484" w:rsidRDefault="00AE5484" w:rsidP="00476BE6">
      <w:pPr>
        <w:widowControl w:val="0"/>
        <w:autoSpaceDE w:val="0"/>
        <w:autoSpaceDN w:val="0"/>
        <w:adjustRightInd w:val="0"/>
        <w:spacing w:after="120" w:line="240" w:lineRule="auto"/>
        <w:rPr>
          <w:rFonts w:ascii="Arial" w:hAnsi="Arial" w:cs="Arial"/>
          <w:b/>
          <w:sz w:val="20"/>
          <w:szCs w:val="20"/>
        </w:rPr>
      </w:pPr>
    </w:p>
    <w:p w:rsidR="00AE5484" w:rsidRDefault="00AE5484" w:rsidP="00476BE6">
      <w:pPr>
        <w:widowControl w:val="0"/>
        <w:autoSpaceDE w:val="0"/>
        <w:autoSpaceDN w:val="0"/>
        <w:adjustRightInd w:val="0"/>
        <w:spacing w:after="120" w:line="240" w:lineRule="auto"/>
        <w:rPr>
          <w:rFonts w:ascii="Arial" w:hAnsi="Arial" w:cs="Arial"/>
          <w:b/>
          <w:sz w:val="20"/>
          <w:szCs w:val="20"/>
        </w:rPr>
      </w:pPr>
    </w:p>
    <w:p w:rsidR="00AE5484" w:rsidRDefault="00AE5484" w:rsidP="00476BE6">
      <w:pPr>
        <w:widowControl w:val="0"/>
        <w:autoSpaceDE w:val="0"/>
        <w:autoSpaceDN w:val="0"/>
        <w:adjustRightInd w:val="0"/>
        <w:spacing w:after="120" w:line="240" w:lineRule="auto"/>
        <w:rPr>
          <w:rFonts w:ascii="Arial" w:hAnsi="Arial" w:cs="Arial"/>
          <w:b/>
          <w:sz w:val="20"/>
          <w:szCs w:val="20"/>
        </w:rPr>
      </w:pPr>
    </w:p>
    <w:p w:rsidR="00AE5484" w:rsidRDefault="00AE5484" w:rsidP="00476BE6">
      <w:pPr>
        <w:widowControl w:val="0"/>
        <w:autoSpaceDE w:val="0"/>
        <w:autoSpaceDN w:val="0"/>
        <w:adjustRightInd w:val="0"/>
        <w:spacing w:after="120" w:line="240" w:lineRule="auto"/>
        <w:rPr>
          <w:rFonts w:ascii="Arial" w:hAnsi="Arial" w:cs="Arial"/>
          <w:b/>
          <w:sz w:val="20"/>
          <w:szCs w:val="20"/>
        </w:rPr>
      </w:pPr>
    </w:p>
    <w:p w:rsidR="00AE5484" w:rsidRDefault="00AE5484" w:rsidP="00476BE6">
      <w:pPr>
        <w:widowControl w:val="0"/>
        <w:autoSpaceDE w:val="0"/>
        <w:autoSpaceDN w:val="0"/>
        <w:adjustRightInd w:val="0"/>
        <w:spacing w:after="120" w:line="240" w:lineRule="auto"/>
        <w:rPr>
          <w:rFonts w:ascii="Arial" w:hAnsi="Arial" w:cs="Arial"/>
          <w:b/>
          <w:sz w:val="20"/>
          <w:szCs w:val="20"/>
        </w:rPr>
      </w:pPr>
    </w:p>
    <w:p w:rsidR="00AE5484" w:rsidRDefault="00AE5484" w:rsidP="00476BE6">
      <w:pPr>
        <w:widowControl w:val="0"/>
        <w:autoSpaceDE w:val="0"/>
        <w:autoSpaceDN w:val="0"/>
        <w:adjustRightInd w:val="0"/>
        <w:spacing w:after="120" w:line="240" w:lineRule="auto"/>
        <w:rPr>
          <w:rFonts w:ascii="Arial" w:hAnsi="Arial" w:cs="Arial"/>
          <w:b/>
          <w:sz w:val="20"/>
          <w:szCs w:val="20"/>
        </w:rPr>
      </w:pPr>
    </w:p>
    <w:p w:rsidR="00AE5484" w:rsidRDefault="00AE5484" w:rsidP="00476BE6">
      <w:pPr>
        <w:widowControl w:val="0"/>
        <w:autoSpaceDE w:val="0"/>
        <w:autoSpaceDN w:val="0"/>
        <w:adjustRightInd w:val="0"/>
        <w:spacing w:after="120" w:line="240" w:lineRule="auto"/>
        <w:rPr>
          <w:rFonts w:ascii="Arial" w:hAnsi="Arial" w:cs="Arial"/>
          <w:b/>
          <w:sz w:val="20"/>
          <w:szCs w:val="20"/>
        </w:rPr>
      </w:pPr>
    </w:p>
    <w:p w:rsidR="00AE5484" w:rsidRDefault="00AE5484" w:rsidP="00476BE6">
      <w:pPr>
        <w:widowControl w:val="0"/>
        <w:autoSpaceDE w:val="0"/>
        <w:autoSpaceDN w:val="0"/>
        <w:adjustRightInd w:val="0"/>
        <w:spacing w:after="120" w:line="240" w:lineRule="auto"/>
        <w:rPr>
          <w:rFonts w:ascii="Arial" w:hAnsi="Arial" w:cs="Arial"/>
          <w:b/>
          <w:sz w:val="20"/>
          <w:szCs w:val="20"/>
        </w:rPr>
      </w:pPr>
    </w:p>
    <w:p w:rsidR="00AE5484" w:rsidRDefault="00AE5484" w:rsidP="00476BE6">
      <w:pPr>
        <w:widowControl w:val="0"/>
        <w:autoSpaceDE w:val="0"/>
        <w:autoSpaceDN w:val="0"/>
        <w:adjustRightInd w:val="0"/>
        <w:spacing w:after="120" w:line="240" w:lineRule="auto"/>
        <w:rPr>
          <w:rFonts w:ascii="Arial" w:hAnsi="Arial" w:cs="Arial"/>
          <w:b/>
          <w:sz w:val="20"/>
          <w:szCs w:val="20"/>
        </w:rPr>
      </w:pPr>
    </w:p>
    <w:p w:rsidR="00AE5484" w:rsidRDefault="00AE5484" w:rsidP="00476BE6">
      <w:pPr>
        <w:widowControl w:val="0"/>
        <w:autoSpaceDE w:val="0"/>
        <w:autoSpaceDN w:val="0"/>
        <w:adjustRightInd w:val="0"/>
        <w:spacing w:after="120" w:line="240" w:lineRule="auto"/>
        <w:rPr>
          <w:rFonts w:ascii="Arial" w:hAnsi="Arial" w:cs="Arial"/>
          <w:b/>
          <w:sz w:val="20"/>
          <w:szCs w:val="20"/>
        </w:rPr>
      </w:pPr>
    </w:p>
    <w:p w:rsidR="00AE5484" w:rsidRDefault="00AE5484" w:rsidP="00476BE6">
      <w:pPr>
        <w:widowControl w:val="0"/>
        <w:autoSpaceDE w:val="0"/>
        <w:autoSpaceDN w:val="0"/>
        <w:adjustRightInd w:val="0"/>
        <w:spacing w:after="120" w:line="240" w:lineRule="auto"/>
        <w:rPr>
          <w:rFonts w:ascii="Arial" w:hAnsi="Arial" w:cs="Arial"/>
          <w:b/>
          <w:sz w:val="20"/>
          <w:szCs w:val="20"/>
        </w:rPr>
      </w:pPr>
    </w:p>
    <w:p w:rsidR="00476BE6" w:rsidRPr="000F5A61" w:rsidRDefault="00476BE6" w:rsidP="00476BE6">
      <w:pPr>
        <w:widowControl w:val="0"/>
        <w:autoSpaceDE w:val="0"/>
        <w:autoSpaceDN w:val="0"/>
        <w:adjustRightInd w:val="0"/>
        <w:spacing w:after="120" w:line="240" w:lineRule="auto"/>
        <w:rPr>
          <w:rFonts w:ascii="Arial" w:hAnsi="Arial" w:cs="Arial"/>
          <w:sz w:val="20"/>
          <w:szCs w:val="20"/>
          <w:lang w:val="en-US"/>
        </w:rPr>
      </w:pPr>
      <w:r w:rsidRPr="000F5A61">
        <w:rPr>
          <w:rFonts w:ascii="Arial" w:hAnsi="Arial" w:cs="Arial"/>
          <w:b/>
          <w:sz w:val="20"/>
          <w:szCs w:val="20"/>
        </w:rPr>
        <w:lastRenderedPageBreak/>
        <w:t xml:space="preserve">Figure </w:t>
      </w:r>
      <w:r w:rsidR="00131AD3" w:rsidRPr="000F5A61">
        <w:rPr>
          <w:rFonts w:ascii="Arial" w:hAnsi="Arial" w:cs="Arial"/>
          <w:b/>
          <w:sz w:val="20"/>
          <w:szCs w:val="20"/>
        </w:rPr>
        <w:t>1</w:t>
      </w:r>
      <w:r w:rsidR="000B743D" w:rsidRPr="000F5A61">
        <w:rPr>
          <w:rFonts w:ascii="Arial" w:hAnsi="Arial" w:cs="Arial"/>
          <w:b/>
          <w:sz w:val="20"/>
          <w:szCs w:val="20"/>
        </w:rPr>
        <w:t>.2.2</w:t>
      </w:r>
      <w:r w:rsidRPr="000F5A61">
        <w:rPr>
          <w:rFonts w:ascii="Arial" w:hAnsi="Arial" w:cs="Arial"/>
          <w:b/>
          <w:sz w:val="20"/>
          <w:szCs w:val="20"/>
        </w:rPr>
        <w:t>.</w:t>
      </w:r>
      <w:r w:rsidR="00524DD0" w:rsidRPr="000F5A61">
        <w:rPr>
          <w:rFonts w:ascii="Arial" w:hAnsi="Arial" w:cs="Arial"/>
          <w:b/>
          <w:sz w:val="20"/>
          <w:szCs w:val="20"/>
        </w:rPr>
        <w:t xml:space="preserve">a. </w:t>
      </w:r>
      <w:r w:rsidRPr="000F5A61">
        <w:rPr>
          <w:rFonts w:ascii="Arial" w:hAnsi="Arial" w:cs="Arial"/>
          <w:b/>
          <w:sz w:val="20"/>
          <w:szCs w:val="20"/>
        </w:rPr>
        <w:t xml:space="preserve">Micro-stratification of malaria risk by VDC, </w:t>
      </w:r>
      <w:r w:rsidR="007E2FD6" w:rsidRPr="000F5A61">
        <w:rPr>
          <w:rFonts w:ascii="Arial" w:hAnsi="Arial" w:cs="Arial"/>
          <w:b/>
          <w:sz w:val="20"/>
          <w:szCs w:val="20"/>
        </w:rPr>
        <w:t xml:space="preserve">2013. </w:t>
      </w:r>
    </w:p>
    <w:p w:rsidR="00476BE6" w:rsidRPr="000F5A61" w:rsidRDefault="00476BE6" w:rsidP="00476BE6">
      <w:pPr>
        <w:widowControl w:val="0"/>
        <w:autoSpaceDE w:val="0"/>
        <w:autoSpaceDN w:val="0"/>
        <w:adjustRightInd w:val="0"/>
        <w:spacing w:after="120" w:line="240" w:lineRule="auto"/>
        <w:rPr>
          <w:rFonts w:ascii="Arial" w:hAnsi="Arial" w:cs="Arial"/>
          <w:sz w:val="20"/>
          <w:szCs w:val="20"/>
          <w:lang w:val="en-IN"/>
        </w:rPr>
      </w:pPr>
      <w:r w:rsidRPr="000F5A61">
        <w:rPr>
          <w:rFonts w:ascii="Arial" w:hAnsi="Arial" w:cs="Arial"/>
          <w:noProof/>
          <w:sz w:val="20"/>
          <w:szCs w:val="20"/>
          <w:lang w:val="en-US"/>
        </w:rPr>
        <w:drawing>
          <wp:inline distT="0" distB="0" distL="0" distR="0">
            <wp:extent cx="5235205" cy="2886075"/>
            <wp:effectExtent l="0" t="0" r="3810" b="0"/>
            <wp:docPr id="299" name="Picture 2" descr="OverallRisk-75distr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31" name="Picture 2" descr="OverallRisk-75district"/>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6273" t="11765" r="3636" b="11765"/>
                    <a:stretch>
                      <a:fillRect/>
                    </a:stretch>
                  </pic:blipFill>
                  <pic:spPr bwMode="auto">
                    <a:xfrm>
                      <a:off x="0" y="0"/>
                      <a:ext cx="5240475" cy="2888980"/>
                    </a:xfrm>
                    <a:prstGeom prst="rect">
                      <a:avLst/>
                    </a:prstGeom>
                    <a:noFill/>
                    <a:ln>
                      <a:noFill/>
                    </a:ln>
                    <a:extLst/>
                  </pic:spPr>
                </pic:pic>
              </a:graphicData>
            </a:graphic>
          </wp:inline>
        </w:drawing>
      </w:r>
    </w:p>
    <w:p w:rsidR="00524DD0" w:rsidRPr="000F5A61" w:rsidRDefault="00524DD0" w:rsidP="00524DD0">
      <w:pPr>
        <w:widowControl w:val="0"/>
        <w:autoSpaceDE w:val="0"/>
        <w:autoSpaceDN w:val="0"/>
        <w:adjustRightInd w:val="0"/>
        <w:spacing w:after="120" w:line="240" w:lineRule="auto"/>
        <w:rPr>
          <w:rFonts w:ascii="Arial" w:hAnsi="Arial" w:cs="Arial"/>
          <w:sz w:val="20"/>
          <w:szCs w:val="20"/>
          <w:lang w:val="en-US"/>
        </w:rPr>
      </w:pPr>
      <w:r w:rsidRPr="000F5A61">
        <w:rPr>
          <w:rFonts w:ascii="Arial" w:hAnsi="Arial" w:cs="Arial"/>
          <w:b/>
          <w:sz w:val="20"/>
          <w:szCs w:val="20"/>
        </w:rPr>
        <w:t xml:space="preserve">Figure 1.2.2.b. Indigenous cases during 2014-16. </w:t>
      </w:r>
    </w:p>
    <w:p w:rsidR="00524DD0" w:rsidRPr="000F5A61" w:rsidRDefault="00524DD0" w:rsidP="00476BE6">
      <w:pPr>
        <w:widowControl w:val="0"/>
        <w:autoSpaceDE w:val="0"/>
        <w:autoSpaceDN w:val="0"/>
        <w:adjustRightInd w:val="0"/>
        <w:spacing w:after="120" w:line="240" w:lineRule="auto"/>
        <w:rPr>
          <w:rFonts w:ascii="Arial" w:hAnsi="Arial" w:cs="Arial"/>
          <w:i/>
          <w:sz w:val="20"/>
          <w:szCs w:val="20"/>
          <w:lang w:val="en-IN"/>
        </w:rPr>
      </w:pPr>
    </w:p>
    <w:p w:rsidR="00524DD0" w:rsidRPr="000F5A61" w:rsidRDefault="00524DD0" w:rsidP="00476BE6">
      <w:pPr>
        <w:widowControl w:val="0"/>
        <w:autoSpaceDE w:val="0"/>
        <w:autoSpaceDN w:val="0"/>
        <w:adjustRightInd w:val="0"/>
        <w:spacing w:after="120" w:line="240" w:lineRule="auto"/>
        <w:rPr>
          <w:rFonts w:ascii="Arial" w:hAnsi="Arial" w:cs="Arial"/>
          <w:i/>
          <w:sz w:val="20"/>
          <w:szCs w:val="20"/>
          <w:lang w:val="en-IN"/>
        </w:rPr>
      </w:pPr>
      <w:r w:rsidRPr="000F5A61">
        <w:rPr>
          <w:rFonts w:ascii="Arial" w:hAnsi="Arial" w:cs="Arial"/>
          <w:i/>
          <w:noProof/>
          <w:sz w:val="20"/>
          <w:szCs w:val="20"/>
          <w:lang w:val="en-US"/>
        </w:rPr>
        <w:drawing>
          <wp:inline distT="0" distB="0" distL="0" distR="0">
            <wp:extent cx="5226050" cy="3144934"/>
            <wp:effectExtent l="0" t="0" r="6350" b="508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26694" cy="3145322"/>
                    </a:xfrm>
                    <a:prstGeom prst="rect">
                      <a:avLst/>
                    </a:prstGeom>
                    <a:noFill/>
                    <a:ln>
                      <a:noFill/>
                    </a:ln>
                  </pic:spPr>
                </pic:pic>
              </a:graphicData>
            </a:graphic>
          </wp:inline>
        </w:drawing>
      </w:r>
    </w:p>
    <w:p w:rsidR="00476BE6" w:rsidRPr="000F5A61" w:rsidRDefault="00476BE6" w:rsidP="00476BE6">
      <w:pPr>
        <w:widowControl w:val="0"/>
        <w:autoSpaceDE w:val="0"/>
        <w:autoSpaceDN w:val="0"/>
        <w:adjustRightInd w:val="0"/>
        <w:spacing w:after="120" w:line="240" w:lineRule="auto"/>
        <w:rPr>
          <w:rFonts w:ascii="Arial" w:hAnsi="Arial" w:cs="Arial"/>
          <w:sz w:val="20"/>
          <w:szCs w:val="20"/>
          <w:lang w:val="en-IN"/>
        </w:rPr>
      </w:pPr>
      <w:r w:rsidRPr="000F5A61">
        <w:rPr>
          <w:rFonts w:ascii="Arial" w:hAnsi="Arial" w:cs="Arial"/>
          <w:i/>
          <w:sz w:val="20"/>
          <w:szCs w:val="20"/>
          <w:lang w:val="en-IN"/>
        </w:rPr>
        <w:t>Source:</w:t>
      </w:r>
      <w:r w:rsidRPr="000F5A61">
        <w:rPr>
          <w:rFonts w:ascii="Arial" w:hAnsi="Arial" w:cs="Arial"/>
          <w:sz w:val="20"/>
          <w:szCs w:val="20"/>
          <w:lang w:val="en-IN"/>
        </w:rPr>
        <w:t xml:space="preserve"> EDCD</w:t>
      </w:r>
    </w:p>
    <w:p w:rsidR="00476BE6" w:rsidRPr="000F5A61" w:rsidRDefault="00476BE6" w:rsidP="00476BE6">
      <w:pPr>
        <w:widowControl w:val="0"/>
        <w:autoSpaceDE w:val="0"/>
        <w:autoSpaceDN w:val="0"/>
        <w:adjustRightInd w:val="0"/>
        <w:spacing w:after="120" w:line="240" w:lineRule="auto"/>
        <w:rPr>
          <w:rFonts w:ascii="Arial" w:hAnsi="Arial" w:cs="Arial"/>
          <w:b/>
          <w:bCs/>
          <w:sz w:val="20"/>
          <w:szCs w:val="20"/>
        </w:rPr>
      </w:pPr>
    </w:p>
    <w:p w:rsidR="00555757" w:rsidRPr="000F5A61" w:rsidRDefault="00476BE6" w:rsidP="00555757">
      <w:pPr>
        <w:spacing w:after="120"/>
        <w:rPr>
          <w:rFonts w:ascii="Arial" w:hAnsi="Arial" w:cs="Arial"/>
          <w:sz w:val="20"/>
          <w:szCs w:val="20"/>
        </w:rPr>
      </w:pPr>
      <w:bookmarkStart w:id="1" w:name="_Toc321411377"/>
      <w:bookmarkStart w:id="2" w:name="_Toc360623051"/>
      <w:bookmarkEnd w:id="0"/>
      <w:r w:rsidRPr="000F5A61">
        <w:rPr>
          <w:rFonts w:ascii="Arial" w:hAnsi="Arial" w:cs="Arial"/>
          <w:b/>
          <w:bCs/>
          <w:sz w:val="20"/>
          <w:szCs w:val="20"/>
        </w:rPr>
        <w:t>Populations at risk</w:t>
      </w:r>
      <w:bookmarkStart w:id="3" w:name="_Toc321411378"/>
      <w:bookmarkEnd w:id="1"/>
      <w:bookmarkEnd w:id="2"/>
      <w:r w:rsidRPr="000F5A61">
        <w:rPr>
          <w:rFonts w:ascii="Arial" w:hAnsi="Arial" w:cs="Arial"/>
          <w:b/>
          <w:bCs/>
          <w:sz w:val="20"/>
          <w:szCs w:val="20"/>
        </w:rPr>
        <w:t xml:space="preserve">. </w:t>
      </w:r>
      <w:r w:rsidR="00555757" w:rsidRPr="000F5A61">
        <w:rPr>
          <w:rFonts w:ascii="Arial" w:hAnsi="Arial" w:cs="Arial"/>
          <w:sz w:val="20"/>
          <w:szCs w:val="20"/>
        </w:rPr>
        <w:t xml:space="preserve"> An analysis of the relative incidence in 2016 of indigenous cases by age and sex revealed higher incidence in adults than in children and incidence in men double that in women</w:t>
      </w:r>
      <w:r w:rsidR="005A734A" w:rsidRPr="000F5A61">
        <w:rPr>
          <w:rFonts w:ascii="Arial" w:hAnsi="Arial" w:cs="Arial"/>
          <w:sz w:val="20"/>
          <w:szCs w:val="20"/>
        </w:rPr>
        <w:t xml:space="preserve"> (figure 1.2.3)</w:t>
      </w:r>
      <w:r w:rsidR="00555757" w:rsidRPr="000F5A61">
        <w:rPr>
          <w:rFonts w:ascii="Arial" w:hAnsi="Arial" w:cs="Arial"/>
          <w:sz w:val="20"/>
          <w:szCs w:val="20"/>
        </w:rPr>
        <w:t>.</w:t>
      </w:r>
      <w:r w:rsidR="00403D7E" w:rsidRPr="000F5A61">
        <w:rPr>
          <w:rFonts w:ascii="Arial" w:hAnsi="Arial" w:cs="Arial"/>
          <w:sz w:val="20"/>
          <w:szCs w:val="20"/>
        </w:rPr>
        <w:t xml:space="preserve"> In endemic areas of Nepal, o</w:t>
      </w:r>
      <w:r w:rsidR="00555757" w:rsidRPr="000F5A61">
        <w:rPr>
          <w:rFonts w:ascii="Arial" w:hAnsi="Arial" w:cs="Arial"/>
          <w:sz w:val="20"/>
          <w:szCs w:val="20"/>
        </w:rPr>
        <w:t>ccupational exposure is an important factor for adults</w:t>
      </w:r>
      <w:r w:rsidR="00E97DE3" w:rsidRPr="000F5A61">
        <w:rPr>
          <w:rFonts w:ascii="Arial" w:hAnsi="Arial" w:cs="Arial"/>
          <w:sz w:val="20"/>
          <w:szCs w:val="20"/>
        </w:rPr>
        <w:t>,especially men</w:t>
      </w:r>
      <w:r w:rsidR="00555757" w:rsidRPr="000F5A61">
        <w:rPr>
          <w:rFonts w:ascii="Arial" w:hAnsi="Arial" w:cs="Arial"/>
          <w:sz w:val="20"/>
          <w:szCs w:val="20"/>
        </w:rPr>
        <w:t xml:space="preserve">. </w:t>
      </w:r>
      <w:r w:rsidR="001E7979" w:rsidRPr="000F5A61">
        <w:rPr>
          <w:rFonts w:ascii="Arial" w:hAnsi="Arial" w:cs="Arial"/>
          <w:sz w:val="20"/>
          <w:szCs w:val="20"/>
          <w:lang w:val="en-US"/>
        </w:rPr>
        <w:t>Fo</w:t>
      </w:r>
      <w:r w:rsidR="00555757" w:rsidRPr="000F5A61">
        <w:rPr>
          <w:rFonts w:ascii="Arial" w:hAnsi="Arial" w:cs="Arial"/>
          <w:sz w:val="20"/>
          <w:szCs w:val="20"/>
          <w:lang w:val="en-US"/>
        </w:rPr>
        <w:t xml:space="preserve">rest workers, miners, woodcutters, charcoal makers or roaming livestock farmers are at greatest risk. </w:t>
      </w:r>
      <w:r w:rsidR="00555757" w:rsidRPr="000F5A61">
        <w:rPr>
          <w:rFonts w:ascii="Arial" w:hAnsi="Arial" w:cs="Arial"/>
          <w:sz w:val="20"/>
          <w:szCs w:val="20"/>
        </w:rPr>
        <w:t>Only 3</w:t>
      </w:r>
      <w:r w:rsidR="00420981" w:rsidRPr="000F5A61">
        <w:rPr>
          <w:rFonts w:ascii="Arial" w:hAnsi="Arial" w:cs="Arial"/>
          <w:sz w:val="20"/>
          <w:szCs w:val="20"/>
        </w:rPr>
        <w:t>/</w:t>
      </w:r>
      <w:r w:rsidR="00565520" w:rsidRPr="000F5A61">
        <w:rPr>
          <w:rFonts w:ascii="Arial" w:hAnsi="Arial" w:cs="Arial"/>
          <w:sz w:val="20"/>
          <w:szCs w:val="20"/>
        </w:rPr>
        <w:t>27</w:t>
      </w:r>
      <w:r w:rsidR="00420981" w:rsidRPr="000F5A61">
        <w:rPr>
          <w:rFonts w:ascii="Arial" w:hAnsi="Arial" w:cs="Arial"/>
          <w:sz w:val="20"/>
          <w:szCs w:val="20"/>
        </w:rPr>
        <w:t xml:space="preserve"> endemic</w:t>
      </w:r>
      <w:r w:rsidR="00066729" w:rsidRPr="000F5A61">
        <w:rPr>
          <w:rFonts w:ascii="Arial" w:hAnsi="Arial" w:cs="Arial"/>
          <w:sz w:val="20"/>
          <w:szCs w:val="20"/>
        </w:rPr>
        <w:t>District</w:t>
      </w:r>
      <w:r w:rsidR="00555757" w:rsidRPr="000F5A61">
        <w:rPr>
          <w:rFonts w:ascii="Arial" w:hAnsi="Arial" w:cs="Arial"/>
          <w:sz w:val="20"/>
          <w:szCs w:val="20"/>
        </w:rPr>
        <w:t>s exhibited age-sex incidence patterns</w:t>
      </w:r>
      <w:r w:rsidR="00EC257E" w:rsidRPr="000F5A61">
        <w:rPr>
          <w:rFonts w:ascii="Arial" w:hAnsi="Arial" w:cs="Arial"/>
          <w:sz w:val="20"/>
          <w:szCs w:val="20"/>
        </w:rPr>
        <w:t xml:space="preserve"> clearly</w:t>
      </w:r>
      <w:r w:rsidR="00555757" w:rsidRPr="000F5A61">
        <w:rPr>
          <w:rFonts w:ascii="Arial" w:hAnsi="Arial" w:cs="Arial"/>
          <w:sz w:val="20"/>
          <w:szCs w:val="20"/>
        </w:rPr>
        <w:t xml:space="preserve"> indicative of community-based transmission (high incidence amongst children)</w:t>
      </w:r>
      <w:r w:rsidR="00A14B00" w:rsidRPr="000F5A61">
        <w:rPr>
          <w:rFonts w:ascii="Arial" w:hAnsi="Arial" w:cs="Arial"/>
          <w:sz w:val="20"/>
          <w:szCs w:val="20"/>
        </w:rPr>
        <w:t xml:space="preserve"> (see Operational framework – Annex </w:t>
      </w:r>
      <w:r w:rsidR="008B1AD7" w:rsidRPr="000F5A61">
        <w:rPr>
          <w:rFonts w:ascii="Arial" w:hAnsi="Arial" w:cs="Arial"/>
          <w:sz w:val="20"/>
          <w:szCs w:val="20"/>
        </w:rPr>
        <w:t>4</w:t>
      </w:r>
      <w:r w:rsidR="009465A2" w:rsidRPr="000F5A61">
        <w:rPr>
          <w:rFonts w:ascii="Arial" w:hAnsi="Arial" w:cs="Arial"/>
          <w:sz w:val="20"/>
          <w:szCs w:val="20"/>
        </w:rPr>
        <w:t>, p11</w:t>
      </w:r>
      <w:r w:rsidR="00A14B00" w:rsidRPr="000F5A61">
        <w:rPr>
          <w:rFonts w:ascii="Arial" w:hAnsi="Arial" w:cs="Arial"/>
          <w:sz w:val="20"/>
          <w:szCs w:val="20"/>
        </w:rPr>
        <w:t>)</w:t>
      </w:r>
      <w:r w:rsidR="00555757" w:rsidRPr="000F5A61">
        <w:rPr>
          <w:rFonts w:ascii="Arial" w:hAnsi="Arial" w:cs="Arial"/>
          <w:sz w:val="20"/>
          <w:szCs w:val="20"/>
        </w:rPr>
        <w:t xml:space="preserve">. </w:t>
      </w:r>
    </w:p>
    <w:p w:rsidR="00555757" w:rsidRPr="000F5A61" w:rsidRDefault="00555757" w:rsidP="00555757">
      <w:pPr>
        <w:spacing w:after="120"/>
        <w:rPr>
          <w:rFonts w:ascii="Arial" w:hAnsi="Arial" w:cs="Arial"/>
          <w:sz w:val="20"/>
          <w:szCs w:val="20"/>
        </w:rPr>
      </w:pPr>
    </w:p>
    <w:p w:rsidR="000F5A61" w:rsidRDefault="000F5A61" w:rsidP="00555757">
      <w:pPr>
        <w:spacing w:after="120"/>
        <w:rPr>
          <w:rFonts w:ascii="Arial" w:hAnsi="Arial" w:cs="Arial"/>
          <w:b/>
          <w:sz w:val="20"/>
          <w:szCs w:val="20"/>
        </w:rPr>
      </w:pPr>
    </w:p>
    <w:p w:rsidR="00555757" w:rsidRPr="000F5A61" w:rsidRDefault="00555757" w:rsidP="00555757">
      <w:pPr>
        <w:spacing w:after="120"/>
        <w:rPr>
          <w:rFonts w:ascii="Arial" w:hAnsi="Arial" w:cs="Arial"/>
          <w:b/>
          <w:sz w:val="20"/>
          <w:szCs w:val="20"/>
        </w:rPr>
      </w:pPr>
      <w:r w:rsidRPr="000F5A61">
        <w:rPr>
          <w:rFonts w:ascii="Arial" w:hAnsi="Arial" w:cs="Arial"/>
          <w:b/>
          <w:sz w:val="20"/>
          <w:szCs w:val="20"/>
        </w:rPr>
        <w:lastRenderedPageBreak/>
        <w:t xml:space="preserve">Figure </w:t>
      </w:r>
      <w:r w:rsidR="005A734A" w:rsidRPr="000F5A61">
        <w:rPr>
          <w:rFonts w:ascii="Arial" w:hAnsi="Arial" w:cs="Arial"/>
          <w:b/>
          <w:sz w:val="20"/>
          <w:szCs w:val="20"/>
        </w:rPr>
        <w:t>1.2.</w:t>
      </w:r>
      <w:r w:rsidRPr="000F5A61">
        <w:rPr>
          <w:rFonts w:ascii="Arial" w:hAnsi="Arial" w:cs="Arial"/>
          <w:b/>
          <w:sz w:val="20"/>
          <w:szCs w:val="20"/>
        </w:rPr>
        <w:t xml:space="preserve">3. Relative incidence of indigenous malaria by age-group and sex. </w:t>
      </w:r>
    </w:p>
    <w:p w:rsidR="00555757" w:rsidRPr="000F5A61" w:rsidRDefault="009219F2" w:rsidP="00555757">
      <w:pPr>
        <w:spacing w:after="120"/>
        <w:rPr>
          <w:rFonts w:ascii="Arial" w:hAnsi="Arial" w:cs="Arial"/>
          <w:sz w:val="20"/>
          <w:szCs w:val="20"/>
        </w:rPr>
      </w:pPr>
      <w:r w:rsidRPr="000F5A61">
        <w:rPr>
          <w:rFonts w:ascii="Arial" w:hAnsi="Arial" w:cs="Arial"/>
          <w:noProof/>
          <w:sz w:val="20"/>
          <w:szCs w:val="20"/>
          <w:lang w:val="en-US"/>
        </w:rPr>
        <w:drawing>
          <wp:inline distT="0" distB="0" distL="0" distR="0">
            <wp:extent cx="4827578" cy="2868149"/>
            <wp:effectExtent l="0" t="0" r="0" b="254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55757" w:rsidRPr="000F5A61" w:rsidRDefault="00555757" w:rsidP="00555757">
      <w:pPr>
        <w:spacing w:after="120"/>
        <w:rPr>
          <w:rFonts w:ascii="Arial" w:hAnsi="Arial" w:cs="Arial"/>
          <w:sz w:val="20"/>
          <w:szCs w:val="20"/>
        </w:rPr>
      </w:pPr>
    </w:p>
    <w:p w:rsidR="00BD5910" w:rsidRPr="000F5A61" w:rsidRDefault="00035C1E" w:rsidP="00C86062">
      <w:pPr>
        <w:spacing w:after="120"/>
        <w:rPr>
          <w:rFonts w:ascii="Arial" w:hAnsi="Arial" w:cs="Arial"/>
          <w:sz w:val="20"/>
          <w:szCs w:val="20"/>
        </w:rPr>
      </w:pPr>
      <w:r>
        <w:rPr>
          <w:rFonts w:ascii="Arial" w:hAnsi="Arial" w:cs="Arial"/>
          <w:noProof/>
          <w:sz w:val="20"/>
          <w:szCs w:val="20"/>
          <w:lang w:val="en-US"/>
        </w:rPr>
        <w:pict>
          <v:shape id="Text Box 4" o:spid="_x0000_s1027" type="#_x0000_t202" style="position:absolute;margin-left:.2pt;margin-top:68.75pt;width:459.55pt;height:175.85pt;z-index:25165926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" filled="f" strokecolor="black [3213]">
            <v:textbox>
              <w:txbxContent>
                <w:p w:rsidR="00D36820" w:rsidRPr="00B1785B" w:rsidRDefault="00D36820" w:rsidP="002307A4">
                  <w:pPr>
                    <w:widowControl w:val="0"/>
                    <w:autoSpaceDE w:val="0"/>
                    <w:autoSpaceDN w:val="0"/>
                    <w:adjustRightInd w:val="0"/>
                    <w:spacing w:after="120" w:line="240" w:lineRule="auto"/>
                    <w:rPr>
                      <w:rFonts w:ascii="Arial" w:hAnsi="Arial" w:cs="Arial"/>
                      <w:sz w:val="18"/>
                      <w:szCs w:val="18"/>
                    </w:rPr>
                  </w:pPr>
                  <w:r w:rsidRPr="00B1785B">
                    <w:rPr>
                      <w:rFonts w:ascii="Arial" w:hAnsi="Arial" w:cs="Arial"/>
                      <w:b/>
                      <w:sz w:val="18"/>
                      <w:szCs w:val="18"/>
                    </w:rPr>
                    <w:t>Box 1.2. Nepalese migrants in India.</w:t>
                  </w:r>
                  <w:r w:rsidRPr="00B1785B">
                    <w:rPr>
                      <w:rFonts w:ascii="Arial" w:hAnsi="Arial" w:cs="Arial"/>
                      <w:sz w:val="18"/>
                      <w:szCs w:val="18"/>
                    </w:rPr>
                    <w:t xml:space="preserve"> The vast majority of migrants to India travel long distances, basing themselves in Southern, Central and North-Eastern States (the latter border with Myanmar where multi-drug resistance is an issue). States that border with Nepal are of little of no significance in terms of malaria importation.  Many migrants to India work in major cities where living conditions are often cramped.  In these urban areas malaria transmission is maintained by </w:t>
                  </w:r>
                  <w:r w:rsidRPr="00B1785B">
                    <w:rPr>
                      <w:rFonts w:ascii="Arial" w:hAnsi="Arial" w:cs="Arial"/>
                      <w:i/>
                      <w:sz w:val="18"/>
                      <w:szCs w:val="18"/>
                    </w:rPr>
                    <w:t>An. stephensi</w:t>
                  </w:r>
                  <w:r w:rsidRPr="00B1785B">
                    <w:rPr>
                      <w:rFonts w:ascii="Arial" w:hAnsi="Arial" w:cs="Arial"/>
                      <w:sz w:val="18"/>
                      <w:szCs w:val="18"/>
                    </w:rPr>
                    <w:t xml:space="preserve">.  </w:t>
                  </w:r>
                  <w:r w:rsidRPr="00B1785B">
                    <w:rPr>
                      <w:rFonts w:ascii="Arial" w:hAnsi="Arial" w:cs="Arial"/>
                      <w:sz w:val="18"/>
                      <w:szCs w:val="18"/>
                      <w:lang w:val="en-US"/>
                    </w:rPr>
                    <w:t xml:space="preserve">These populations often have limited access to prevention, diagnostic testing, and treatment services. </w:t>
                  </w:r>
                  <w:r w:rsidRPr="00B1785B">
                    <w:rPr>
                      <w:rFonts w:ascii="Arial" w:hAnsi="Arial" w:cs="Arial"/>
                      <w:sz w:val="18"/>
                      <w:szCs w:val="18"/>
                    </w:rPr>
                    <w:t xml:space="preserve">Many work nights outdoors as guards, miners, cement, brick, diamond and garment factory workers etc. and so occupational exposure is common. Effectiveness of LLINs in these circumstances may be somewhat limited, but even so their deployment is still likely to be worthwhile given that the alternatives are limited. </w:t>
                  </w:r>
                </w:p>
                <w:p w:rsidR="00D36820" w:rsidRPr="00B1785B" w:rsidRDefault="00D36820">
                  <w:pPr>
                    <w:rPr>
                      <w:rFonts w:ascii="Arial" w:hAnsi="Arial" w:cs="Arial"/>
                      <w:sz w:val="18"/>
                      <w:szCs w:val="18"/>
                    </w:rPr>
                  </w:pPr>
                  <w:r w:rsidRPr="00B1785B">
                    <w:rPr>
                      <w:rFonts w:ascii="Arial" w:hAnsi="Arial" w:cs="Arial"/>
                      <w:sz w:val="18"/>
                      <w:szCs w:val="18"/>
                    </w:rPr>
                    <w:t>Many Nepalese migrants in India group together to form communities and some members of these communities are particularly well networked. The Programme will work with these ‘networked individuals’ to develop and pilot new strategies for malaria prevention and case management for migrants, including targeted provision of preventive and case management services, e.g. through migrant malaria volunteers equipped with RDTs and antimalarials.  Work will be carried out in collaboration with Indian counterparts with facilitation by WHO-SEARO and country offices.</w:t>
                  </w:r>
                </w:p>
              </w:txbxContent>
            </v:textbox>
            <w10:wrap type="square"/>
          </v:shape>
        </w:pict>
      </w:r>
      <w:r w:rsidR="00192E5F" w:rsidRPr="000F5A61">
        <w:rPr>
          <w:rFonts w:ascii="Arial" w:hAnsi="Arial" w:cs="Arial"/>
          <w:sz w:val="20"/>
          <w:szCs w:val="20"/>
        </w:rPr>
        <w:t xml:space="preserve">With </w:t>
      </w:r>
      <w:r w:rsidR="00420981" w:rsidRPr="000F5A61">
        <w:rPr>
          <w:rFonts w:ascii="Arial" w:hAnsi="Arial" w:cs="Arial"/>
          <w:sz w:val="20"/>
          <w:szCs w:val="20"/>
        </w:rPr>
        <w:t>~</w:t>
      </w:r>
      <w:r w:rsidR="00555757" w:rsidRPr="000F5A61">
        <w:rPr>
          <w:rFonts w:ascii="Arial" w:hAnsi="Arial" w:cs="Arial"/>
          <w:sz w:val="20"/>
          <w:szCs w:val="20"/>
        </w:rPr>
        <w:t>50% of cases imported by migrants returning from India, often to receptive areas</w:t>
      </w:r>
      <w:r w:rsidR="00420981" w:rsidRPr="000F5A61">
        <w:rPr>
          <w:rFonts w:ascii="Arial" w:hAnsi="Arial" w:cs="Arial"/>
          <w:sz w:val="20"/>
          <w:szCs w:val="20"/>
        </w:rPr>
        <w:t>,</w:t>
      </w:r>
      <w:r w:rsidR="00192E5F" w:rsidRPr="000F5A61">
        <w:rPr>
          <w:rFonts w:ascii="Arial" w:hAnsi="Arial" w:cs="Arial"/>
          <w:sz w:val="20"/>
          <w:szCs w:val="20"/>
        </w:rPr>
        <w:t>t</w:t>
      </w:r>
      <w:r w:rsidR="00555757" w:rsidRPr="000F5A61">
        <w:rPr>
          <w:rFonts w:ascii="Arial" w:hAnsi="Arial" w:cs="Arial"/>
          <w:sz w:val="20"/>
          <w:szCs w:val="20"/>
        </w:rPr>
        <w:t xml:space="preserve">he risk of reintroduction in </w:t>
      </w:r>
      <w:r w:rsidR="00420981" w:rsidRPr="000F5A61">
        <w:rPr>
          <w:rFonts w:ascii="Arial" w:hAnsi="Arial" w:cs="Arial"/>
          <w:sz w:val="20"/>
          <w:szCs w:val="20"/>
        </w:rPr>
        <w:t xml:space="preserve">malaria-free </w:t>
      </w:r>
      <w:r w:rsidR="00192E5F" w:rsidRPr="000F5A61">
        <w:rPr>
          <w:rFonts w:ascii="Arial" w:hAnsi="Arial" w:cs="Arial"/>
          <w:sz w:val="20"/>
          <w:szCs w:val="20"/>
        </w:rPr>
        <w:t>Districtsis a major concern</w:t>
      </w:r>
      <w:r w:rsidR="00555757" w:rsidRPr="000F5A61">
        <w:rPr>
          <w:rFonts w:ascii="Arial" w:hAnsi="Arial" w:cs="Arial"/>
          <w:sz w:val="20"/>
          <w:szCs w:val="20"/>
        </w:rPr>
        <w:t xml:space="preserve">. </w:t>
      </w:r>
      <w:r w:rsidR="00FD61EE" w:rsidRPr="000F5A61">
        <w:rPr>
          <w:rFonts w:ascii="Arial" w:hAnsi="Arial" w:cs="Arial"/>
          <w:sz w:val="20"/>
          <w:szCs w:val="20"/>
        </w:rPr>
        <w:t xml:space="preserve">Instances of reintroduction are common and have been well documented (Annex </w:t>
      </w:r>
      <w:r w:rsidR="008B1AD7" w:rsidRPr="000F5A61">
        <w:rPr>
          <w:rFonts w:ascii="Arial" w:hAnsi="Arial" w:cs="Arial"/>
          <w:sz w:val="20"/>
          <w:szCs w:val="20"/>
        </w:rPr>
        <w:t>10</w:t>
      </w:r>
      <w:r w:rsidR="00FD61EE" w:rsidRPr="000F5A61">
        <w:rPr>
          <w:rFonts w:ascii="Arial" w:hAnsi="Arial" w:cs="Arial"/>
          <w:sz w:val="20"/>
          <w:szCs w:val="20"/>
        </w:rPr>
        <w:t xml:space="preserve">). </w:t>
      </w:r>
      <w:r w:rsidR="00555757" w:rsidRPr="000F5A61">
        <w:rPr>
          <w:rFonts w:ascii="Arial" w:hAnsi="Arial" w:cs="Arial"/>
          <w:sz w:val="20"/>
          <w:szCs w:val="20"/>
        </w:rPr>
        <w:t>Providing targeted services for thesemigrants</w:t>
      </w:r>
      <w:r w:rsidR="00420981" w:rsidRPr="000F5A61">
        <w:rPr>
          <w:rStyle w:val="FootnoteReference"/>
          <w:rFonts w:ascii="Arial" w:hAnsi="Arial" w:cs="Arial"/>
          <w:sz w:val="20"/>
          <w:szCs w:val="20"/>
        </w:rPr>
        <w:footnoteReference w:id="7"/>
      </w:r>
      <w:r w:rsidR="00555757" w:rsidRPr="000F5A61">
        <w:rPr>
          <w:rFonts w:ascii="Arial" w:hAnsi="Arial" w:cs="Arial"/>
          <w:sz w:val="20"/>
          <w:szCs w:val="20"/>
        </w:rPr>
        <w:t xml:space="preserve">will be key to accelerating elimination and preventing reintroduction. </w:t>
      </w:r>
      <w:bookmarkEnd w:id="3"/>
    </w:p>
    <w:p w:rsidR="0025564B" w:rsidRPr="000F5A61" w:rsidRDefault="0025564B" w:rsidP="00476BE6">
      <w:pPr>
        <w:widowControl w:val="0"/>
        <w:autoSpaceDE w:val="0"/>
        <w:autoSpaceDN w:val="0"/>
        <w:adjustRightInd w:val="0"/>
        <w:spacing w:after="120" w:line="240" w:lineRule="auto"/>
        <w:rPr>
          <w:rFonts w:ascii="Arial" w:hAnsi="Arial" w:cs="Arial"/>
          <w:b/>
          <w:sz w:val="20"/>
          <w:szCs w:val="20"/>
          <w:lang w:val="en-US"/>
        </w:rPr>
      </w:pPr>
    </w:p>
    <w:p w:rsidR="00240533" w:rsidRPr="000F5A61" w:rsidRDefault="000042B7" w:rsidP="00476BE6">
      <w:pPr>
        <w:widowControl w:val="0"/>
        <w:autoSpaceDE w:val="0"/>
        <w:autoSpaceDN w:val="0"/>
        <w:adjustRightInd w:val="0"/>
        <w:spacing w:after="120" w:line="240" w:lineRule="auto"/>
        <w:rPr>
          <w:rFonts w:ascii="Arial" w:hAnsi="Arial" w:cs="Arial"/>
          <w:b/>
          <w:sz w:val="20"/>
          <w:szCs w:val="20"/>
          <w:lang w:val="en-US"/>
        </w:rPr>
      </w:pPr>
      <w:r w:rsidRPr="000F5A61">
        <w:rPr>
          <w:rFonts w:ascii="Arial" w:hAnsi="Arial" w:cs="Arial"/>
          <w:b/>
          <w:sz w:val="20"/>
          <w:szCs w:val="20"/>
          <w:lang w:val="en-US"/>
        </w:rPr>
        <w:t xml:space="preserve">Main </w:t>
      </w:r>
      <w:r w:rsidR="00240533" w:rsidRPr="000F5A61">
        <w:rPr>
          <w:rFonts w:ascii="Arial" w:hAnsi="Arial" w:cs="Arial"/>
          <w:b/>
          <w:sz w:val="20"/>
          <w:szCs w:val="20"/>
          <w:lang w:val="en-US"/>
        </w:rPr>
        <w:t>constraints</w:t>
      </w:r>
      <w:r w:rsidRPr="000F5A61">
        <w:rPr>
          <w:rFonts w:ascii="Arial" w:hAnsi="Arial" w:cs="Arial"/>
          <w:b/>
          <w:sz w:val="20"/>
          <w:szCs w:val="20"/>
          <w:lang w:val="en-US"/>
        </w:rPr>
        <w:t>.</w:t>
      </w:r>
      <w:r w:rsidR="006E3137" w:rsidRPr="000F5A61">
        <w:rPr>
          <w:rFonts w:ascii="Arial" w:hAnsi="Arial" w:cs="Arial"/>
          <w:sz w:val="20"/>
          <w:szCs w:val="20"/>
          <w:lang w:val="en-US"/>
        </w:rPr>
        <w:t xml:space="preserve">The malaria surveillance system requires very significant strengthening to bring it in-line with the requirements of elimination. Annual blood examination rate in endemic and receptive </w:t>
      </w:r>
      <w:r w:rsidR="00066729" w:rsidRPr="000F5A61">
        <w:rPr>
          <w:rFonts w:ascii="Arial" w:hAnsi="Arial" w:cs="Arial"/>
          <w:sz w:val="20"/>
          <w:szCs w:val="20"/>
          <w:lang w:val="en-US"/>
        </w:rPr>
        <w:t>District</w:t>
      </w:r>
      <w:r w:rsidR="006E3137" w:rsidRPr="000F5A61">
        <w:rPr>
          <w:rFonts w:ascii="Arial" w:hAnsi="Arial" w:cs="Arial"/>
          <w:sz w:val="20"/>
          <w:szCs w:val="20"/>
          <w:lang w:val="en-US"/>
        </w:rPr>
        <w:t>s will need to increase from less than 1% to between 5 and 10% to support certification of malaria elimination.</w:t>
      </w:r>
      <w:r w:rsidR="002307A4" w:rsidRPr="000F5A61">
        <w:rPr>
          <w:rFonts w:ascii="Arial" w:hAnsi="Arial" w:cs="Arial"/>
          <w:sz w:val="20"/>
          <w:szCs w:val="20"/>
          <w:lang w:val="en-US"/>
        </w:rPr>
        <w:t xml:space="preserve"> The absence of community-based services, the limited level of PS engagement and the lack of services for migrants </w:t>
      </w:r>
      <w:r w:rsidR="0025564B" w:rsidRPr="000F5A61">
        <w:rPr>
          <w:rFonts w:ascii="Arial" w:hAnsi="Arial" w:cs="Arial"/>
          <w:sz w:val="20"/>
          <w:szCs w:val="20"/>
          <w:lang w:val="en-US"/>
        </w:rPr>
        <w:t xml:space="preserve">are </w:t>
      </w:r>
      <w:r w:rsidR="002307A4" w:rsidRPr="000F5A61">
        <w:rPr>
          <w:rFonts w:ascii="Arial" w:hAnsi="Arial" w:cs="Arial"/>
          <w:sz w:val="20"/>
          <w:szCs w:val="20"/>
          <w:lang w:val="en-US"/>
        </w:rPr>
        <w:t>critically undermin</w:t>
      </w:r>
      <w:r w:rsidR="0025564B" w:rsidRPr="000F5A61">
        <w:rPr>
          <w:rFonts w:ascii="Arial" w:hAnsi="Arial" w:cs="Arial"/>
          <w:sz w:val="20"/>
          <w:szCs w:val="20"/>
          <w:lang w:val="en-US"/>
        </w:rPr>
        <w:t>ing</w:t>
      </w:r>
      <w:r w:rsidR="002307A4" w:rsidRPr="000F5A61">
        <w:rPr>
          <w:rFonts w:ascii="Arial" w:hAnsi="Arial" w:cs="Arial"/>
          <w:sz w:val="20"/>
          <w:szCs w:val="20"/>
          <w:lang w:val="en-US"/>
        </w:rPr>
        <w:t xml:space="preserve"> progress towards elimination.</w:t>
      </w:r>
    </w:p>
    <w:p w:rsidR="00685308" w:rsidRPr="000F5A61" w:rsidRDefault="000042B7" w:rsidP="00476BE6">
      <w:pPr>
        <w:widowControl w:val="0"/>
        <w:autoSpaceDE w:val="0"/>
        <w:autoSpaceDN w:val="0"/>
        <w:adjustRightInd w:val="0"/>
        <w:spacing w:after="120" w:line="240" w:lineRule="auto"/>
        <w:rPr>
          <w:rFonts w:ascii="Arial" w:hAnsi="Arial" w:cs="Arial"/>
          <w:sz w:val="20"/>
          <w:szCs w:val="20"/>
          <w:lang w:val="en-US"/>
        </w:rPr>
      </w:pPr>
      <w:r w:rsidRPr="000F5A61">
        <w:rPr>
          <w:rFonts w:ascii="Arial" w:hAnsi="Arial" w:cs="Arial"/>
          <w:b/>
          <w:sz w:val="20"/>
          <w:szCs w:val="20"/>
          <w:lang w:val="en-US"/>
        </w:rPr>
        <w:t xml:space="preserve">Opportunities </w:t>
      </w:r>
      <w:r w:rsidR="00240533" w:rsidRPr="000F5A61">
        <w:rPr>
          <w:rFonts w:ascii="Arial" w:hAnsi="Arial" w:cs="Arial"/>
          <w:b/>
          <w:sz w:val="20"/>
          <w:szCs w:val="20"/>
          <w:lang w:val="en-US"/>
        </w:rPr>
        <w:t>for service delivery</w:t>
      </w:r>
      <w:r w:rsidRPr="000F5A61">
        <w:rPr>
          <w:rFonts w:ascii="Arial" w:hAnsi="Arial" w:cs="Arial"/>
          <w:sz w:val="20"/>
          <w:szCs w:val="20"/>
          <w:lang w:val="en-US"/>
        </w:rPr>
        <w:t xml:space="preserve">. </w:t>
      </w:r>
      <w:r w:rsidR="006E3137" w:rsidRPr="000F5A61">
        <w:rPr>
          <w:rFonts w:ascii="Arial" w:hAnsi="Arial" w:cs="Arial"/>
          <w:sz w:val="20"/>
          <w:szCs w:val="20"/>
          <w:lang w:val="en-US"/>
        </w:rPr>
        <w:t>FCHVs</w:t>
      </w:r>
      <w:r w:rsidR="0082243A" w:rsidRPr="000F5A61">
        <w:rPr>
          <w:rFonts w:ascii="Arial" w:hAnsi="Arial" w:cs="Arial"/>
          <w:sz w:val="20"/>
          <w:szCs w:val="20"/>
        </w:rPr>
        <w:t>/</w:t>
      </w:r>
      <w:r w:rsidR="00D529A8" w:rsidRPr="000F5A61">
        <w:rPr>
          <w:rFonts w:ascii="Arial" w:hAnsi="Arial" w:cs="Arial"/>
          <w:sz w:val="20"/>
          <w:szCs w:val="20"/>
        </w:rPr>
        <w:t>Auxiliary</w:t>
      </w:r>
      <w:r w:rsidR="002307A4" w:rsidRPr="000F5A61">
        <w:rPr>
          <w:rFonts w:ascii="Arial" w:hAnsi="Arial" w:cs="Arial"/>
          <w:sz w:val="20"/>
          <w:szCs w:val="20"/>
        </w:rPr>
        <w:t xml:space="preserve"> Health Workers (A</w:t>
      </w:r>
      <w:r w:rsidR="0082243A" w:rsidRPr="000F5A61">
        <w:rPr>
          <w:rFonts w:ascii="Arial" w:hAnsi="Arial" w:cs="Arial"/>
          <w:sz w:val="20"/>
          <w:szCs w:val="20"/>
        </w:rPr>
        <w:t>HW</w:t>
      </w:r>
      <w:r w:rsidR="002307A4" w:rsidRPr="000F5A61">
        <w:rPr>
          <w:rFonts w:ascii="Arial" w:hAnsi="Arial" w:cs="Arial"/>
          <w:sz w:val="20"/>
          <w:szCs w:val="20"/>
        </w:rPr>
        <w:t>s)</w:t>
      </w:r>
      <w:r w:rsidR="0082243A" w:rsidRPr="000F5A61">
        <w:rPr>
          <w:rFonts w:ascii="Arial" w:hAnsi="Arial" w:cs="Arial"/>
          <w:sz w:val="20"/>
          <w:szCs w:val="20"/>
        </w:rPr>
        <w:t>/Auxiliary Nurse-</w:t>
      </w:r>
      <w:r w:rsidR="00847070" w:rsidRPr="000F5A61">
        <w:rPr>
          <w:rFonts w:ascii="Arial" w:hAnsi="Arial" w:cs="Arial"/>
          <w:sz w:val="20"/>
          <w:szCs w:val="20"/>
        </w:rPr>
        <w:t>Midwives</w:t>
      </w:r>
      <w:r w:rsidR="002307A4" w:rsidRPr="000F5A61">
        <w:rPr>
          <w:rFonts w:ascii="Arial" w:hAnsi="Arial" w:cs="Arial"/>
          <w:sz w:val="20"/>
          <w:szCs w:val="20"/>
        </w:rPr>
        <w:t xml:space="preserve"> (ANMs)</w:t>
      </w:r>
      <w:r w:rsidR="006E3137" w:rsidRPr="000F5A61">
        <w:rPr>
          <w:rFonts w:ascii="Arial" w:hAnsi="Arial" w:cs="Arial"/>
          <w:sz w:val="20"/>
          <w:szCs w:val="20"/>
          <w:lang w:val="en-US"/>
        </w:rPr>
        <w:t>are well placed to suppor</w:t>
      </w:r>
      <w:r w:rsidR="00685308" w:rsidRPr="000F5A61">
        <w:rPr>
          <w:rFonts w:ascii="Arial" w:hAnsi="Arial" w:cs="Arial"/>
          <w:sz w:val="20"/>
          <w:szCs w:val="20"/>
          <w:lang w:val="en-US"/>
        </w:rPr>
        <w:t xml:space="preserve">t the </w:t>
      </w:r>
      <w:r w:rsidR="00B716BF" w:rsidRPr="000F5A61">
        <w:rPr>
          <w:rFonts w:ascii="Arial" w:hAnsi="Arial" w:cs="Arial"/>
          <w:sz w:val="20"/>
          <w:szCs w:val="20"/>
          <w:lang w:val="en-US"/>
        </w:rPr>
        <w:t xml:space="preserve">rapid </w:t>
      </w:r>
      <w:r w:rsidR="00685308" w:rsidRPr="000F5A61">
        <w:rPr>
          <w:rFonts w:ascii="Arial" w:hAnsi="Arial" w:cs="Arial"/>
          <w:sz w:val="20"/>
          <w:szCs w:val="20"/>
          <w:lang w:val="en-US"/>
        </w:rPr>
        <w:t>roll-out of community-</w:t>
      </w:r>
      <w:r w:rsidR="006E3137" w:rsidRPr="000F5A61">
        <w:rPr>
          <w:rFonts w:ascii="Arial" w:hAnsi="Arial" w:cs="Arial"/>
          <w:sz w:val="20"/>
          <w:szCs w:val="20"/>
          <w:lang w:val="en-US"/>
        </w:rPr>
        <w:t xml:space="preserve">based </w:t>
      </w:r>
      <w:r w:rsidR="0025564B" w:rsidRPr="000F5A61">
        <w:rPr>
          <w:rFonts w:ascii="Arial" w:hAnsi="Arial" w:cs="Arial"/>
          <w:sz w:val="20"/>
          <w:szCs w:val="20"/>
          <w:lang w:val="en-US"/>
        </w:rPr>
        <w:t>‘</w:t>
      </w:r>
      <w:r w:rsidR="00685308" w:rsidRPr="000F5A61">
        <w:rPr>
          <w:rFonts w:ascii="Arial" w:hAnsi="Arial" w:cs="Arial"/>
          <w:sz w:val="20"/>
          <w:szCs w:val="20"/>
          <w:lang w:val="en-US"/>
        </w:rPr>
        <w:t>test, treat, track</w:t>
      </w:r>
      <w:r w:rsidR="0025564B" w:rsidRPr="000F5A61">
        <w:rPr>
          <w:rFonts w:ascii="Arial" w:hAnsi="Arial" w:cs="Arial"/>
          <w:sz w:val="20"/>
          <w:szCs w:val="20"/>
          <w:lang w:val="en-US"/>
        </w:rPr>
        <w:t>’</w:t>
      </w:r>
      <w:r w:rsidR="00685308" w:rsidRPr="000F5A61">
        <w:rPr>
          <w:rFonts w:ascii="Arial" w:hAnsi="Arial" w:cs="Arial"/>
          <w:sz w:val="20"/>
          <w:szCs w:val="20"/>
          <w:lang w:val="en-US"/>
        </w:rPr>
        <w:t xml:space="preserve">. </w:t>
      </w:r>
      <w:r w:rsidR="0082243A" w:rsidRPr="000F5A61">
        <w:rPr>
          <w:rFonts w:ascii="Arial" w:hAnsi="Arial" w:cs="Arial"/>
          <w:sz w:val="20"/>
          <w:szCs w:val="20"/>
          <w:lang w:val="en-US"/>
        </w:rPr>
        <w:t xml:space="preserve">Engaging with the </w:t>
      </w:r>
      <w:r w:rsidR="00D17653" w:rsidRPr="000F5A61">
        <w:rPr>
          <w:rFonts w:ascii="Arial" w:hAnsi="Arial" w:cs="Arial"/>
          <w:sz w:val="20"/>
          <w:szCs w:val="20"/>
          <w:lang w:val="en-US"/>
        </w:rPr>
        <w:t>PS</w:t>
      </w:r>
      <w:r w:rsidR="00B649EF" w:rsidRPr="000F5A61">
        <w:rPr>
          <w:rFonts w:ascii="Arial" w:hAnsi="Arial" w:cs="Arial"/>
          <w:sz w:val="20"/>
          <w:szCs w:val="20"/>
          <w:lang w:val="en-US"/>
        </w:rPr>
        <w:t xml:space="preserve">and rolling out community-based services </w:t>
      </w:r>
      <w:r w:rsidR="0082243A" w:rsidRPr="000F5A61">
        <w:rPr>
          <w:rFonts w:ascii="Arial" w:hAnsi="Arial" w:cs="Arial"/>
          <w:sz w:val="20"/>
          <w:szCs w:val="20"/>
          <w:lang w:val="en-US"/>
        </w:rPr>
        <w:t xml:space="preserve">will likely double the case detection capacity of the </w:t>
      </w:r>
      <w:r w:rsidR="0025564B" w:rsidRPr="000F5A61">
        <w:rPr>
          <w:rFonts w:ascii="Arial" w:hAnsi="Arial" w:cs="Arial"/>
          <w:sz w:val="20"/>
          <w:szCs w:val="20"/>
          <w:lang w:val="en-US"/>
        </w:rPr>
        <w:t>Programme</w:t>
      </w:r>
      <w:r w:rsidR="0082243A" w:rsidRPr="000F5A61">
        <w:rPr>
          <w:rFonts w:ascii="Arial" w:hAnsi="Arial" w:cs="Arial"/>
          <w:sz w:val="20"/>
          <w:szCs w:val="20"/>
          <w:lang w:val="en-US"/>
        </w:rPr>
        <w:t>.</w:t>
      </w:r>
      <w:r w:rsidR="00685308" w:rsidRPr="000F5A61">
        <w:rPr>
          <w:rFonts w:ascii="Arial" w:hAnsi="Arial" w:cs="Arial"/>
          <w:sz w:val="20"/>
          <w:szCs w:val="20"/>
          <w:lang w:val="en-US"/>
        </w:rPr>
        <w:t xml:space="preserve">The </w:t>
      </w:r>
      <w:r w:rsidR="00803A71" w:rsidRPr="000F5A61">
        <w:rPr>
          <w:rFonts w:ascii="Arial" w:hAnsi="Arial" w:cs="Arial"/>
          <w:sz w:val="20"/>
          <w:szCs w:val="20"/>
          <w:lang w:val="en-US"/>
        </w:rPr>
        <w:t xml:space="preserve">Programme’s </w:t>
      </w:r>
      <w:r w:rsidR="00685308" w:rsidRPr="000F5A61">
        <w:rPr>
          <w:rFonts w:ascii="Arial" w:hAnsi="Arial" w:cs="Arial"/>
          <w:sz w:val="20"/>
          <w:szCs w:val="20"/>
          <w:lang w:val="en-US"/>
        </w:rPr>
        <w:t>better understanding of malaria in migrants will support the piloting of better-targeted interventions.</w:t>
      </w:r>
    </w:p>
    <w:p w:rsidR="00CA75D2" w:rsidRPr="000F5A61" w:rsidRDefault="000042B7">
      <w:pPr>
        <w:rPr>
          <w:rFonts w:ascii="Arial" w:hAnsi="Arial" w:cs="Arial"/>
          <w:sz w:val="20"/>
          <w:szCs w:val="20"/>
          <w:lang w:val="en-US"/>
        </w:rPr>
      </w:pPr>
      <w:r w:rsidRPr="000F5A61">
        <w:rPr>
          <w:rFonts w:ascii="Arial" w:hAnsi="Arial" w:cs="Arial"/>
          <w:b/>
          <w:sz w:val="20"/>
          <w:szCs w:val="20"/>
          <w:lang w:val="en-US"/>
        </w:rPr>
        <w:lastRenderedPageBreak/>
        <w:t xml:space="preserve">Human </w:t>
      </w:r>
      <w:r w:rsidR="00240533" w:rsidRPr="000F5A61">
        <w:rPr>
          <w:rFonts w:ascii="Arial" w:hAnsi="Arial" w:cs="Arial"/>
          <w:b/>
          <w:sz w:val="20"/>
          <w:szCs w:val="20"/>
          <w:lang w:val="en-US"/>
        </w:rPr>
        <w:t>rights and gender</w:t>
      </w:r>
      <w:r w:rsidRPr="000F5A61">
        <w:rPr>
          <w:rFonts w:ascii="Arial" w:hAnsi="Arial" w:cs="Arial"/>
          <w:b/>
          <w:sz w:val="20"/>
          <w:szCs w:val="20"/>
          <w:lang w:val="en-US"/>
        </w:rPr>
        <w:t>.</w:t>
      </w:r>
      <w:r w:rsidR="00642537" w:rsidRPr="000F5A61">
        <w:rPr>
          <w:rFonts w:ascii="Arial" w:hAnsi="Arial" w:cs="Arial"/>
          <w:sz w:val="20"/>
          <w:szCs w:val="20"/>
          <w:lang w:val="en-US"/>
        </w:rPr>
        <w:t xml:space="preserve">The impact of human rights issues on access to malaria services has diminished very significantly since </w:t>
      </w:r>
      <w:r w:rsidR="00FA04AE" w:rsidRPr="000F5A61">
        <w:rPr>
          <w:rFonts w:ascii="Arial" w:hAnsi="Arial" w:cs="Arial"/>
          <w:sz w:val="20"/>
          <w:szCs w:val="20"/>
          <w:lang w:val="en-US"/>
        </w:rPr>
        <w:t>the ‘</w:t>
      </w:r>
      <w:r w:rsidR="00FA04AE" w:rsidRPr="000F5A61">
        <w:rPr>
          <w:rFonts w:ascii="Arial" w:hAnsi="Arial" w:cs="Arial"/>
          <w:sz w:val="20"/>
          <w:szCs w:val="20"/>
        </w:rPr>
        <w:t>Comprehensive Peace Agreement of 2006’. </w:t>
      </w:r>
      <w:r w:rsidR="00FA04AE" w:rsidRPr="000F5A61">
        <w:rPr>
          <w:rFonts w:ascii="Arial" w:hAnsi="Arial" w:cs="Arial"/>
          <w:sz w:val="20"/>
          <w:szCs w:val="20"/>
          <w:lang w:val="en-US"/>
        </w:rPr>
        <w:t xml:space="preserve">GoN and the Programme have embraced ‘Universal Coverage’ and the SDGs. Obstacles to access are now related primarily to the mobility of some members of the target population. Gender related issues do however still present access problems in some </w:t>
      </w:r>
      <w:r w:rsidR="00FF0512" w:rsidRPr="000F5A61">
        <w:rPr>
          <w:rFonts w:ascii="Arial" w:hAnsi="Arial" w:cs="Arial"/>
          <w:sz w:val="20"/>
          <w:szCs w:val="20"/>
        </w:rPr>
        <w:t xml:space="preserve">Hindu </w:t>
      </w:r>
      <w:r w:rsidR="00365660" w:rsidRPr="000F5A61">
        <w:rPr>
          <w:rFonts w:ascii="Arial" w:hAnsi="Arial" w:cs="Arial"/>
          <w:sz w:val="20"/>
          <w:szCs w:val="20"/>
        </w:rPr>
        <w:t>communities in Nepal</w:t>
      </w:r>
      <w:r w:rsidR="00CA5A72" w:rsidRPr="000F5A61">
        <w:rPr>
          <w:rFonts w:ascii="Arial" w:hAnsi="Arial" w:cs="Arial"/>
          <w:sz w:val="20"/>
          <w:szCs w:val="20"/>
        </w:rPr>
        <w:t xml:space="preserve"> where men</w:t>
      </w:r>
      <w:r w:rsidR="00365660" w:rsidRPr="000F5A61">
        <w:rPr>
          <w:rFonts w:ascii="Arial" w:hAnsi="Arial" w:cs="Arial"/>
          <w:sz w:val="20"/>
          <w:szCs w:val="20"/>
        </w:rPr>
        <w:t xml:space="preserve"> view menstruating </w:t>
      </w:r>
      <w:r w:rsidR="00FF0512" w:rsidRPr="000F5A61">
        <w:rPr>
          <w:rFonts w:ascii="Arial" w:hAnsi="Arial" w:cs="Arial"/>
          <w:sz w:val="20"/>
          <w:szCs w:val="20"/>
        </w:rPr>
        <w:t xml:space="preserve">and post-partum </w:t>
      </w:r>
      <w:r w:rsidR="00365660" w:rsidRPr="000F5A61">
        <w:rPr>
          <w:rFonts w:ascii="Arial" w:hAnsi="Arial" w:cs="Arial"/>
          <w:sz w:val="20"/>
          <w:szCs w:val="20"/>
        </w:rPr>
        <w:t xml:space="preserve">women as </w:t>
      </w:r>
      <w:r w:rsidR="00FF0512" w:rsidRPr="000F5A61">
        <w:rPr>
          <w:rFonts w:ascii="Arial" w:hAnsi="Arial" w:cs="Arial"/>
          <w:sz w:val="20"/>
          <w:szCs w:val="20"/>
        </w:rPr>
        <w:t>untouchable</w:t>
      </w:r>
      <w:r w:rsidR="00CA5A72" w:rsidRPr="000F5A61">
        <w:rPr>
          <w:rFonts w:ascii="Arial" w:hAnsi="Arial" w:cs="Arial"/>
          <w:sz w:val="20"/>
          <w:szCs w:val="20"/>
        </w:rPr>
        <w:t>. In</w:t>
      </w:r>
      <w:r w:rsidRPr="000F5A61">
        <w:rPr>
          <w:rFonts w:ascii="Arial" w:hAnsi="Arial" w:cs="Arial"/>
          <w:sz w:val="20"/>
          <w:szCs w:val="20"/>
        </w:rPr>
        <w:t xml:space="preserve">many </w:t>
      </w:r>
      <w:r w:rsidR="00365660" w:rsidRPr="000F5A61">
        <w:rPr>
          <w:rFonts w:ascii="Arial" w:hAnsi="Arial" w:cs="Arial"/>
          <w:sz w:val="20"/>
          <w:szCs w:val="20"/>
        </w:rPr>
        <w:t xml:space="preserve">remote </w:t>
      </w:r>
      <w:r w:rsidR="00FA04AE" w:rsidRPr="000F5A61">
        <w:rPr>
          <w:rFonts w:ascii="Arial" w:hAnsi="Arial" w:cs="Arial"/>
          <w:sz w:val="20"/>
          <w:szCs w:val="20"/>
        </w:rPr>
        <w:t>parts of</w:t>
      </w:r>
      <w:r w:rsidRPr="000F5A61">
        <w:rPr>
          <w:rFonts w:ascii="Arial" w:hAnsi="Arial" w:cs="Arial"/>
          <w:sz w:val="20"/>
          <w:szCs w:val="20"/>
        </w:rPr>
        <w:t xml:space="preserve"> the </w:t>
      </w:r>
      <w:r w:rsidR="00FA04AE" w:rsidRPr="000F5A61">
        <w:rPr>
          <w:rFonts w:ascii="Arial" w:hAnsi="Arial" w:cs="Arial"/>
          <w:sz w:val="20"/>
          <w:szCs w:val="20"/>
        </w:rPr>
        <w:t xml:space="preserve">Inner </w:t>
      </w:r>
      <w:r w:rsidRPr="000F5A61">
        <w:rPr>
          <w:rFonts w:ascii="Arial" w:hAnsi="Arial" w:cs="Arial"/>
          <w:sz w:val="20"/>
          <w:szCs w:val="20"/>
        </w:rPr>
        <w:t>Terai</w:t>
      </w:r>
      <w:r w:rsidR="00BA1DB4" w:rsidRPr="000F5A61">
        <w:rPr>
          <w:rFonts w:ascii="Arial" w:hAnsi="Arial" w:cs="Arial"/>
          <w:sz w:val="20"/>
          <w:szCs w:val="20"/>
        </w:rPr>
        <w:t xml:space="preserve">menstruating/post-partum </w:t>
      </w:r>
      <w:r w:rsidR="00FA04AE" w:rsidRPr="000F5A61">
        <w:rPr>
          <w:rFonts w:ascii="Arial" w:hAnsi="Arial" w:cs="Arial"/>
          <w:sz w:val="20"/>
          <w:szCs w:val="20"/>
        </w:rPr>
        <w:t xml:space="preserve">women </w:t>
      </w:r>
      <w:r w:rsidR="00365660" w:rsidRPr="000F5A61">
        <w:rPr>
          <w:rFonts w:ascii="Arial" w:hAnsi="Arial" w:cs="Arial"/>
          <w:sz w:val="20"/>
          <w:szCs w:val="20"/>
        </w:rPr>
        <w:t>are forced to sleep in hut</w:t>
      </w:r>
      <w:r w:rsidR="00481E9F" w:rsidRPr="000F5A61">
        <w:rPr>
          <w:rFonts w:ascii="Arial" w:hAnsi="Arial" w:cs="Arial"/>
          <w:sz w:val="20"/>
          <w:szCs w:val="20"/>
        </w:rPr>
        <w:t xml:space="preserve">s </w:t>
      </w:r>
      <w:r w:rsidR="00365660" w:rsidRPr="000F5A61">
        <w:rPr>
          <w:rFonts w:ascii="Arial" w:hAnsi="Arial" w:cs="Arial"/>
          <w:sz w:val="20"/>
          <w:szCs w:val="20"/>
        </w:rPr>
        <w:t>away from the</w:t>
      </w:r>
      <w:r w:rsidR="00FF0512" w:rsidRPr="000F5A61">
        <w:rPr>
          <w:rFonts w:ascii="Arial" w:hAnsi="Arial" w:cs="Arial"/>
          <w:sz w:val="20"/>
          <w:szCs w:val="20"/>
        </w:rPr>
        <w:t xml:space="preserve"> family home</w:t>
      </w:r>
      <w:r w:rsidR="00BA1DB4" w:rsidRPr="000F5A61">
        <w:rPr>
          <w:rFonts w:ascii="Arial" w:hAnsi="Arial" w:cs="Arial"/>
          <w:sz w:val="20"/>
          <w:szCs w:val="20"/>
        </w:rPr>
        <w:t>, a practice known as ‘chhaupadi’</w:t>
      </w:r>
      <w:r w:rsidR="00FF0512" w:rsidRPr="000F5A61">
        <w:rPr>
          <w:rFonts w:ascii="Arial" w:hAnsi="Arial" w:cs="Arial"/>
          <w:sz w:val="20"/>
          <w:szCs w:val="20"/>
        </w:rPr>
        <w:t xml:space="preserve">. </w:t>
      </w:r>
      <w:r w:rsidR="00BA1DB4" w:rsidRPr="000F5A61">
        <w:rPr>
          <w:rFonts w:ascii="Arial" w:hAnsi="Arial" w:cs="Arial"/>
          <w:sz w:val="20"/>
          <w:szCs w:val="20"/>
        </w:rPr>
        <w:t>T</w:t>
      </w:r>
      <w:r w:rsidR="00FF0512" w:rsidRPr="000F5A61">
        <w:rPr>
          <w:rFonts w:ascii="Arial" w:hAnsi="Arial" w:cs="Arial"/>
          <w:sz w:val="20"/>
          <w:szCs w:val="20"/>
        </w:rPr>
        <w:t xml:space="preserve">he </w:t>
      </w:r>
      <w:r w:rsidR="00BA1DB4" w:rsidRPr="000F5A61">
        <w:rPr>
          <w:rFonts w:ascii="Arial" w:hAnsi="Arial" w:cs="Arial"/>
          <w:sz w:val="20"/>
          <w:szCs w:val="20"/>
        </w:rPr>
        <w:t xml:space="preserve">rudimentary </w:t>
      </w:r>
      <w:r w:rsidR="00FF0512" w:rsidRPr="000F5A61">
        <w:rPr>
          <w:rFonts w:ascii="Arial" w:hAnsi="Arial" w:cs="Arial"/>
          <w:sz w:val="20"/>
          <w:szCs w:val="20"/>
        </w:rPr>
        <w:t>construction of the</w:t>
      </w:r>
      <w:r w:rsidR="00BA1DB4" w:rsidRPr="000F5A61">
        <w:rPr>
          <w:rFonts w:ascii="Arial" w:hAnsi="Arial" w:cs="Arial"/>
          <w:sz w:val="20"/>
          <w:szCs w:val="20"/>
        </w:rPr>
        <w:t>se</w:t>
      </w:r>
      <w:r w:rsidR="00FF0512" w:rsidRPr="000F5A61">
        <w:rPr>
          <w:rFonts w:ascii="Arial" w:hAnsi="Arial" w:cs="Arial"/>
          <w:sz w:val="20"/>
          <w:szCs w:val="20"/>
        </w:rPr>
        <w:t xml:space="preserve"> hutsputs </w:t>
      </w:r>
      <w:r w:rsidR="00C15B90" w:rsidRPr="000F5A61">
        <w:rPr>
          <w:rFonts w:ascii="Arial" w:hAnsi="Arial" w:cs="Arial"/>
          <w:sz w:val="20"/>
          <w:szCs w:val="20"/>
        </w:rPr>
        <w:t>these women</w:t>
      </w:r>
      <w:r w:rsidR="00FF0512" w:rsidRPr="000F5A61">
        <w:rPr>
          <w:rFonts w:ascii="Arial" w:hAnsi="Arial" w:cs="Arial"/>
          <w:sz w:val="20"/>
          <w:szCs w:val="20"/>
        </w:rPr>
        <w:t xml:space="preserve"> at increased risk of malaria</w:t>
      </w:r>
      <w:r w:rsidR="00365660" w:rsidRPr="000F5A61">
        <w:rPr>
          <w:rFonts w:ascii="Arial" w:hAnsi="Arial" w:cs="Arial"/>
          <w:sz w:val="20"/>
          <w:szCs w:val="20"/>
        </w:rPr>
        <w:t xml:space="preserve">. </w:t>
      </w:r>
      <w:r w:rsidR="00481E9F" w:rsidRPr="000F5A61">
        <w:rPr>
          <w:rFonts w:ascii="Arial" w:eastAsia="Times New Roman" w:hAnsi="Arial" w:cs="Arial"/>
          <w:sz w:val="20"/>
          <w:szCs w:val="20"/>
          <w:shd w:val="clear" w:color="auto" w:fill="FFFFFF"/>
        </w:rPr>
        <w:t>L</w:t>
      </w:r>
      <w:r w:rsidR="00365660" w:rsidRPr="000F5A61">
        <w:rPr>
          <w:rFonts w:ascii="Arial" w:eastAsia="Times New Roman" w:hAnsi="Arial" w:cs="Arial"/>
          <w:sz w:val="20"/>
          <w:szCs w:val="20"/>
          <w:shd w:val="clear" w:color="auto" w:fill="FFFFFF"/>
        </w:rPr>
        <w:t xml:space="preserve">egislation </w:t>
      </w:r>
      <w:r w:rsidR="00C15B90" w:rsidRPr="000F5A61">
        <w:rPr>
          <w:rFonts w:ascii="Arial" w:eastAsia="Times New Roman" w:hAnsi="Arial" w:cs="Arial"/>
          <w:sz w:val="20"/>
          <w:szCs w:val="20"/>
          <w:shd w:val="clear" w:color="auto" w:fill="FFFFFF"/>
        </w:rPr>
        <w:t>criminalis</w:t>
      </w:r>
      <w:r w:rsidR="00BA1DB4" w:rsidRPr="000F5A61">
        <w:rPr>
          <w:rFonts w:ascii="Arial" w:eastAsia="Times New Roman" w:hAnsi="Arial" w:cs="Arial"/>
          <w:sz w:val="20"/>
          <w:szCs w:val="20"/>
          <w:shd w:val="clear" w:color="auto" w:fill="FFFFFF"/>
        </w:rPr>
        <w:t>ing</w:t>
      </w:r>
      <w:r w:rsidR="00F51BF5" w:rsidRPr="000F5A61">
        <w:rPr>
          <w:rFonts w:ascii="Arial" w:eastAsia="Times New Roman" w:hAnsi="Arial" w:cs="Arial"/>
          <w:sz w:val="20"/>
          <w:szCs w:val="20"/>
          <w:shd w:val="clear" w:color="auto" w:fill="FFFFFF"/>
        </w:rPr>
        <w:t>‘</w:t>
      </w:r>
      <w:r w:rsidR="00C15B90" w:rsidRPr="000F5A61">
        <w:rPr>
          <w:rFonts w:ascii="Arial" w:eastAsia="Times New Roman" w:hAnsi="Arial" w:cs="Arial"/>
          <w:sz w:val="20"/>
          <w:szCs w:val="20"/>
          <w:shd w:val="clear" w:color="auto" w:fill="FFFFFF"/>
        </w:rPr>
        <w:t>chhaupadi</w:t>
      </w:r>
      <w:r w:rsidR="00F51BF5" w:rsidRPr="000F5A61">
        <w:rPr>
          <w:rFonts w:ascii="Arial" w:eastAsia="Times New Roman" w:hAnsi="Arial" w:cs="Arial"/>
          <w:sz w:val="20"/>
          <w:szCs w:val="20"/>
          <w:shd w:val="clear" w:color="auto" w:fill="FFFFFF"/>
        </w:rPr>
        <w:t>’</w:t>
      </w:r>
      <w:r w:rsidR="00C15B90" w:rsidRPr="000F5A61">
        <w:rPr>
          <w:rFonts w:ascii="Arial" w:eastAsia="Times New Roman" w:hAnsi="Arial" w:cs="Arial"/>
          <w:sz w:val="20"/>
          <w:szCs w:val="20"/>
          <w:shd w:val="clear" w:color="auto" w:fill="FFFFFF"/>
        </w:rPr>
        <w:t xml:space="preserve"> has recently been introduced </w:t>
      </w:r>
      <w:r w:rsidR="00BA1DB4" w:rsidRPr="000F5A61">
        <w:rPr>
          <w:rFonts w:ascii="Arial" w:eastAsia="Times New Roman" w:hAnsi="Arial" w:cs="Arial"/>
          <w:sz w:val="20"/>
          <w:szCs w:val="20"/>
          <w:shd w:val="clear" w:color="auto" w:fill="FFFFFF"/>
        </w:rPr>
        <w:t>with penalties including imprisonment</w:t>
      </w:r>
      <w:r w:rsidR="00481E9F" w:rsidRPr="000F5A61">
        <w:rPr>
          <w:rFonts w:ascii="Arial" w:eastAsia="Times New Roman" w:hAnsi="Arial" w:cs="Arial"/>
          <w:sz w:val="20"/>
          <w:szCs w:val="20"/>
          <w:shd w:val="clear" w:color="auto" w:fill="FFFFFF"/>
        </w:rPr>
        <w:t xml:space="preserve">. However, enforcement is likely to </w:t>
      </w:r>
      <w:r w:rsidR="00C15B90" w:rsidRPr="000F5A61">
        <w:rPr>
          <w:rFonts w:ascii="Arial" w:eastAsia="Times New Roman" w:hAnsi="Arial" w:cs="Arial"/>
          <w:sz w:val="20"/>
          <w:szCs w:val="20"/>
          <w:shd w:val="clear" w:color="auto" w:fill="FFFFFF"/>
        </w:rPr>
        <w:t>be problematic</w:t>
      </w:r>
      <w:r w:rsidR="00481E9F" w:rsidRPr="000F5A61">
        <w:rPr>
          <w:rFonts w:ascii="Arial" w:eastAsia="Times New Roman" w:hAnsi="Arial" w:cs="Arial"/>
          <w:sz w:val="20"/>
          <w:szCs w:val="20"/>
          <w:shd w:val="clear" w:color="auto" w:fill="FFFFFF"/>
        </w:rPr>
        <w:t xml:space="preserve"> and so the </w:t>
      </w:r>
      <w:r w:rsidR="00BA1DB4" w:rsidRPr="000F5A61">
        <w:rPr>
          <w:rFonts w:ascii="Arial" w:eastAsia="Times New Roman" w:hAnsi="Arial" w:cs="Arial"/>
          <w:sz w:val="20"/>
          <w:szCs w:val="20"/>
          <w:shd w:val="clear" w:color="auto" w:fill="FFFFFF"/>
        </w:rPr>
        <w:t xml:space="preserve">Programme </w:t>
      </w:r>
      <w:r w:rsidR="00481E9F" w:rsidRPr="000F5A61">
        <w:rPr>
          <w:rFonts w:ascii="Arial" w:eastAsia="Times New Roman" w:hAnsi="Arial" w:cs="Arial"/>
          <w:sz w:val="20"/>
          <w:szCs w:val="20"/>
          <w:shd w:val="clear" w:color="auto" w:fill="FFFFFF"/>
        </w:rPr>
        <w:t xml:space="preserve">will continue to provide additional LLINs to ensure that women can be protected at all times. </w:t>
      </w:r>
      <w:r w:rsidR="00C15B90" w:rsidRPr="000F5A61">
        <w:rPr>
          <w:rFonts w:ascii="Arial" w:eastAsia="Times New Roman" w:hAnsi="Arial" w:cs="Arial"/>
          <w:sz w:val="20"/>
          <w:szCs w:val="20"/>
          <w:shd w:val="clear" w:color="auto" w:fill="FFFFFF"/>
        </w:rPr>
        <w:t xml:space="preserve">Where </w:t>
      </w:r>
      <w:r w:rsidR="00481E9F" w:rsidRPr="000F5A61">
        <w:rPr>
          <w:rFonts w:ascii="Arial" w:eastAsia="Times New Roman" w:hAnsi="Arial" w:cs="Arial"/>
          <w:sz w:val="20"/>
          <w:szCs w:val="20"/>
          <w:shd w:val="clear" w:color="auto" w:fill="FFFFFF"/>
        </w:rPr>
        <w:t xml:space="preserve">IRS </w:t>
      </w:r>
      <w:r w:rsidR="00C15B90" w:rsidRPr="000F5A61">
        <w:rPr>
          <w:rFonts w:ascii="Arial" w:eastAsia="Times New Roman" w:hAnsi="Arial" w:cs="Arial"/>
          <w:sz w:val="20"/>
          <w:szCs w:val="20"/>
          <w:shd w:val="clear" w:color="auto" w:fill="FFFFFF"/>
        </w:rPr>
        <w:t xml:space="preserve">is implemented this </w:t>
      </w:r>
      <w:r w:rsidR="00481E9F" w:rsidRPr="000F5A61">
        <w:rPr>
          <w:rFonts w:ascii="Arial" w:eastAsia="Times New Roman" w:hAnsi="Arial" w:cs="Arial"/>
          <w:sz w:val="20"/>
          <w:szCs w:val="20"/>
          <w:shd w:val="clear" w:color="auto" w:fill="FFFFFF"/>
        </w:rPr>
        <w:t xml:space="preserve">will also target </w:t>
      </w:r>
      <w:r w:rsidR="00BA1DB4" w:rsidRPr="000F5A61">
        <w:rPr>
          <w:rFonts w:ascii="Arial" w:eastAsia="Times New Roman" w:hAnsi="Arial" w:cs="Arial"/>
          <w:sz w:val="20"/>
          <w:szCs w:val="20"/>
          <w:shd w:val="clear" w:color="auto" w:fill="FFFFFF"/>
        </w:rPr>
        <w:t>chhaupadihuts</w:t>
      </w:r>
      <w:r w:rsidR="00C15B90" w:rsidRPr="000F5A61">
        <w:rPr>
          <w:rFonts w:ascii="Arial" w:eastAsia="Times New Roman" w:hAnsi="Arial" w:cs="Arial"/>
          <w:sz w:val="20"/>
          <w:szCs w:val="20"/>
          <w:shd w:val="clear" w:color="auto" w:fill="FFFFFF"/>
        </w:rPr>
        <w:t>.</w:t>
      </w:r>
    </w:p>
    <w:p w:rsidR="002F6341" w:rsidRPr="000F5A61" w:rsidRDefault="002F6341">
      <w:pPr>
        <w:rPr>
          <w:rFonts w:ascii="Arial" w:hAnsi="Arial" w:cs="Arial"/>
          <w:sz w:val="20"/>
          <w:szCs w:val="20"/>
          <w:lang w:val="en-US"/>
        </w:rPr>
      </w:pPr>
      <w:r w:rsidRPr="000F5A61">
        <w:rPr>
          <w:rFonts w:ascii="Arial" w:hAnsi="Arial" w:cs="Arial"/>
          <w:sz w:val="20"/>
          <w:szCs w:val="20"/>
          <w:lang w:val="en-US"/>
        </w:rPr>
        <w:t>There are still ~</w:t>
      </w:r>
      <w:r w:rsidR="000F261A" w:rsidRPr="000F5A61">
        <w:rPr>
          <w:rFonts w:ascii="Arial" w:hAnsi="Arial" w:cs="Arial"/>
          <w:sz w:val="20"/>
          <w:szCs w:val="20"/>
          <w:lang w:val="en-US"/>
        </w:rPr>
        <w:t>1</w:t>
      </w:r>
      <w:r w:rsidR="00CB0D08" w:rsidRPr="000F5A61">
        <w:rPr>
          <w:rFonts w:ascii="Arial" w:hAnsi="Arial" w:cs="Arial"/>
          <w:sz w:val="20"/>
          <w:szCs w:val="20"/>
          <w:lang w:val="en-US"/>
        </w:rPr>
        <w:t>8</w:t>
      </w:r>
      <w:r w:rsidRPr="000F5A61">
        <w:rPr>
          <w:rFonts w:ascii="Arial" w:hAnsi="Arial" w:cs="Arial"/>
          <w:sz w:val="20"/>
          <w:szCs w:val="20"/>
          <w:lang w:val="en-US"/>
        </w:rPr>
        <w:t xml:space="preserve">,000 Bhutanese refugees living in </w:t>
      </w:r>
      <w:r w:rsidR="000F261A" w:rsidRPr="000F5A61">
        <w:rPr>
          <w:rFonts w:ascii="Arial" w:hAnsi="Arial" w:cs="Arial"/>
          <w:sz w:val="20"/>
          <w:szCs w:val="20"/>
          <w:lang w:val="en-US"/>
        </w:rPr>
        <w:t>2</w:t>
      </w:r>
      <w:r w:rsidRPr="000F5A61">
        <w:rPr>
          <w:rFonts w:ascii="Arial" w:hAnsi="Arial" w:cs="Arial"/>
          <w:sz w:val="20"/>
          <w:szCs w:val="20"/>
          <w:lang w:val="en-US"/>
        </w:rPr>
        <w:t xml:space="preserve"> camp</w:t>
      </w:r>
      <w:r w:rsidR="000F261A" w:rsidRPr="000F5A61">
        <w:rPr>
          <w:rFonts w:ascii="Arial" w:hAnsi="Arial" w:cs="Arial"/>
          <w:sz w:val="20"/>
          <w:szCs w:val="20"/>
          <w:lang w:val="en-US"/>
        </w:rPr>
        <w:t>s</w:t>
      </w:r>
      <w:r w:rsidRPr="000F5A61">
        <w:rPr>
          <w:rFonts w:ascii="Arial" w:hAnsi="Arial" w:cs="Arial"/>
          <w:sz w:val="20"/>
          <w:szCs w:val="20"/>
          <w:lang w:val="en-US"/>
        </w:rPr>
        <w:t xml:space="preserve"> in an endemic area of </w:t>
      </w:r>
      <w:r w:rsidR="0086427E" w:rsidRPr="000F5A61">
        <w:rPr>
          <w:rFonts w:ascii="Arial" w:hAnsi="Arial" w:cs="Arial"/>
          <w:sz w:val="20"/>
          <w:szCs w:val="20"/>
          <w:lang w:val="en-US"/>
        </w:rPr>
        <w:t>Jhapa</w:t>
      </w:r>
      <w:r w:rsidRPr="000F5A61">
        <w:rPr>
          <w:rFonts w:ascii="Arial" w:hAnsi="Arial" w:cs="Arial"/>
          <w:sz w:val="20"/>
          <w:szCs w:val="20"/>
          <w:lang w:val="en-US"/>
        </w:rPr>
        <w:t xml:space="preserve"> District</w:t>
      </w:r>
      <w:r w:rsidR="000F261A" w:rsidRPr="000F5A61">
        <w:rPr>
          <w:rStyle w:val="FootnoteReference"/>
          <w:rFonts w:ascii="Arial" w:hAnsi="Arial" w:cs="Arial"/>
          <w:sz w:val="20"/>
          <w:szCs w:val="20"/>
          <w:lang w:val="en-US"/>
        </w:rPr>
        <w:footnoteReference w:id="8"/>
      </w:r>
      <w:r w:rsidRPr="000F5A61">
        <w:rPr>
          <w:rFonts w:ascii="Arial" w:hAnsi="Arial" w:cs="Arial"/>
          <w:sz w:val="20"/>
          <w:szCs w:val="20"/>
          <w:lang w:val="en-US"/>
        </w:rPr>
        <w:t>. In 2018 they will be provided with LLINs and the NGO healthcare provider</w:t>
      </w:r>
      <w:r w:rsidR="0086427E" w:rsidRPr="000F5A61">
        <w:rPr>
          <w:rFonts w:ascii="Arial" w:hAnsi="Arial" w:cs="Arial"/>
          <w:sz w:val="20"/>
          <w:szCs w:val="20"/>
          <w:lang w:val="en-US"/>
        </w:rPr>
        <w:t xml:space="preserve"> based in the camp will be trained and equipped with RDTs and antimalarials (as part of the PS initiative)</w:t>
      </w:r>
      <w:r w:rsidRPr="000F5A61">
        <w:rPr>
          <w:rFonts w:ascii="Arial" w:hAnsi="Arial" w:cs="Arial"/>
          <w:sz w:val="20"/>
          <w:szCs w:val="20"/>
          <w:lang w:val="en-US"/>
        </w:rPr>
        <w:t>.</w:t>
      </w:r>
    </w:p>
    <w:p w:rsidR="00240533" w:rsidRPr="000F5A61" w:rsidRDefault="00CA75D2" w:rsidP="00C86062">
      <w:pPr>
        <w:rPr>
          <w:rFonts w:ascii="Arial" w:hAnsi="Arial" w:cs="Arial"/>
          <w:sz w:val="20"/>
          <w:szCs w:val="20"/>
          <w:lang w:val="en-US"/>
        </w:rPr>
      </w:pPr>
      <w:r w:rsidRPr="000F5A61">
        <w:rPr>
          <w:rFonts w:ascii="Arial" w:hAnsi="Arial" w:cs="Arial"/>
          <w:sz w:val="20"/>
          <w:szCs w:val="20"/>
          <w:lang w:val="en-US"/>
        </w:rPr>
        <w:t xml:space="preserve">The vast majority of community-based services are implemented through FCHVs and ANMs and so are inherently gender sensitive. </w:t>
      </w:r>
      <w:r w:rsidR="009639CC" w:rsidRPr="000F5A61">
        <w:rPr>
          <w:rFonts w:ascii="Arial" w:hAnsi="Arial" w:cs="Arial"/>
          <w:sz w:val="20"/>
          <w:szCs w:val="20"/>
          <w:lang w:val="en-US"/>
        </w:rPr>
        <w:t>Efforts will be made to ensure synergies with other health services where feasible (e.g. the roll-out of community- based services will be integrated into routine service provision by the Child Health Division)</w:t>
      </w:r>
      <w:r w:rsidR="000042B7" w:rsidRPr="000F5A61">
        <w:rPr>
          <w:rFonts w:ascii="Arial" w:hAnsi="Arial" w:cs="Arial"/>
          <w:sz w:val="20"/>
          <w:szCs w:val="20"/>
          <w:lang w:val="en-US"/>
        </w:rPr>
        <w:t xml:space="preserve">.  </w:t>
      </w:r>
    </w:p>
    <w:p w:rsidR="00685308" w:rsidRPr="000F5A61" w:rsidRDefault="00143E88" w:rsidP="00476BE6">
      <w:pPr>
        <w:widowControl w:val="0"/>
        <w:autoSpaceDE w:val="0"/>
        <w:autoSpaceDN w:val="0"/>
        <w:adjustRightInd w:val="0"/>
        <w:spacing w:after="120" w:line="240" w:lineRule="auto"/>
        <w:rPr>
          <w:rFonts w:ascii="Arial" w:hAnsi="Arial" w:cs="Arial"/>
          <w:sz w:val="20"/>
          <w:szCs w:val="20"/>
          <w:lang w:val="en-US"/>
        </w:rPr>
      </w:pPr>
      <w:r w:rsidRPr="000F5A61">
        <w:rPr>
          <w:rFonts w:ascii="Arial" w:hAnsi="Arial" w:cs="Arial"/>
          <w:b/>
          <w:sz w:val="20"/>
          <w:szCs w:val="20"/>
          <w:lang w:val="en-US"/>
        </w:rPr>
        <w:t xml:space="preserve">Role </w:t>
      </w:r>
      <w:r w:rsidR="00240533" w:rsidRPr="000F5A61">
        <w:rPr>
          <w:rFonts w:ascii="Arial" w:hAnsi="Arial" w:cs="Arial"/>
          <w:b/>
          <w:sz w:val="20"/>
          <w:szCs w:val="20"/>
          <w:lang w:val="en-US"/>
        </w:rPr>
        <w:t>of communit</w:t>
      </w:r>
      <w:r w:rsidR="002B3C7E" w:rsidRPr="000F5A61">
        <w:rPr>
          <w:rFonts w:ascii="Arial" w:hAnsi="Arial" w:cs="Arial"/>
          <w:b/>
          <w:sz w:val="20"/>
          <w:szCs w:val="20"/>
          <w:lang w:val="en-US"/>
        </w:rPr>
        <w:t xml:space="preserve">ies </w:t>
      </w:r>
      <w:r w:rsidR="00240533" w:rsidRPr="000F5A61">
        <w:rPr>
          <w:rFonts w:ascii="Arial" w:hAnsi="Arial" w:cs="Arial"/>
          <w:b/>
          <w:sz w:val="20"/>
          <w:szCs w:val="20"/>
          <w:lang w:val="en-US"/>
        </w:rPr>
        <w:t xml:space="preserve">in </w:t>
      </w:r>
      <w:r w:rsidR="002B3C7E" w:rsidRPr="000F5A61">
        <w:rPr>
          <w:rFonts w:ascii="Arial" w:hAnsi="Arial" w:cs="Arial"/>
          <w:b/>
          <w:sz w:val="20"/>
          <w:szCs w:val="20"/>
          <w:lang w:val="en-US"/>
        </w:rPr>
        <w:t xml:space="preserve">Programme </w:t>
      </w:r>
      <w:r w:rsidR="00240533" w:rsidRPr="000F5A61">
        <w:rPr>
          <w:rFonts w:ascii="Arial" w:hAnsi="Arial" w:cs="Arial"/>
          <w:b/>
          <w:sz w:val="20"/>
          <w:szCs w:val="20"/>
          <w:lang w:val="en-US"/>
        </w:rPr>
        <w:t>design</w:t>
      </w:r>
      <w:r w:rsidRPr="000F5A61">
        <w:rPr>
          <w:rFonts w:ascii="Arial" w:hAnsi="Arial" w:cs="Arial"/>
          <w:sz w:val="20"/>
          <w:szCs w:val="20"/>
          <w:lang w:val="en-US"/>
        </w:rPr>
        <w:t>.</w:t>
      </w:r>
      <w:r w:rsidR="007165AA" w:rsidRPr="000F5A61">
        <w:rPr>
          <w:rFonts w:ascii="Arial" w:hAnsi="Arial" w:cs="Arial"/>
          <w:sz w:val="20"/>
          <w:szCs w:val="20"/>
          <w:lang w:val="en-US"/>
        </w:rPr>
        <w:t>Extensive community consultations were conducted by EDCD prior to the development of this funding request</w:t>
      </w:r>
      <w:r w:rsidR="00D44EBC" w:rsidRPr="000F5A61">
        <w:rPr>
          <w:rStyle w:val="FootnoteReference"/>
          <w:rFonts w:ascii="Arial" w:hAnsi="Arial" w:cs="Arial"/>
          <w:sz w:val="20"/>
          <w:szCs w:val="20"/>
          <w:lang w:val="en-US"/>
        </w:rPr>
        <w:footnoteReference w:id="9"/>
      </w:r>
      <w:r w:rsidR="007165AA" w:rsidRPr="000F5A61">
        <w:rPr>
          <w:rFonts w:ascii="Arial" w:hAnsi="Arial" w:cs="Arial"/>
          <w:sz w:val="20"/>
          <w:szCs w:val="20"/>
          <w:lang w:val="en-US"/>
        </w:rPr>
        <w:t xml:space="preserve">. Focus group discussions were conducted in </w:t>
      </w:r>
      <w:r w:rsidR="00B649EF" w:rsidRPr="000F5A61">
        <w:rPr>
          <w:rFonts w:ascii="Arial" w:hAnsi="Arial" w:cs="Arial"/>
          <w:sz w:val="20"/>
          <w:szCs w:val="20"/>
          <w:lang w:val="en-US"/>
        </w:rPr>
        <w:t xml:space="preserve">5 </w:t>
      </w:r>
      <w:r w:rsidR="00066729" w:rsidRPr="000F5A61">
        <w:rPr>
          <w:rFonts w:ascii="Arial" w:hAnsi="Arial" w:cs="Arial"/>
          <w:sz w:val="20"/>
          <w:szCs w:val="20"/>
          <w:lang w:val="en-US"/>
        </w:rPr>
        <w:t>District</w:t>
      </w:r>
      <w:r w:rsidR="007165AA" w:rsidRPr="000F5A61">
        <w:rPr>
          <w:rFonts w:ascii="Arial" w:hAnsi="Arial" w:cs="Arial"/>
          <w:sz w:val="20"/>
          <w:szCs w:val="20"/>
          <w:lang w:val="en-US"/>
        </w:rPr>
        <w:t>s (</w:t>
      </w:r>
      <w:r w:rsidR="00B649EF" w:rsidRPr="000F5A61">
        <w:rPr>
          <w:rFonts w:ascii="Arial" w:hAnsi="Arial" w:cs="Arial"/>
          <w:sz w:val="20"/>
          <w:szCs w:val="20"/>
          <w:lang w:val="en-US"/>
        </w:rPr>
        <w:t xml:space="preserve">Jhapa, Dhanusa, </w:t>
      </w:r>
      <w:r w:rsidR="007165AA" w:rsidRPr="000F5A61">
        <w:rPr>
          <w:rFonts w:ascii="Arial" w:hAnsi="Arial" w:cs="Arial"/>
          <w:sz w:val="20"/>
          <w:szCs w:val="20"/>
          <w:lang w:val="en-US"/>
        </w:rPr>
        <w:t>Bardiya</w:t>
      </w:r>
      <w:r w:rsidR="00B649EF" w:rsidRPr="000F5A61">
        <w:rPr>
          <w:rFonts w:ascii="Arial" w:hAnsi="Arial" w:cs="Arial"/>
          <w:sz w:val="20"/>
          <w:szCs w:val="20"/>
          <w:lang w:val="en-US"/>
        </w:rPr>
        <w:t>, Chitwan and Kanchanpur) and Region</w:t>
      </w:r>
      <w:r w:rsidR="008D1E36" w:rsidRPr="000F5A61">
        <w:rPr>
          <w:rFonts w:ascii="Arial" w:hAnsi="Arial" w:cs="Arial"/>
          <w:sz w:val="20"/>
          <w:szCs w:val="20"/>
          <w:lang w:val="en-US"/>
        </w:rPr>
        <w:t>al consultations were held in 4 Region</w:t>
      </w:r>
      <w:r w:rsidR="00B649EF" w:rsidRPr="000F5A61">
        <w:rPr>
          <w:rFonts w:ascii="Arial" w:hAnsi="Arial" w:cs="Arial"/>
          <w:sz w:val="20"/>
          <w:szCs w:val="20"/>
          <w:lang w:val="en-US"/>
        </w:rPr>
        <w:t xml:space="preserve">s (Banke, Chitwan, Kailali and Morang) </w:t>
      </w:r>
      <w:r w:rsidR="007165AA" w:rsidRPr="000F5A61">
        <w:rPr>
          <w:rFonts w:ascii="Arial" w:hAnsi="Arial" w:cs="Arial"/>
          <w:sz w:val="20"/>
          <w:szCs w:val="20"/>
          <w:lang w:val="en-US"/>
        </w:rPr>
        <w:t xml:space="preserve">and </w:t>
      </w:r>
      <w:r w:rsidR="008D1E36" w:rsidRPr="000F5A61">
        <w:rPr>
          <w:rFonts w:ascii="Arial" w:hAnsi="Arial" w:cs="Arial"/>
          <w:sz w:val="20"/>
          <w:szCs w:val="20"/>
          <w:lang w:val="en-US"/>
        </w:rPr>
        <w:t xml:space="preserve">a National consultation was conducted </w:t>
      </w:r>
      <w:r w:rsidR="007165AA" w:rsidRPr="000F5A61">
        <w:rPr>
          <w:rFonts w:ascii="Arial" w:hAnsi="Arial" w:cs="Arial"/>
          <w:sz w:val="20"/>
          <w:szCs w:val="20"/>
          <w:lang w:val="en-US"/>
        </w:rPr>
        <w:t xml:space="preserve">at </w:t>
      </w:r>
      <w:r w:rsidR="00066729" w:rsidRPr="000F5A61">
        <w:rPr>
          <w:rFonts w:ascii="Arial" w:hAnsi="Arial" w:cs="Arial"/>
          <w:sz w:val="20"/>
          <w:szCs w:val="20"/>
          <w:lang w:val="en-US"/>
        </w:rPr>
        <w:t>Central</w:t>
      </w:r>
      <w:r w:rsidR="007165AA" w:rsidRPr="000F5A61">
        <w:rPr>
          <w:rFonts w:ascii="Arial" w:hAnsi="Arial" w:cs="Arial"/>
          <w:sz w:val="20"/>
          <w:szCs w:val="20"/>
          <w:lang w:val="en-US"/>
        </w:rPr>
        <w:t xml:space="preserve"> level. </w:t>
      </w:r>
    </w:p>
    <w:p w:rsidR="0025564B" w:rsidRPr="000F5A61" w:rsidRDefault="00143E88" w:rsidP="00476BE6">
      <w:pPr>
        <w:widowControl w:val="0"/>
        <w:autoSpaceDE w:val="0"/>
        <w:autoSpaceDN w:val="0"/>
        <w:adjustRightInd w:val="0"/>
        <w:spacing w:after="120" w:line="240" w:lineRule="auto"/>
        <w:rPr>
          <w:rFonts w:ascii="Arial" w:hAnsi="Arial" w:cs="Arial"/>
          <w:sz w:val="20"/>
          <w:szCs w:val="20"/>
          <w:lang w:val="en-US"/>
        </w:rPr>
      </w:pPr>
      <w:r w:rsidRPr="000F5A61">
        <w:rPr>
          <w:rFonts w:ascii="Arial" w:hAnsi="Arial" w:cs="Arial"/>
          <w:b/>
          <w:sz w:val="20"/>
          <w:szCs w:val="20"/>
          <w:lang w:val="en-US"/>
        </w:rPr>
        <w:t>K</w:t>
      </w:r>
      <w:r w:rsidR="00240533" w:rsidRPr="000F5A61">
        <w:rPr>
          <w:rFonts w:ascii="Arial" w:hAnsi="Arial" w:cs="Arial"/>
          <w:b/>
          <w:sz w:val="20"/>
          <w:szCs w:val="20"/>
          <w:lang w:val="en-US"/>
        </w:rPr>
        <w:t>ey information gaps</w:t>
      </w:r>
      <w:r w:rsidRPr="000F5A61">
        <w:rPr>
          <w:rFonts w:ascii="Arial" w:hAnsi="Arial" w:cs="Arial"/>
          <w:b/>
          <w:sz w:val="20"/>
          <w:szCs w:val="20"/>
          <w:lang w:val="en-US"/>
        </w:rPr>
        <w:t>.</w:t>
      </w:r>
      <w:r w:rsidR="00685308" w:rsidRPr="000F5A61">
        <w:rPr>
          <w:rFonts w:ascii="Arial" w:hAnsi="Arial" w:cs="Arial"/>
          <w:sz w:val="20"/>
          <w:szCs w:val="20"/>
          <w:lang w:val="en-US"/>
        </w:rPr>
        <w:t xml:space="preserve">Malaria in migrants has only been studied in 3 far western </w:t>
      </w:r>
      <w:r w:rsidR="00066729" w:rsidRPr="000F5A61">
        <w:rPr>
          <w:rFonts w:ascii="Arial" w:hAnsi="Arial" w:cs="Arial"/>
          <w:sz w:val="20"/>
          <w:szCs w:val="20"/>
          <w:lang w:val="en-US"/>
        </w:rPr>
        <w:t>District</w:t>
      </w:r>
      <w:r w:rsidR="00685308" w:rsidRPr="000F5A61">
        <w:rPr>
          <w:rFonts w:ascii="Arial" w:hAnsi="Arial" w:cs="Arial"/>
          <w:sz w:val="20"/>
          <w:szCs w:val="20"/>
          <w:lang w:val="en-US"/>
        </w:rPr>
        <w:t xml:space="preserve">s. Migrant mapping for malaria will be </w:t>
      </w:r>
      <w:r w:rsidRPr="000F5A61">
        <w:rPr>
          <w:rFonts w:ascii="Arial" w:hAnsi="Arial" w:cs="Arial"/>
          <w:sz w:val="20"/>
          <w:szCs w:val="20"/>
          <w:lang w:val="en-US"/>
        </w:rPr>
        <w:t>rolled-</w:t>
      </w:r>
      <w:r w:rsidR="00685308" w:rsidRPr="000F5A61">
        <w:rPr>
          <w:rFonts w:ascii="Arial" w:hAnsi="Arial" w:cs="Arial"/>
          <w:sz w:val="20"/>
          <w:szCs w:val="20"/>
          <w:lang w:val="en-US"/>
        </w:rPr>
        <w:t xml:space="preserve">out to other endemic/receptive </w:t>
      </w:r>
      <w:r w:rsidR="00066729" w:rsidRPr="000F5A61">
        <w:rPr>
          <w:rFonts w:ascii="Arial" w:hAnsi="Arial" w:cs="Arial"/>
          <w:sz w:val="20"/>
          <w:szCs w:val="20"/>
          <w:lang w:val="en-US"/>
        </w:rPr>
        <w:t>District</w:t>
      </w:r>
      <w:r w:rsidR="00685308" w:rsidRPr="000F5A61">
        <w:rPr>
          <w:rFonts w:ascii="Arial" w:hAnsi="Arial" w:cs="Arial"/>
          <w:sz w:val="20"/>
          <w:szCs w:val="20"/>
          <w:lang w:val="en-US"/>
        </w:rPr>
        <w:t>s as soon as possible.</w:t>
      </w:r>
    </w:p>
    <w:p w:rsidR="00685308" w:rsidRPr="000F5A61" w:rsidRDefault="00AF314C" w:rsidP="00476BE6">
      <w:pPr>
        <w:widowControl w:val="0"/>
        <w:autoSpaceDE w:val="0"/>
        <w:autoSpaceDN w:val="0"/>
        <w:adjustRightInd w:val="0"/>
        <w:spacing w:after="120" w:line="240" w:lineRule="auto"/>
        <w:rPr>
          <w:rFonts w:ascii="Arial" w:hAnsi="Arial" w:cs="Arial"/>
          <w:sz w:val="20"/>
          <w:szCs w:val="20"/>
          <w:lang w:val="en-US"/>
        </w:rPr>
      </w:pPr>
      <w:r w:rsidRPr="000F5A61">
        <w:rPr>
          <w:rFonts w:ascii="Arial" w:hAnsi="Arial" w:cs="Arial"/>
          <w:sz w:val="20"/>
          <w:szCs w:val="20"/>
          <w:lang w:val="en-US"/>
        </w:rPr>
        <w:t>The role</w:t>
      </w:r>
      <w:r w:rsidR="002B3C7E" w:rsidRPr="000F5A61">
        <w:rPr>
          <w:rFonts w:ascii="Arial" w:hAnsi="Arial" w:cs="Arial"/>
          <w:sz w:val="20"/>
          <w:szCs w:val="20"/>
          <w:lang w:val="en-US"/>
        </w:rPr>
        <w:t xml:space="preserve"> of the PS is poorly understood. </w:t>
      </w:r>
      <w:r w:rsidRPr="000F5A61">
        <w:rPr>
          <w:rFonts w:ascii="Arial" w:hAnsi="Arial" w:cs="Arial"/>
          <w:sz w:val="20"/>
          <w:szCs w:val="20"/>
          <w:lang w:val="en-US"/>
        </w:rPr>
        <w:t>PS mapping will be conducted in 2017</w:t>
      </w:r>
      <w:r w:rsidR="008D1E36" w:rsidRPr="000F5A61">
        <w:rPr>
          <w:rFonts w:ascii="Arial" w:hAnsi="Arial" w:cs="Arial"/>
          <w:sz w:val="20"/>
          <w:szCs w:val="20"/>
          <w:lang w:val="en-US"/>
        </w:rPr>
        <w:t>/2018</w:t>
      </w:r>
      <w:r w:rsidRPr="000F5A61">
        <w:rPr>
          <w:rFonts w:ascii="Arial" w:hAnsi="Arial" w:cs="Arial"/>
          <w:sz w:val="20"/>
          <w:szCs w:val="20"/>
          <w:lang w:val="en-US"/>
        </w:rPr>
        <w:t>.</w:t>
      </w:r>
    </w:p>
    <w:p w:rsidR="00685308" w:rsidRPr="000F5A61" w:rsidRDefault="00CA75D2" w:rsidP="00476BE6">
      <w:pPr>
        <w:widowControl w:val="0"/>
        <w:autoSpaceDE w:val="0"/>
        <w:autoSpaceDN w:val="0"/>
        <w:adjustRightInd w:val="0"/>
        <w:spacing w:after="120" w:line="240" w:lineRule="auto"/>
        <w:rPr>
          <w:rFonts w:ascii="Arial" w:hAnsi="Arial" w:cs="Arial"/>
          <w:sz w:val="20"/>
          <w:szCs w:val="20"/>
          <w:lang w:val="en-US"/>
        </w:rPr>
      </w:pPr>
      <w:r w:rsidRPr="000F5A61">
        <w:rPr>
          <w:rFonts w:ascii="Arial" w:hAnsi="Arial" w:cs="Arial"/>
          <w:b/>
          <w:sz w:val="20"/>
          <w:szCs w:val="20"/>
          <w:lang w:val="en-US"/>
        </w:rPr>
        <w:t xml:space="preserve">Normative guidance. </w:t>
      </w:r>
      <w:r w:rsidR="00DC1DBB" w:rsidRPr="000F5A61">
        <w:rPr>
          <w:rFonts w:ascii="Arial" w:hAnsi="Arial" w:cs="Arial"/>
          <w:sz w:val="20"/>
          <w:szCs w:val="20"/>
          <w:lang w:val="en-US"/>
        </w:rPr>
        <w:t xml:space="preserve">The ‘Operational Framework’ </w:t>
      </w:r>
      <w:r w:rsidR="00AF314C" w:rsidRPr="000F5A61">
        <w:rPr>
          <w:rFonts w:ascii="Arial" w:hAnsi="Arial" w:cs="Arial"/>
          <w:sz w:val="20"/>
          <w:szCs w:val="20"/>
          <w:lang w:val="en-US"/>
        </w:rPr>
        <w:t>on which thi</w:t>
      </w:r>
      <w:r w:rsidR="0025564B" w:rsidRPr="000F5A61">
        <w:rPr>
          <w:rFonts w:ascii="Arial" w:hAnsi="Arial" w:cs="Arial"/>
          <w:sz w:val="20"/>
          <w:szCs w:val="20"/>
          <w:lang w:val="en-US"/>
        </w:rPr>
        <w:t>s</w:t>
      </w:r>
      <w:r w:rsidR="00AF314C" w:rsidRPr="000F5A61">
        <w:rPr>
          <w:rFonts w:ascii="Arial" w:hAnsi="Arial" w:cs="Arial"/>
          <w:sz w:val="20"/>
          <w:szCs w:val="20"/>
          <w:lang w:val="en-US"/>
        </w:rPr>
        <w:t xml:space="preserve"> application is based </w:t>
      </w:r>
      <w:r w:rsidR="00DC1DBB" w:rsidRPr="000F5A61">
        <w:rPr>
          <w:rFonts w:ascii="Arial" w:hAnsi="Arial" w:cs="Arial"/>
          <w:sz w:val="20"/>
          <w:szCs w:val="20"/>
          <w:lang w:val="en-US"/>
        </w:rPr>
        <w:t xml:space="preserve">is </w:t>
      </w:r>
      <w:r w:rsidR="00685308" w:rsidRPr="000F5A61">
        <w:rPr>
          <w:rFonts w:ascii="Arial" w:hAnsi="Arial" w:cs="Arial"/>
          <w:sz w:val="20"/>
          <w:szCs w:val="20"/>
          <w:lang w:val="en-US"/>
        </w:rPr>
        <w:t>in-line with the latest</w:t>
      </w:r>
      <w:r w:rsidR="00DC1DBB" w:rsidRPr="000F5A61">
        <w:rPr>
          <w:rFonts w:ascii="Arial" w:hAnsi="Arial" w:cs="Arial"/>
          <w:sz w:val="20"/>
          <w:szCs w:val="20"/>
          <w:lang w:val="en-US"/>
        </w:rPr>
        <w:t xml:space="preserve"> normative guidance on malaria elimination.</w:t>
      </w:r>
      <w:r w:rsidR="00AF314C" w:rsidRPr="000F5A61">
        <w:rPr>
          <w:rFonts w:ascii="Arial" w:hAnsi="Arial" w:cs="Arial"/>
          <w:sz w:val="20"/>
          <w:szCs w:val="20"/>
          <w:lang w:val="en-US"/>
        </w:rPr>
        <w:t xml:space="preserve">EDCD/SCI/WHO are currently preparing related </w:t>
      </w:r>
      <w:r w:rsidR="00DC1DBB" w:rsidRPr="000F5A61">
        <w:rPr>
          <w:rFonts w:ascii="Arial" w:hAnsi="Arial" w:cs="Arial"/>
          <w:sz w:val="20"/>
          <w:szCs w:val="20"/>
          <w:lang w:val="en-US"/>
        </w:rPr>
        <w:t>policy documents and SOP</w:t>
      </w:r>
      <w:r w:rsidR="00B40C16" w:rsidRPr="000F5A61">
        <w:rPr>
          <w:rFonts w:ascii="Arial" w:hAnsi="Arial" w:cs="Arial"/>
          <w:sz w:val="20"/>
          <w:szCs w:val="20"/>
          <w:lang w:val="en-US"/>
        </w:rPr>
        <w:t>s</w:t>
      </w:r>
      <w:r w:rsidR="00DC1DBB" w:rsidRPr="000F5A61">
        <w:rPr>
          <w:rFonts w:ascii="Arial" w:hAnsi="Arial" w:cs="Arial"/>
          <w:sz w:val="20"/>
          <w:szCs w:val="20"/>
          <w:lang w:val="en-US"/>
        </w:rPr>
        <w:t>.</w:t>
      </w:r>
    </w:p>
    <w:p w:rsidR="00FE411C" w:rsidRPr="000F5A61" w:rsidRDefault="00FE411C" w:rsidP="00476BE6">
      <w:pPr>
        <w:spacing w:after="120" w:line="240" w:lineRule="auto"/>
        <w:rPr>
          <w:rFonts w:ascii="Arial" w:hAnsi="Arial" w:cs="Arial"/>
          <w:sz w:val="20"/>
          <w:szCs w:val="20"/>
          <w:lang w:val="en-US"/>
        </w:rPr>
      </w:pPr>
      <w:r w:rsidRPr="000F5A61">
        <w:rPr>
          <w:rFonts w:ascii="Arial" w:hAnsi="Arial" w:cs="Arial"/>
          <w:sz w:val="20"/>
          <w:szCs w:val="20"/>
          <w:lang w:val="en-US"/>
        </w:rPr>
        <w:br w:type="page"/>
      </w:r>
    </w:p>
    <w:tbl>
      <w:tblPr>
        <w:tblW w:w="906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A0"/>
      </w:tblPr>
      <w:tblGrid>
        <w:gridCol w:w="9067"/>
      </w:tblGrid>
      <w:tr w:rsidR="00042DCA" w:rsidRPr="000F5A61" w:rsidTr="00D80E39">
        <w:trPr>
          <w:trHeight w:val="557"/>
        </w:trPr>
        <w:tc>
          <w:tcPr>
            <w:tcW w:w="9067" w:type="dxa"/>
            <w:shd w:val="clear" w:color="auto" w:fill="C6D9F1"/>
            <w:vAlign w:val="center"/>
          </w:tcPr>
          <w:p w:rsidR="00042DCA" w:rsidRPr="000F5A61" w:rsidRDefault="00042DCA" w:rsidP="00AB3764">
            <w:pPr>
              <w:spacing w:after="0" w:line="240" w:lineRule="auto"/>
              <w:rPr>
                <w:rFonts w:ascii="Arial" w:eastAsia="Calibri" w:hAnsi="Arial" w:cs="Arial"/>
                <w:sz w:val="20"/>
                <w:szCs w:val="20"/>
                <w:lang w:val="en-US"/>
              </w:rPr>
            </w:pPr>
            <w:r w:rsidRPr="000F5A61">
              <w:rPr>
                <w:rFonts w:ascii="Arial" w:eastAsia="Calibri" w:hAnsi="Arial" w:cs="Arial"/>
                <w:b/>
                <w:bCs/>
                <w:sz w:val="20"/>
                <w:szCs w:val="20"/>
                <w:lang w:val="en-US"/>
              </w:rPr>
              <w:lastRenderedPageBreak/>
              <w:t xml:space="preserve">1.3  </w:t>
            </w:r>
            <w:r w:rsidRPr="000F5A61">
              <w:rPr>
                <w:rFonts w:ascii="Arial" w:eastAsia="Calibri" w:hAnsi="Arial" w:cs="Arial"/>
                <w:b/>
                <w:sz w:val="20"/>
                <w:szCs w:val="20"/>
                <w:lang w:val="en-US"/>
              </w:rPr>
              <w:t xml:space="preserve">Past implementation and lessons-learned from Global Fund and other donor investments </w:t>
            </w:r>
          </w:p>
        </w:tc>
      </w:tr>
      <w:tr w:rsidR="00042DCA" w:rsidRPr="000F5A61" w:rsidTr="00FE411C">
        <w:trPr>
          <w:trHeight w:val="3156"/>
        </w:trPr>
        <w:tc>
          <w:tcPr>
            <w:tcW w:w="9067" w:type="dxa"/>
            <w:shd w:val="clear" w:color="auto" w:fill="F2F2F2" w:themeFill="background1" w:themeFillShade="F2"/>
            <w:vAlign w:val="center"/>
          </w:tcPr>
          <w:p w:rsidR="00F57EBD" w:rsidRPr="000F5A61" w:rsidRDefault="00F57EBD" w:rsidP="00142F1D">
            <w:pPr>
              <w:pStyle w:val="ListParagraph"/>
              <w:numPr>
                <w:ilvl w:val="0"/>
                <w:numId w:val="15"/>
              </w:numPr>
              <w:spacing w:after="200" w:line="276" w:lineRule="auto"/>
              <w:jc w:val="both"/>
              <w:rPr>
                <w:rFonts w:ascii="Arial" w:eastAsia="Calibri" w:hAnsi="Arial" w:cs="Arial"/>
                <w:sz w:val="20"/>
                <w:szCs w:val="20"/>
                <w:lang w:val="en-US"/>
              </w:rPr>
            </w:pPr>
            <w:r w:rsidRPr="000F5A61">
              <w:rPr>
                <w:rFonts w:ascii="Arial" w:eastAsia="Calibri" w:hAnsi="Arial" w:cs="Arial"/>
                <w:sz w:val="20"/>
                <w:szCs w:val="20"/>
                <w:lang w:val="en-US"/>
              </w:rPr>
              <w:t>List recent disease-specific Global Fund grants from the 2014-16allocation period and summarize key lessons learned from their implementation.</w:t>
            </w:r>
          </w:p>
          <w:p w:rsidR="00F57EBD" w:rsidRPr="000F5A61" w:rsidRDefault="00F57EBD" w:rsidP="00142F1D">
            <w:pPr>
              <w:pStyle w:val="ListParagraph"/>
              <w:numPr>
                <w:ilvl w:val="0"/>
                <w:numId w:val="15"/>
              </w:numPr>
              <w:spacing w:after="200" w:line="276" w:lineRule="auto"/>
              <w:jc w:val="both"/>
              <w:rPr>
                <w:rFonts w:ascii="Arial" w:eastAsia="Calibri" w:hAnsi="Arial" w:cs="Arial"/>
                <w:sz w:val="20"/>
                <w:szCs w:val="20"/>
                <w:lang w:val="en-US"/>
              </w:rPr>
            </w:pPr>
            <w:r w:rsidRPr="000F5A61">
              <w:rPr>
                <w:rFonts w:ascii="Arial" w:eastAsia="Calibri" w:hAnsi="Arial" w:cs="Arial"/>
                <w:sz w:val="20"/>
                <w:szCs w:val="20"/>
                <w:lang w:val="en-US"/>
              </w:rPr>
              <w:t>Include lessons-learned from specific HSS grants or any HSS investments embedded in the disease-specific grant(s) from the 2014-</w:t>
            </w:r>
            <w:r w:rsidR="00581C6F" w:rsidRPr="000F5A61">
              <w:rPr>
                <w:rFonts w:ascii="Arial" w:eastAsia="Calibri" w:hAnsi="Arial" w:cs="Arial"/>
                <w:sz w:val="20"/>
                <w:szCs w:val="20"/>
                <w:lang w:val="en-US"/>
              </w:rPr>
              <w:t>1</w:t>
            </w:r>
            <w:r w:rsidRPr="000F5A61">
              <w:rPr>
                <w:rFonts w:ascii="Arial" w:eastAsia="Calibri" w:hAnsi="Arial" w:cs="Arial"/>
                <w:sz w:val="20"/>
                <w:szCs w:val="20"/>
                <w:lang w:val="en-US"/>
              </w:rPr>
              <w:t>6 allocation period as applicable.</w:t>
            </w:r>
          </w:p>
          <w:p w:rsidR="00F57EBD" w:rsidRPr="000F5A61" w:rsidRDefault="00F57EBD" w:rsidP="00142F1D">
            <w:pPr>
              <w:pStyle w:val="ListParagraph"/>
              <w:numPr>
                <w:ilvl w:val="0"/>
                <w:numId w:val="15"/>
              </w:numPr>
              <w:spacing w:after="200" w:line="276" w:lineRule="auto"/>
              <w:jc w:val="both"/>
              <w:rPr>
                <w:rFonts w:ascii="Arial" w:eastAsia="Calibri" w:hAnsi="Arial" w:cs="Arial"/>
                <w:sz w:val="20"/>
                <w:szCs w:val="20"/>
                <w:lang w:val="en-US"/>
              </w:rPr>
            </w:pPr>
            <w:r w:rsidRPr="000F5A61">
              <w:rPr>
                <w:rFonts w:ascii="Arial" w:eastAsia="Calibri" w:hAnsi="Arial" w:cs="Arial"/>
                <w:sz w:val="20"/>
                <w:szCs w:val="20"/>
                <w:lang w:val="en-US"/>
              </w:rPr>
              <w:t xml:space="preserve">Outline lessons learned from investments by other donors as applicable. </w:t>
            </w:r>
          </w:p>
          <w:p w:rsidR="00F57EBD" w:rsidRPr="000F5A61" w:rsidRDefault="00F57EBD" w:rsidP="00142F1D">
            <w:pPr>
              <w:spacing w:after="200" w:line="276" w:lineRule="auto"/>
              <w:jc w:val="both"/>
              <w:rPr>
                <w:rFonts w:ascii="Arial" w:eastAsia="Calibri" w:hAnsi="Arial" w:cs="Arial"/>
                <w:sz w:val="20"/>
                <w:szCs w:val="20"/>
                <w:lang w:val="en-US"/>
              </w:rPr>
            </w:pPr>
            <w:r w:rsidRPr="000F5A61">
              <w:rPr>
                <w:rFonts w:ascii="Arial" w:eastAsia="Calibri" w:hAnsi="Arial" w:cs="Arial"/>
                <w:sz w:val="20"/>
                <w:szCs w:val="20"/>
                <w:lang w:val="en-US"/>
              </w:rPr>
              <w:t xml:space="preserve">For each of the above, explain how these lessons learned are taken into account in this funding request. </w:t>
            </w:r>
          </w:p>
          <w:p w:rsidR="00042DCA" w:rsidRPr="000F5A61" w:rsidRDefault="001631BD" w:rsidP="00142F1D">
            <w:pPr>
              <w:spacing w:after="0"/>
              <w:rPr>
                <w:rFonts w:ascii="Arial" w:eastAsia="Calibri" w:hAnsi="Arial" w:cs="Arial"/>
                <w:sz w:val="20"/>
                <w:szCs w:val="20"/>
                <w:lang w:val="en-US"/>
              </w:rPr>
            </w:pPr>
            <w:r w:rsidRPr="000F5A61">
              <w:rPr>
                <w:rFonts w:ascii="Arial" w:eastAsia="Calibri" w:hAnsi="Arial" w:cs="Arial"/>
                <w:b/>
                <w:sz w:val="20"/>
                <w:szCs w:val="20"/>
                <w:lang w:val="en-US"/>
              </w:rPr>
              <w:t>(maximum</w:t>
            </w:r>
            <w:r w:rsidR="00042DCA" w:rsidRPr="000F5A61">
              <w:rPr>
                <w:rFonts w:ascii="Arial" w:eastAsia="Calibri" w:hAnsi="Arial" w:cs="Arial"/>
                <w:b/>
                <w:sz w:val="20"/>
                <w:szCs w:val="20"/>
                <w:lang w:val="en-US"/>
              </w:rPr>
              <w:t xml:space="preserve"> 1 page per component)</w:t>
            </w:r>
          </w:p>
        </w:tc>
      </w:tr>
    </w:tbl>
    <w:p w:rsidR="00902BB1" w:rsidRPr="000F5A61" w:rsidRDefault="00902BB1" w:rsidP="00961897">
      <w:pPr>
        <w:spacing w:after="0"/>
        <w:rPr>
          <w:rFonts w:ascii="Arial" w:hAnsi="Arial" w:cs="Arial"/>
          <w:sz w:val="20"/>
          <w:szCs w:val="20"/>
        </w:rPr>
      </w:pPr>
    </w:p>
    <w:p w:rsidR="00902BB1" w:rsidRPr="000F5A61" w:rsidRDefault="00902BB1" w:rsidP="00902BB1">
      <w:pPr>
        <w:rPr>
          <w:rFonts w:ascii="Arial" w:hAnsi="Arial" w:cs="Arial"/>
          <w:b/>
          <w:i/>
          <w:sz w:val="20"/>
          <w:szCs w:val="20"/>
          <w:lang w:val="en-US"/>
        </w:rPr>
      </w:pPr>
      <w:r w:rsidRPr="000F5A61">
        <w:rPr>
          <w:rFonts w:ascii="Arial" w:hAnsi="Arial" w:cs="Arial"/>
          <w:b/>
          <w:i/>
          <w:sz w:val="20"/>
          <w:szCs w:val="20"/>
          <w:lang w:val="en-US"/>
        </w:rPr>
        <w:t>a). List recent disease-specific Global Fund grants from the 2014-16 allocation period and summarize key lessons learned from their implementation.</w:t>
      </w:r>
    </w:p>
    <w:p w:rsidR="00E0476B" w:rsidRPr="000F5A61" w:rsidRDefault="00E0476B" w:rsidP="00961897">
      <w:pPr>
        <w:spacing w:after="0"/>
        <w:rPr>
          <w:rFonts w:ascii="Arial" w:hAnsi="Arial" w:cs="Arial"/>
          <w:sz w:val="20"/>
          <w:szCs w:val="20"/>
        </w:rPr>
      </w:pPr>
    </w:p>
    <w:p w:rsidR="00E67717" w:rsidRPr="000F5A61" w:rsidRDefault="00E67717" w:rsidP="00961897">
      <w:pPr>
        <w:spacing w:after="0"/>
        <w:rPr>
          <w:rFonts w:ascii="Arial" w:hAnsi="Arial" w:cs="Arial"/>
          <w:b/>
          <w:sz w:val="20"/>
          <w:szCs w:val="20"/>
        </w:rPr>
      </w:pPr>
      <w:r w:rsidRPr="000F5A61">
        <w:rPr>
          <w:rFonts w:ascii="Arial" w:hAnsi="Arial" w:cs="Arial"/>
          <w:b/>
          <w:sz w:val="20"/>
          <w:szCs w:val="20"/>
        </w:rPr>
        <w:t>Table 1.3</w:t>
      </w:r>
      <w:r w:rsidR="00E0476B" w:rsidRPr="000F5A61">
        <w:rPr>
          <w:rFonts w:ascii="Arial" w:hAnsi="Arial" w:cs="Arial"/>
          <w:b/>
          <w:sz w:val="20"/>
          <w:szCs w:val="20"/>
        </w:rPr>
        <w:t xml:space="preserve">. </w:t>
      </w:r>
      <w:r w:rsidR="009251EC" w:rsidRPr="000F5A61">
        <w:rPr>
          <w:rFonts w:ascii="Arial" w:hAnsi="Arial" w:cs="Arial"/>
          <w:b/>
          <w:sz w:val="20"/>
          <w:szCs w:val="20"/>
          <w:lang w:val="en-US"/>
        </w:rPr>
        <w:t>GFATM</w:t>
      </w:r>
      <w:r w:rsidR="00E0476B" w:rsidRPr="000F5A61">
        <w:rPr>
          <w:rFonts w:ascii="Arial" w:hAnsi="Arial" w:cs="Arial"/>
          <w:b/>
          <w:sz w:val="20"/>
          <w:szCs w:val="20"/>
          <w:lang w:val="en-US"/>
        </w:rPr>
        <w:t xml:space="preserve"> grants for malaria in Nepal during the 2014-16 allocation period.</w:t>
      </w:r>
    </w:p>
    <w:tbl>
      <w:tblPr>
        <w:tblStyle w:val="TableGrid"/>
        <w:tblW w:w="9455" w:type="dxa"/>
        <w:jc w:val="center"/>
        <w:tblLook w:val="04A0"/>
      </w:tblPr>
      <w:tblGrid>
        <w:gridCol w:w="469"/>
        <w:gridCol w:w="1148"/>
        <w:gridCol w:w="1418"/>
        <w:gridCol w:w="1497"/>
        <w:gridCol w:w="1820"/>
        <w:gridCol w:w="3103"/>
      </w:tblGrid>
      <w:tr w:rsidR="00E67717" w:rsidRPr="000F5A61" w:rsidTr="00E67717">
        <w:trPr>
          <w:jc w:val="center"/>
        </w:trPr>
        <w:tc>
          <w:tcPr>
            <w:tcW w:w="447" w:type="dxa"/>
          </w:tcPr>
          <w:p w:rsidR="00E67717" w:rsidRPr="000F5A61" w:rsidRDefault="00E67717" w:rsidP="00B73435">
            <w:pPr>
              <w:spacing w:after="160" w:line="259" w:lineRule="auto"/>
              <w:jc w:val="center"/>
              <w:rPr>
                <w:rFonts w:ascii="Arial" w:hAnsi="Arial"/>
              </w:rPr>
            </w:pPr>
            <w:r w:rsidRPr="000F5A61">
              <w:rPr>
                <w:rFonts w:ascii="Arial" w:hAnsi="Arial"/>
              </w:rPr>
              <w:t>N</w:t>
            </w:r>
            <w:r w:rsidRPr="000F5A61">
              <w:rPr>
                <w:rFonts w:ascii="Arial" w:hAnsi="Arial"/>
                <w:vertAlign w:val="superscript"/>
              </w:rPr>
              <w:t>o.</w:t>
            </w:r>
          </w:p>
        </w:tc>
        <w:tc>
          <w:tcPr>
            <w:tcW w:w="1148" w:type="dxa"/>
          </w:tcPr>
          <w:p w:rsidR="00E67717" w:rsidRPr="000F5A61" w:rsidRDefault="00E67717" w:rsidP="00E67717">
            <w:pPr>
              <w:spacing w:after="160" w:line="259" w:lineRule="auto"/>
              <w:jc w:val="center"/>
              <w:rPr>
                <w:rFonts w:ascii="Arial" w:hAnsi="Arial"/>
              </w:rPr>
            </w:pPr>
            <w:r w:rsidRPr="000F5A61">
              <w:rPr>
                <w:rFonts w:ascii="Arial" w:hAnsi="Arial"/>
              </w:rPr>
              <w:t>Grant type</w:t>
            </w:r>
          </w:p>
        </w:tc>
        <w:tc>
          <w:tcPr>
            <w:tcW w:w="1421" w:type="dxa"/>
          </w:tcPr>
          <w:p w:rsidR="00E67717" w:rsidRPr="000F5A61" w:rsidRDefault="00E67717" w:rsidP="00B73435">
            <w:pPr>
              <w:spacing w:after="160" w:line="259" w:lineRule="auto"/>
              <w:jc w:val="center"/>
              <w:rPr>
                <w:rFonts w:ascii="Arial" w:hAnsi="Arial"/>
              </w:rPr>
            </w:pPr>
            <w:r w:rsidRPr="000F5A61">
              <w:rPr>
                <w:rFonts w:ascii="Arial" w:hAnsi="Arial"/>
              </w:rPr>
              <w:t xml:space="preserve">Grant amount </w:t>
            </w:r>
            <w:r w:rsidRPr="000F5A61">
              <w:rPr>
                <w:rFonts w:ascii="Arial" w:hAnsi="Arial"/>
                <w:i/>
              </w:rPr>
              <w:t>US$M</w:t>
            </w:r>
          </w:p>
        </w:tc>
        <w:tc>
          <w:tcPr>
            <w:tcW w:w="1501" w:type="dxa"/>
          </w:tcPr>
          <w:p w:rsidR="00E67717" w:rsidRPr="000F5A61" w:rsidRDefault="00E67717" w:rsidP="00B73435">
            <w:pPr>
              <w:spacing w:after="160" w:line="259" w:lineRule="auto"/>
              <w:jc w:val="center"/>
              <w:rPr>
                <w:rFonts w:ascii="Arial" w:hAnsi="Arial"/>
              </w:rPr>
            </w:pPr>
            <w:r w:rsidRPr="000F5A61">
              <w:rPr>
                <w:rFonts w:ascii="Arial" w:hAnsi="Arial"/>
              </w:rPr>
              <w:t>Period</w:t>
            </w:r>
          </w:p>
        </w:tc>
        <w:tc>
          <w:tcPr>
            <w:tcW w:w="1825" w:type="dxa"/>
          </w:tcPr>
          <w:p w:rsidR="00E67717" w:rsidRPr="000F5A61" w:rsidRDefault="00E67717" w:rsidP="00C819F1">
            <w:pPr>
              <w:spacing w:after="160" w:line="259" w:lineRule="auto"/>
              <w:jc w:val="center"/>
              <w:rPr>
                <w:rFonts w:ascii="Arial" w:hAnsi="Arial"/>
              </w:rPr>
            </w:pPr>
            <w:r w:rsidRPr="000F5A61">
              <w:rPr>
                <w:rFonts w:ascii="Arial" w:hAnsi="Arial"/>
              </w:rPr>
              <w:t>Grant code</w:t>
            </w:r>
          </w:p>
        </w:tc>
        <w:tc>
          <w:tcPr>
            <w:tcW w:w="3113" w:type="dxa"/>
          </w:tcPr>
          <w:p w:rsidR="00E67717" w:rsidRPr="000F5A61" w:rsidRDefault="00E67717" w:rsidP="00B73435">
            <w:pPr>
              <w:spacing w:after="160" w:line="259" w:lineRule="auto"/>
              <w:jc w:val="center"/>
              <w:rPr>
                <w:rFonts w:ascii="Arial" w:hAnsi="Arial"/>
              </w:rPr>
            </w:pPr>
            <w:r w:rsidRPr="000F5A61">
              <w:rPr>
                <w:rFonts w:ascii="Arial" w:hAnsi="Arial"/>
              </w:rPr>
              <w:t>Principal recipient</w:t>
            </w:r>
          </w:p>
        </w:tc>
      </w:tr>
      <w:tr w:rsidR="00E67717" w:rsidRPr="000F5A61" w:rsidTr="00E67717">
        <w:trPr>
          <w:jc w:val="center"/>
        </w:trPr>
        <w:tc>
          <w:tcPr>
            <w:tcW w:w="447" w:type="dxa"/>
          </w:tcPr>
          <w:p w:rsidR="00E67717" w:rsidRPr="000F5A61" w:rsidRDefault="00E67717" w:rsidP="00E67717">
            <w:pPr>
              <w:spacing w:after="160" w:line="259" w:lineRule="auto"/>
              <w:contextualSpacing/>
              <w:jc w:val="center"/>
              <w:rPr>
                <w:rFonts w:ascii="Arial" w:hAnsi="Arial"/>
              </w:rPr>
            </w:pPr>
            <w:r w:rsidRPr="000F5A61">
              <w:rPr>
                <w:rFonts w:ascii="Arial" w:hAnsi="Arial"/>
              </w:rPr>
              <w:t>1</w:t>
            </w:r>
          </w:p>
        </w:tc>
        <w:tc>
          <w:tcPr>
            <w:tcW w:w="1148" w:type="dxa"/>
          </w:tcPr>
          <w:p w:rsidR="00E67717" w:rsidRPr="000F5A61" w:rsidRDefault="00E67717" w:rsidP="00E67717">
            <w:pPr>
              <w:spacing w:after="160" w:line="259" w:lineRule="auto"/>
              <w:contextualSpacing/>
              <w:jc w:val="center"/>
              <w:rPr>
                <w:rFonts w:ascii="Arial" w:hAnsi="Arial"/>
                <w:lang w:val="en-US"/>
              </w:rPr>
            </w:pPr>
            <w:r w:rsidRPr="000F5A61">
              <w:rPr>
                <w:rFonts w:ascii="Arial" w:hAnsi="Arial"/>
                <w:lang w:val="en-US"/>
              </w:rPr>
              <w:t>SSF</w:t>
            </w:r>
          </w:p>
        </w:tc>
        <w:tc>
          <w:tcPr>
            <w:tcW w:w="1421" w:type="dxa"/>
          </w:tcPr>
          <w:p w:rsidR="00E67717" w:rsidRPr="000F5A61" w:rsidRDefault="00E67717" w:rsidP="004D4599">
            <w:pPr>
              <w:spacing w:after="160" w:line="259" w:lineRule="auto"/>
              <w:contextualSpacing/>
              <w:jc w:val="center"/>
              <w:rPr>
                <w:rFonts w:ascii="Arial" w:hAnsi="Arial"/>
                <w:lang w:val="en-US"/>
              </w:rPr>
            </w:pPr>
            <w:r w:rsidRPr="000F5A61">
              <w:rPr>
                <w:rFonts w:ascii="Arial" w:hAnsi="Arial"/>
                <w:lang w:val="en-US"/>
              </w:rPr>
              <w:t xml:space="preserve"> 3.</w:t>
            </w:r>
            <w:r w:rsidR="00B34F95" w:rsidRPr="000F5A61">
              <w:rPr>
                <w:rFonts w:ascii="Arial" w:hAnsi="Arial"/>
                <w:lang w:val="en-US"/>
              </w:rPr>
              <w:t>3</w:t>
            </w:r>
          </w:p>
        </w:tc>
        <w:tc>
          <w:tcPr>
            <w:tcW w:w="1501" w:type="dxa"/>
          </w:tcPr>
          <w:p w:rsidR="00E67717" w:rsidRPr="000F5A61" w:rsidRDefault="00E67717" w:rsidP="00E67717">
            <w:pPr>
              <w:spacing w:after="160" w:line="259" w:lineRule="auto"/>
              <w:contextualSpacing/>
              <w:jc w:val="center"/>
              <w:rPr>
                <w:rFonts w:ascii="Arial" w:hAnsi="Arial"/>
                <w:lang w:val="en-US"/>
              </w:rPr>
            </w:pPr>
            <w:r w:rsidRPr="000F5A61">
              <w:rPr>
                <w:rFonts w:ascii="Arial" w:hAnsi="Arial"/>
                <w:lang w:val="en-US"/>
              </w:rPr>
              <w:t>16 Jul 2014 - 15 Jul 2015</w:t>
            </w:r>
          </w:p>
        </w:tc>
        <w:tc>
          <w:tcPr>
            <w:tcW w:w="1825" w:type="dxa"/>
          </w:tcPr>
          <w:p w:rsidR="00E67717" w:rsidRPr="000F5A61" w:rsidRDefault="00E67717" w:rsidP="00E67717">
            <w:pPr>
              <w:spacing w:after="160" w:line="259" w:lineRule="auto"/>
              <w:contextualSpacing/>
              <w:jc w:val="center"/>
              <w:rPr>
                <w:rFonts w:ascii="Arial" w:hAnsi="Arial"/>
                <w:lang w:val="en-US"/>
              </w:rPr>
            </w:pPr>
            <w:r w:rsidRPr="000F5A61">
              <w:rPr>
                <w:rFonts w:ascii="Arial" w:hAnsi="Arial"/>
                <w:lang w:val="en-US"/>
              </w:rPr>
              <w:t>NPL-M-</w:t>
            </w:r>
            <w:r w:rsidR="00B34F95" w:rsidRPr="000F5A61">
              <w:rPr>
                <w:rFonts w:ascii="Arial" w:hAnsi="Arial"/>
                <w:lang w:val="en-US"/>
              </w:rPr>
              <w:t>EDCD</w:t>
            </w:r>
          </w:p>
          <w:p w:rsidR="00E67717" w:rsidRPr="000F5A61" w:rsidRDefault="00E67717" w:rsidP="00E67717">
            <w:pPr>
              <w:tabs>
                <w:tab w:val="center" w:pos="4513"/>
                <w:tab w:val="right" w:pos="9026"/>
              </w:tabs>
              <w:spacing w:after="160" w:line="259" w:lineRule="auto"/>
              <w:contextualSpacing/>
              <w:jc w:val="center"/>
              <w:rPr>
                <w:rFonts w:ascii="Arial" w:hAnsi="Arial"/>
              </w:rPr>
            </w:pPr>
          </w:p>
        </w:tc>
        <w:tc>
          <w:tcPr>
            <w:tcW w:w="3113" w:type="dxa"/>
          </w:tcPr>
          <w:p w:rsidR="00E67717" w:rsidRPr="000F5A61" w:rsidRDefault="00E67717" w:rsidP="00E67717">
            <w:pPr>
              <w:tabs>
                <w:tab w:val="left" w:pos="246"/>
              </w:tabs>
              <w:spacing w:after="160" w:line="259" w:lineRule="auto"/>
              <w:contextualSpacing/>
              <w:jc w:val="center"/>
              <w:rPr>
                <w:rFonts w:ascii="Arial" w:hAnsi="Arial"/>
                <w:lang w:val="en-US"/>
              </w:rPr>
            </w:pPr>
            <w:r w:rsidRPr="000F5A61">
              <w:rPr>
                <w:rFonts w:ascii="Arial" w:hAnsi="Arial"/>
                <w:lang w:val="en-US"/>
              </w:rPr>
              <w:t>Ministry of Health</w:t>
            </w:r>
          </w:p>
          <w:p w:rsidR="00E67717" w:rsidRPr="000F5A61" w:rsidRDefault="00E67717" w:rsidP="00E67717">
            <w:pPr>
              <w:tabs>
                <w:tab w:val="left" w:pos="246"/>
                <w:tab w:val="center" w:pos="4513"/>
                <w:tab w:val="right" w:pos="9026"/>
              </w:tabs>
              <w:spacing w:after="160" w:line="259" w:lineRule="auto"/>
              <w:contextualSpacing/>
              <w:jc w:val="center"/>
              <w:rPr>
                <w:rFonts w:ascii="Arial" w:hAnsi="Arial"/>
                <w:lang w:val="en-US"/>
              </w:rPr>
            </w:pPr>
          </w:p>
        </w:tc>
      </w:tr>
      <w:tr w:rsidR="00E67717" w:rsidRPr="000F5A61" w:rsidTr="00E67717">
        <w:trPr>
          <w:jc w:val="center"/>
        </w:trPr>
        <w:tc>
          <w:tcPr>
            <w:tcW w:w="447" w:type="dxa"/>
          </w:tcPr>
          <w:p w:rsidR="00E67717" w:rsidRPr="000F5A61" w:rsidRDefault="00E67717" w:rsidP="00E67717">
            <w:pPr>
              <w:spacing w:after="160" w:line="259" w:lineRule="auto"/>
              <w:contextualSpacing/>
              <w:jc w:val="center"/>
              <w:rPr>
                <w:rFonts w:ascii="Arial" w:hAnsi="Arial"/>
              </w:rPr>
            </w:pPr>
            <w:r w:rsidRPr="000F5A61">
              <w:rPr>
                <w:rFonts w:ascii="Arial" w:hAnsi="Arial"/>
              </w:rPr>
              <w:t>2</w:t>
            </w:r>
          </w:p>
        </w:tc>
        <w:tc>
          <w:tcPr>
            <w:tcW w:w="1148" w:type="dxa"/>
          </w:tcPr>
          <w:p w:rsidR="00E67717" w:rsidRPr="000F5A61" w:rsidRDefault="00E67717" w:rsidP="00E67717">
            <w:pPr>
              <w:spacing w:after="160" w:line="259" w:lineRule="auto"/>
              <w:contextualSpacing/>
              <w:jc w:val="center"/>
              <w:rPr>
                <w:rFonts w:ascii="Arial" w:hAnsi="Arial"/>
              </w:rPr>
            </w:pPr>
            <w:r w:rsidRPr="000F5A61">
              <w:rPr>
                <w:rFonts w:ascii="Arial" w:hAnsi="Arial"/>
              </w:rPr>
              <w:t>SSF</w:t>
            </w:r>
          </w:p>
        </w:tc>
        <w:tc>
          <w:tcPr>
            <w:tcW w:w="1421" w:type="dxa"/>
          </w:tcPr>
          <w:p w:rsidR="00E67717" w:rsidRPr="000F5A61" w:rsidRDefault="00E67717" w:rsidP="00E67717">
            <w:pPr>
              <w:spacing w:after="160" w:line="259" w:lineRule="auto"/>
              <w:contextualSpacing/>
              <w:jc w:val="center"/>
              <w:rPr>
                <w:rFonts w:ascii="Arial" w:hAnsi="Arial"/>
              </w:rPr>
            </w:pPr>
            <w:r w:rsidRPr="000F5A61">
              <w:rPr>
                <w:rFonts w:ascii="Arial" w:hAnsi="Arial"/>
              </w:rPr>
              <w:t>2.9</w:t>
            </w:r>
          </w:p>
        </w:tc>
        <w:tc>
          <w:tcPr>
            <w:tcW w:w="1501" w:type="dxa"/>
          </w:tcPr>
          <w:p w:rsidR="00E67717" w:rsidRPr="000F5A61" w:rsidRDefault="00E67717" w:rsidP="00E67717">
            <w:pPr>
              <w:spacing w:after="160" w:line="259" w:lineRule="auto"/>
              <w:contextualSpacing/>
              <w:jc w:val="center"/>
              <w:rPr>
                <w:rFonts w:ascii="Arial" w:hAnsi="Arial"/>
              </w:rPr>
            </w:pPr>
            <w:r w:rsidRPr="000F5A61">
              <w:rPr>
                <w:rFonts w:ascii="Arial" w:hAnsi="Arial"/>
                <w:lang w:val="en-US"/>
              </w:rPr>
              <w:t>16 Jul 2015 - 15 Jul 2016</w:t>
            </w:r>
          </w:p>
        </w:tc>
        <w:tc>
          <w:tcPr>
            <w:tcW w:w="1825" w:type="dxa"/>
          </w:tcPr>
          <w:p w:rsidR="00E67717" w:rsidRPr="000F5A61" w:rsidRDefault="00E67717" w:rsidP="00E67717">
            <w:pPr>
              <w:spacing w:after="160" w:line="259" w:lineRule="auto"/>
              <w:contextualSpacing/>
              <w:jc w:val="center"/>
              <w:rPr>
                <w:rFonts w:ascii="Arial" w:hAnsi="Arial"/>
                <w:lang w:val="en-US"/>
              </w:rPr>
            </w:pPr>
            <w:r w:rsidRPr="000F5A61">
              <w:rPr>
                <w:rFonts w:ascii="Arial" w:hAnsi="Arial"/>
                <w:lang w:val="en-US"/>
              </w:rPr>
              <w:t>NPL-M-SCF</w:t>
            </w:r>
          </w:p>
          <w:p w:rsidR="00E67717" w:rsidRPr="000F5A61" w:rsidRDefault="00E67717" w:rsidP="00E67717">
            <w:pPr>
              <w:tabs>
                <w:tab w:val="center" w:pos="4513"/>
                <w:tab w:val="right" w:pos="9026"/>
              </w:tabs>
              <w:spacing w:after="160" w:line="259" w:lineRule="auto"/>
              <w:contextualSpacing/>
              <w:jc w:val="center"/>
              <w:rPr>
                <w:rFonts w:ascii="Arial" w:hAnsi="Arial"/>
              </w:rPr>
            </w:pPr>
          </w:p>
        </w:tc>
        <w:tc>
          <w:tcPr>
            <w:tcW w:w="3113" w:type="dxa"/>
          </w:tcPr>
          <w:p w:rsidR="00E67717" w:rsidRPr="000F5A61" w:rsidRDefault="00E67717" w:rsidP="00E67717">
            <w:pPr>
              <w:tabs>
                <w:tab w:val="left" w:pos="246"/>
              </w:tabs>
              <w:spacing w:after="160" w:line="259" w:lineRule="auto"/>
              <w:contextualSpacing/>
              <w:jc w:val="center"/>
              <w:rPr>
                <w:rFonts w:ascii="Arial" w:hAnsi="Arial"/>
                <w:lang w:val="en-US"/>
              </w:rPr>
            </w:pPr>
            <w:r w:rsidRPr="000F5A61">
              <w:rPr>
                <w:rFonts w:ascii="Arial" w:hAnsi="Arial"/>
                <w:lang w:val="en-US"/>
              </w:rPr>
              <w:t>Save the Children Federation Inc</w:t>
            </w:r>
            <w:r w:rsidR="00E65BBA" w:rsidRPr="000F5A61">
              <w:rPr>
                <w:rStyle w:val="FootnoteReference"/>
                <w:rFonts w:ascii="Arial" w:hAnsi="Arial" w:cs="Arial"/>
                <w:lang w:val="en-US"/>
              </w:rPr>
              <w:footnoteReference w:id="10"/>
            </w:r>
            <w:r w:rsidRPr="000F5A61">
              <w:rPr>
                <w:rFonts w:ascii="Arial" w:hAnsi="Arial"/>
                <w:lang w:val="en-US"/>
              </w:rPr>
              <w:t>.</w:t>
            </w:r>
          </w:p>
          <w:p w:rsidR="00E67717" w:rsidRPr="000F5A61" w:rsidRDefault="00E67717" w:rsidP="00E67717">
            <w:pPr>
              <w:tabs>
                <w:tab w:val="center" w:pos="4513"/>
                <w:tab w:val="right" w:pos="9026"/>
              </w:tabs>
              <w:spacing w:after="160" w:line="259" w:lineRule="auto"/>
              <w:contextualSpacing/>
              <w:jc w:val="center"/>
              <w:rPr>
                <w:rFonts w:ascii="Arial" w:hAnsi="Arial"/>
              </w:rPr>
            </w:pPr>
          </w:p>
        </w:tc>
      </w:tr>
      <w:tr w:rsidR="00E67717" w:rsidRPr="000F5A61" w:rsidTr="00E67717">
        <w:trPr>
          <w:jc w:val="center"/>
        </w:trPr>
        <w:tc>
          <w:tcPr>
            <w:tcW w:w="447" w:type="dxa"/>
          </w:tcPr>
          <w:p w:rsidR="00E67717" w:rsidRPr="000F5A61" w:rsidRDefault="00E67717" w:rsidP="00E67717">
            <w:pPr>
              <w:spacing w:after="160" w:line="259" w:lineRule="auto"/>
              <w:contextualSpacing/>
              <w:jc w:val="center"/>
              <w:rPr>
                <w:rFonts w:ascii="Arial" w:hAnsi="Arial"/>
              </w:rPr>
            </w:pPr>
            <w:r w:rsidRPr="000F5A61">
              <w:rPr>
                <w:rFonts w:ascii="Arial" w:hAnsi="Arial"/>
              </w:rPr>
              <w:t>3</w:t>
            </w:r>
          </w:p>
        </w:tc>
        <w:tc>
          <w:tcPr>
            <w:tcW w:w="1148" w:type="dxa"/>
          </w:tcPr>
          <w:p w:rsidR="00E67717" w:rsidRPr="000F5A61" w:rsidRDefault="00E67717" w:rsidP="00E67717">
            <w:pPr>
              <w:spacing w:after="160" w:line="259" w:lineRule="auto"/>
              <w:contextualSpacing/>
              <w:jc w:val="center"/>
              <w:rPr>
                <w:rFonts w:ascii="Arial" w:hAnsi="Arial"/>
              </w:rPr>
            </w:pPr>
            <w:r w:rsidRPr="000F5A61">
              <w:rPr>
                <w:rFonts w:ascii="Arial" w:hAnsi="Arial"/>
              </w:rPr>
              <w:t>SSF costed extension</w:t>
            </w:r>
          </w:p>
        </w:tc>
        <w:tc>
          <w:tcPr>
            <w:tcW w:w="1421" w:type="dxa"/>
          </w:tcPr>
          <w:p w:rsidR="00E67717" w:rsidRPr="000F5A61" w:rsidRDefault="00B34F95" w:rsidP="004D4599">
            <w:pPr>
              <w:spacing w:after="160" w:line="259" w:lineRule="auto"/>
              <w:contextualSpacing/>
              <w:jc w:val="center"/>
              <w:rPr>
                <w:rFonts w:ascii="Arial" w:hAnsi="Arial"/>
              </w:rPr>
            </w:pPr>
            <w:r w:rsidRPr="000F5A61">
              <w:rPr>
                <w:rFonts w:ascii="Arial" w:hAnsi="Arial"/>
              </w:rPr>
              <w:t>9.3</w:t>
            </w:r>
          </w:p>
        </w:tc>
        <w:tc>
          <w:tcPr>
            <w:tcW w:w="1501" w:type="dxa"/>
          </w:tcPr>
          <w:p w:rsidR="00E67717" w:rsidRPr="000F5A61" w:rsidRDefault="00E67717" w:rsidP="00E67717">
            <w:pPr>
              <w:spacing w:after="160" w:line="259" w:lineRule="auto"/>
              <w:contextualSpacing/>
              <w:jc w:val="center"/>
              <w:rPr>
                <w:rFonts w:ascii="Arial" w:hAnsi="Arial"/>
              </w:rPr>
            </w:pPr>
            <w:r w:rsidRPr="000F5A61">
              <w:rPr>
                <w:rFonts w:ascii="Arial" w:hAnsi="Arial"/>
                <w:lang w:val="en-US"/>
              </w:rPr>
              <w:t>16 Jul 2016 - 15 Mar 2018</w:t>
            </w:r>
          </w:p>
        </w:tc>
        <w:tc>
          <w:tcPr>
            <w:tcW w:w="1825" w:type="dxa"/>
          </w:tcPr>
          <w:p w:rsidR="00E67717" w:rsidRPr="000F5A61" w:rsidRDefault="00E67717" w:rsidP="00E67717">
            <w:pPr>
              <w:spacing w:after="160" w:line="259" w:lineRule="auto"/>
              <w:contextualSpacing/>
              <w:jc w:val="center"/>
              <w:rPr>
                <w:rFonts w:ascii="Arial" w:hAnsi="Arial"/>
                <w:lang w:val="en-US"/>
              </w:rPr>
            </w:pPr>
            <w:r w:rsidRPr="000F5A61">
              <w:rPr>
                <w:rFonts w:ascii="Arial" w:hAnsi="Arial"/>
                <w:lang w:val="en-US"/>
              </w:rPr>
              <w:t>NPL-M-SCF</w:t>
            </w:r>
          </w:p>
          <w:p w:rsidR="00E67717" w:rsidRPr="000F5A61" w:rsidRDefault="00E67717" w:rsidP="00E67717">
            <w:pPr>
              <w:tabs>
                <w:tab w:val="center" w:pos="4513"/>
                <w:tab w:val="right" w:pos="9026"/>
              </w:tabs>
              <w:spacing w:after="160" w:line="259" w:lineRule="auto"/>
              <w:contextualSpacing/>
              <w:jc w:val="center"/>
              <w:rPr>
                <w:rFonts w:ascii="Arial" w:hAnsi="Arial"/>
              </w:rPr>
            </w:pPr>
          </w:p>
        </w:tc>
        <w:tc>
          <w:tcPr>
            <w:tcW w:w="3113" w:type="dxa"/>
          </w:tcPr>
          <w:p w:rsidR="00E67717" w:rsidRPr="000F5A61" w:rsidRDefault="00E67717" w:rsidP="00E67717">
            <w:pPr>
              <w:tabs>
                <w:tab w:val="left" w:pos="246"/>
              </w:tabs>
              <w:spacing w:after="160" w:line="259" w:lineRule="auto"/>
              <w:contextualSpacing/>
              <w:jc w:val="center"/>
              <w:rPr>
                <w:rFonts w:ascii="Arial" w:hAnsi="Arial"/>
                <w:lang w:val="en-US"/>
              </w:rPr>
            </w:pPr>
            <w:r w:rsidRPr="000F5A61">
              <w:rPr>
                <w:rFonts w:ascii="Arial" w:hAnsi="Arial"/>
                <w:lang w:val="en-US"/>
              </w:rPr>
              <w:t>Save the Children Federation Inc.</w:t>
            </w:r>
          </w:p>
          <w:p w:rsidR="00E67717" w:rsidRPr="000F5A61" w:rsidRDefault="00E67717" w:rsidP="00E67717">
            <w:pPr>
              <w:tabs>
                <w:tab w:val="center" w:pos="4513"/>
                <w:tab w:val="right" w:pos="9026"/>
              </w:tabs>
              <w:spacing w:after="160" w:line="259" w:lineRule="auto"/>
              <w:contextualSpacing/>
              <w:jc w:val="center"/>
              <w:rPr>
                <w:rFonts w:ascii="Arial" w:hAnsi="Arial"/>
              </w:rPr>
            </w:pPr>
          </w:p>
        </w:tc>
      </w:tr>
    </w:tbl>
    <w:p w:rsidR="005301E1" w:rsidRPr="000F5A61" w:rsidRDefault="005301E1" w:rsidP="00042DCA">
      <w:pPr>
        <w:spacing w:after="0"/>
        <w:rPr>
          <w:rFonts w:ascii="Arial" w:hAnsi="Arial" w:cs="Arial"/>
          <w:sz w:val="20"/>
          <w:szCs w:val="20"/>
        </w:rPr>
      </w:pPr>
    </w:p>
    <w:p w:rsidR="00090838" w:rsidRPr="000F5A61" w:rsidRDefault="00090838" w:rsidP="00224690">
      <w:pPr>
        <w:rPr>
          <w:rFonts w:ascii="Arial" w:hAnsi="Arial" w:cs="Arial"/>
          <w:sz w:val="20"/>
          <w:szCs w:val="20"/>
        </w:rPr>
      </w:pPr>
      <w:r w:rsidRPr="000F5A61">
        <w:rPr>
          <w:rFonts w:ascii="Arial" w:hAnsi="Arial" w:cs="Arial"/>
          <w:sz w:val="20"/>
          <w:szCs w:val="20"/>
        </w:rPr>
        <w:t>Very significant improvements in grant management and implementation took place following the appointment of SCI as PR</w:t>
      </w:r>
      <w:r w:rsidR="008D1E36" w:rsidRPr="000F5A61">
        <w:rPr>
          <w:rStyle w:val="FootnoteReference"/>
          <w:rFonts w:ascii="Arial" w:hAnsi="Arial" w:cs="Arial"/>
          <w:sz w:val="20"/>
          <w:szCs w:val="20"/>
        </w:rPr>
        <w:footnoteReference w:id="11"/>
      </w:r>
      <w:r w:rsidRPr="000F5A61">
        <w:rPr>
          <w:rFonts w:ascii="Arial" w:hAnsi="Arial" w:cs="Arial"/>
          <w:sz w:val="20"/>
          <w:szCs w:val="20"/>
        </w:rPr>
        <w:t xml:space="preserve">. SCI will therefore continue as PR, working alongside EDCD to improve its technical and management capacity. </w:t>
      </w:r>
    </w:p>
    <w:p w:rsidR="005301E1" w:rsidRPr="000F5A61" w:rsidRDefault="004A0E54" w:rsidP="00224690">
      <w:pPr>
        <w:rPr>
          <w:rFonts w:ascii="Arial" w:hAnsi="Arial" w:cs="Arial"/>
          <w:sz w:val="20"/>
          <w:szCs w:val="20"/>
          <w:lang w:val="en-US"/>
        </w:rPr>
      </w:pPr>
      <w:r w:rsidRPr="000F5A61">
        <w:rPr>
          <w:rFonts w:ascii="Arial" w:hAnsi="Arial" w:cs="Arial"/>
          <w:sz w:val="20"/>
          <w:szCs w:val="20"/>
        </w:rPr>
        <w:t>Poor data quality</w:t>
      </w:r>
      <w:r w:rsidR="00A76D15" w:rsidRPr="000F5A61">
        <w:rPr>
          <w:rFonts w:ascii="Arial" w:hAnsi="Arial" w:cs="Arial"/>
          <w:sz w:val="20"/>
          <w:szCs w:val="20"/>
        </w:rPr>
        <w:t>,</w:t>
      </w:r>
      <w:r w:rsidRPr="000F5A61">
        <w:rPr>
          <w:rFonts w:ascii="Arial" w:hAnsi="Arial" w:cs="Arial"/>
          <w:sz w:val="20"/>
          <w:szCs w:val="20"/>
        </w:rPr>
        <w:t xml:space="preserve"> due to a combination of limited technical capacity, overly burdensome reporting (for malaria and other diseases), and multiple reporting channels</w:t>
      </w:r>
      <w:r w:rsidR="00A76D15" w:rsidRPr="000F5A61">
        <w:rPr>
          <w:rFonts w:ascii="Arial" w:hAnsi="Arial" w:cs="Arial"/>
          <w:sz w:val="20"/>
          <w:szCs w:val="20"/>
        </w:rPr>
        <w:t>,</w:t>
      </w:r>
      <w:r w:rsidRPr="000F5A61">
        <w:rPr>
          <w:rFonts w:ascii="Arial" w:hAnsi="Arial" w:cs="Arial"/>
          <w:sz w:val="20"/>
          <w:szCs w:val="20"/>
        </w:rPr>
        <w:t xml:space="preserve"> has hampered technical management of the </w:t>
      </w:r>
      <w:r w:rsidR="00803A71" w:rsidRPr="000F5A61">
        <w:rPr>
          <w:rFonts w:ascii="Arial" w:hAnsi="Arial" w:cs="Arial"/>
          <w:sz w:val="20"/>
          <w:szCs w:val="20"/>
        </w:rPr>
        <w:t>Programme</w:t>
      </w:r>
      <w:r w:rsidRPr="000F5A61">
        <w:rPr>
          <w:rFonts w:ascii="Arial" w:hAnsi="Arial" w:cs="Arial"/>
          <w:sz w:val="20"/>
          <w:szCs w:val="20"/>
        </w:rPr>
        <w:t xml:space="preserve">. Although there have been </w:t>
      </w:r>
      <w:r w:rsidR="004A63EE" w:rsidRPr="000F5A61">
        <w:rPr>
          <w:rFonts w:ascii="Arial" w:hAnsi="Arial" w:cs="Arial"/>
          <w:sz w:val="20"/>
          <w:szCs w:val="20"/>
        </w:rPr>
        <w:t xml:space="preserve">very </w:t>
      </w:r>
      <w:r w:rsidRPr="000F5A61">
        <w:rPr>
          <w:rFonts w:ascii="Arial" w:hAnsi="Arial" w:cs="Arial"/>
          <w:sz w:val="20"/>
          <w:szCs w:val="20"/>
        </w:rPr>
        <w:t xml:space="preserve">significant improvements </w:t>
      </w:r>
      <w:r w:rsidR="004A63EE" w:rsidRPr="000F5A61">
        <w:rPr>
          <w:rFonts w:ascii="Arial" w:hAnsi="Arial" w:cs="Arial"/>
          <w:sz w:val="20"/>
          <w:szCs w:val="20"/>
        </w:rPr>
        <w:t>under the current grant</w:t>
      </w:r>
      <w:r w:rsidRPr="000F5A61">
        <w:rPr>
          <w:rFonts w:ascii="Arial" w:hAnsi="Arial" w:cs="Arial"/>
          <w:sz w:val="20"/>
          <w:szCs w:val="20"/>
        </w:rPr>
        <w:t>, effective targeting of LLINs for example remains a laborious process. Robust plans are now in place to have a state</w:t>
      </w:r>
      <w:r w:rsidR="005301E1" w:rsidRPr="000F5A61">
        <w:rPr>
          <w:rFonts w:ascii="Arial" w:hAnsi="Arial" w:cs="Arial"/>
          <w:sz w:val="20"/>
          <w:szCs w:val="20"/>
        </w:rPr>
        <w:t>-of-the-</w:t>
      </w:r>
      <w:r w:rsidRPr="000F5A61">
        <w:rPr>
          <w:rFonts w:ascii="Arial" w:hAnsi="Arial" w:cs="Arial"/>
          <w:sz w:val="20"/>
          <w:szCs w:val="20"/>
        </w:rPr>
        <w:t>art elimination</w:t>
      </w:r>
      <w:r w:rsidR="005301E1" w:rsidRPr="000F5A61">
        <w:rPr>
          <w:rFonts w:ascii="Arial" w:hAnsi="Arial" w:cs="Arial"/>
          <w:sz w:val="20"/>
          <w:szCs w:val="20"/>
        </w:rPr>
        <w:t>-</w:t>
      </w:r>
      <w:r w:rsidRPr="000F5A61">
        <w:rPr>
          <w:rFonts w:ascii="Arial" w:hAnsi="Arial" w:cs="Arial"/>
          <w:sz w:val="20"/>
          <w:szCs w:val="20"/>
        </w:rPr>
        <w:t>ready surveillance system in place</w:t>
      </w:r>
      <w:r w:rsidR="00C8373E" w:rsidRPr="000F5A61">
        <w:rPr>
          <w:rFonts w:ascii="Arial" w:hAnsi="Arial" w:cs="Arial"/>
          <w:sz w:val="20"/>
          <w:szCs w:val="20"/>
        </w:rPr>
        <w:t xml:space="preserve">, </w:t>
      </w:r>
      <w:r w:rsidRPr="000F5A61">
        <w:rPr>
          <w:rFonts w:ascii="Arial" w:hAnsi="Arial" w:cs="Arial"/>
          <w:sz w:val="20"/>
          <w:szCs w:val="20"/>
        </w:rPr>
        <w:t>fully functional</w:t>
      </w:r>
      <w:r w:rsidR="001A4E6B" w:rsidRPr="000F5A61">
        <w:rPr>
          <w:rFonts w:ascii="Arial" w:hAnsi="Arial" w:cs="Arial"/>
          <w:sz w:val="20"/>
          <w:szCs w:val="20"/>
        </w:rPr>
        <w:t xml:space="preserve"> and quality assured</w:t>
      </w:r>
      <w:r w:rsidRPr="000F5A61">
        <w:rPr>
          <w:rFonts w:ascii="Arial" w:hAnsi="Arial" w:cs="Arial"/>
          <w:sz w:val="20"/>
          <w:szCs w:val="20"/>
        </w:rPr>
        <w:t xml:space="preserve"> by the end of 2019.</w:t>
      </w:r>
    </w:p>
    <w:p w:rsidR="00D57D47" w:rsidRPr="000F5A61" w:rsidRDefault="00224690" w:rsidP="00AB3176">
      <w:pPr>
        <w:spacing w:after="120" w:line="240" w:lineRule="auto"/>
        <w:rPr>
          <w:rFonts w:ascii="Arial" w:hAnsi="Arial" w:cs="Arial"/>
          <w:sz w:val="20"/>
          <w:szCs w:val="20"/>
        </w:rPr>
      </w:pPr>
      <w:r w:rsidRPr="000F5A61">
        <w:rPr>
          <w:rFonts w:ascii="Arial" w:hAnsi="Arial" w:cs="Arial"/>
          <w:sz w:val="20"/>
          <w:szCs w:val="20"/>
        </w:rPr>
        <w:t xml:space="preserve">Malaria education </w:t>
      </w:r>
      <w:r w:rsidR="00D57D47" w:rsidRPr="000F5A61">
        <w:rPr>
          <w:rFonts w:ascii="Arial" w:hAnsi="Arial" w:cs="Arial"/>
          <w:sz w:val="20"/>
          <w:szCs w:val="20"/>
        </w:rPr>
        <w:t>program</w:t>
      </w:r>
      <w:r w:rsidR="00803A71" w:rsidRPr="000F5A61">
        <w:rPr>
          <w:rFonts w:ascii="Arial" w:hAnsi="Arial" w:cs="Arial"/>
          <w:sz w:val="20"/>
          <w:szCs w:val="20"/>
        </w:rPr>
        <w:t>me</w:t>
      </w:r>
      <w:r w:rsidR="00D57D47" w:rsidRPr="000F5A61">
        <w:rPr>
          <w:rFonts w:ascii="Arial" w:hAnsi="Arial" w:cs="Arial"/>
          <w:sz w:val="20"/>
          <w:szCs w:val="20"/>
        </w:rPr>
        <w:t xml:space="preserve">s </w:t>
      </w:r>
      <w:r w:rsidRPr="000F5A61">
        <w:rPr>
          <w:rFonts w:ascii="Arial" w:hAnsi="Arial" w:cs="Arial"/>
          <w:sz w:val="20"/>
          <w:szCs w:val="20"/>
        </w:rPr>
        <w:t>targeti</w:t>
      </w:r>
      <w:r w:rsidR="00F85974" w:rsidRPr="000F5A61">
        <w:rPr>
          <w:rFonts w:ascii="Arial" w:hAnsi="Arial" w:cs="Arial"/>
          <w:sz w:val="20"/>
          <w:szCs w:val="20"/>
        </w:rPr>
        <w:t>ng</w:t>
      </w:r>
      <w:r w:rsidR="00D57D47" w:rsidRPr="000F5A61">
        <w:rPr>
          <w:rFonts w:ascii="Arial" w:hAnsi="Arial" w:cs="Arial"/>
          <w:sz w:val="20"/>
          <w:szCs w:val="20"/>
        </w:rPr>
        <w:t xml:space="preserve"> school</w:t>
      </w:r>
      <w:r w:rsidR="00F85974" w:rsidRPr="000F5A61">
        <w:rPr>
          <w:rFonts w:ascii="Arial" w:hAnsi="Arial" w:cs="Arial"/>
          <w:sz w:val="20"/>
          <w:szCs w:val="20"/>
        </w:rPr>
        <w:t xml:space="preserve">s, healthcare providers (public and </w:t>
      </w:r>
      <w:r w:rsidR="00D17653" w:rsidRPr="000F5A61">
        <w:rPr>
          <w:rFonts w:ascii="Arial" w:hAnsi="Arial" w:cs="Arial"/>
          <w:sz w:val="20"/>
          <w:szCs w:val="20"/>
        </w:rPr>
        <w:t>PS</w:t>
      </w:r>
      <w:r w:rsidR="00F85974" w:rsidRPr="000F5A61">
        <w:rPr>
          <w:rFonts w:ascii="Arial" w:hAnsi="Arial" w:cs="Arial"/>
          <w:sz w:val="20"/>
          <w:szCs w:val="20"/>
        </w:rPr>
        <w:t>)</w:t>
      </w:r>
      <w:r w:rsidR="00D57D47" w:rsidRPr="000F5A61">
        <w:rPr>
          <w:rFonts w:ascii="Arial" w:hAnsi="Arial" w:cs="Arial"/>
          <w:sz w:val="20"/>
          <w:szCs w:val="20"/>
        </w:rPr>
        <w:t xml:space="preserve">, </w:t>
      </w:r>
      <w:r w:rsidR="00F85974" w:rsidRPr="000F5A61">
        <w:rPr>
          <w:rFonts w:ascii="Arial" w:hAnsi="Arial" w:cs="Arial"/>
          <w:sz w:val="20"/>
          <w:szCs w:val="20"/>
        </w:rPr>
        <w:t xml:space="preserve">FCHVs and </w:t>
      </w:r>
      <w:r w:rsidR="00D57D47" w:rsidRPr="000F5A61">
        <w:rPr>
          <w:rFonts w:ascii="Arial" w:hAnsi="Arial" w:cs="Arial"/>
          <w:sz w:val="20"/>
          <w:szCs w:val="20"/>
        </w:rPr>
        <w:t>mothers</w:t>
      </w:r>
      <w:r w:rsidR="00327202" w:rsidRPr="000F5A61">
        <w:rPr>
          <w:rFonts w:ascii="Arial" w:hAnsi="Arial" w:cs="Arial"/>
          <w:sz w:val="20"/>
          <w:szCs w:val="20"/>
        </w:rPr>
        <w:t xml:space="preserve">‘ </w:t>
      </w:r>
      <w:r w:rsidR="00D57D47" w:rsidRPr="000F5A61">
        <w:rPr>
          <w:rFonts w:ascii="Arial" w:hAnsi="Arial" w:cs="Arial"/>
          <w:sz w:val="20"/>
          <w:szCs w:val="20"/>
        </w:rPr>
        <w:t>group</w:t>
      </w:r>
      <w:r w:rsidR="00327202" w:rsidRPr="000F5A61">
        <w:rPr>
          <w:rFonts w:ascii="Arial" w:hAnsi="Arial" w:cs="Arial"/>
          <w:sz w:val="20"/>
          <w:szCs w:val="20"/>
        </w:rPr>
        <w:t>s</w:t>
      </w:r>
      <w:r w:rsidR="00F85974" w:rsidRPr="000F5A61">
        <w:rPr>
          <w:rFonts w:ascii="Arial" w:hAnsi="Arial" w:cs="Arial"/>
          <w:sz w:val="20"/>
          <w:szCs w:val="20"/>
        </w:rPr>
        <w:t xml:space="preserve">have demonstrated the effectiveness of the ToT and trickle-down training approach. The same approach will be adopted for reorientation of healthworkers and volunteers and for target group specific training for </w:t>
      </w:r>
      <w:r w:rsidR="00D57D47" w:rsidRPr="000F5A61">
        <w:rPr>
          <w:rFonts w:ascii="Arial" w:hAnsi="Arial" w:cs="Arial"/>
          <w:sz w:val="20"/>
          <w:szCs w:val="20"/>
        </w:rPr>
        <w:t>armed force</w:t>
      </w:r>
      <w:r w:rsidR="00F85974" w:rsidRPr="000F5A61">
        <w:rPr>
          <w:rFonts w:ascii="Arial" w:hAnsi="Arial" w:cs="Arial"/>
          <w:sz w:val="20"/>
          <w:szCs w:val="20"/>
        </w:rPr>
        <w:t>s</w:t>
      </w:r>
      <w:r w:rsidR="00D57D47" w:rsidRPr="000F5A61">
        <w:rPr>
          <w:rFonts w:ascii="Arial" w:hAnsi="Arial" w:cs="Arial"/>
          <w:sz w:val="20"/>
          <w:szCs w:val="20"/>
        </w:rPr>
        <w:t xml:space="preserve">, migrant workers, </w:t>
      </w:r>
      <w:r w:rsidR="00F85974" w:rsidRPr="000F5A61">
        <w:rPr>
          <w:rFonts w:ascii="Arial" w:hAnsi="Arial" w:cs="Arial"/>
          <w:sz w:val="20"/>
          <w:szCs w:val="20"/>
        </w:rPr>
        <w:t>etc.</w:t>
      </w:r>
    </w:p>
    <w:p w:rsidR="00D57D47" w:rsidRPr="000F5A61" w:rsidRDefault="00E65BB9" w:rsidP="00834F04">
      <w:pPr>
        <w:rPr>
          <w:rFonts w:ascii="Arial" w:hAnsi="Arial" w:cs="Arial"/>
          <w:sz w:val="20"/>
          <w:szCs w:val="20"/>
        </w:rPr>
      </w:pPr>
      <w:r w:rsidRPr="000F5A61">
        <w:rPr>
          <w:rFonts w:ascii="Arial" w:hAnsi="Arial" w:cs="Arial"/>
          <w:sz w:val="20"/>
          <w:szCs w:val="20"/>
        </w:rPr>
        <w:t xml:space="preserve">Implementation has been undermined in some areas by </w:t>
      </w:r>
      <w:r w:rsidR="004A63EE" w:rsidRPr="000F5A61">
        <w:rPr>
          <w:rFonts w:ascii="Arial" w:hAnsi="Arial" w:cs="Arial"/>
          <w:sz w:val="20"/>
          <w:szCs w:val="20"/>
        </w:rPr>
        <w:t xml:space="preserve">an </w:t>
      </w:r>
      <w:r w:rsidR="00834F04" w:rsidRPr="000F5A61">
        <w:rPr>
          <w:rFonts w:ascii="Arial" w:hAnsi="Arial" w:cs="Arial"/>
          <w:sz w:val="20"/>
          <w:szCs w:val="20"/>
        </w:rPr>
        <w:t xml:space="preserve">ageing </w:t>
      </w:r>
      <w:r w:rsidR="004A63EE" w:rsidRPr="000F5A61">
        <w:rPr>
          <w:rFonts w:ascii="Arial" w:hAnsi="Arial" w:cs="Arial"/>
          <w:sz w:val="20"/>
          <w:szCs w:val="20"/>
        </w:rPr>
        <w:t xml:space="preserve">and overburdened </w:t>
      </w:r>
      <w:r w:rsidR="00834F04" w:rsidRPr="000F5A61">
        <w:rPr>
          <w:rFonts w:ascii="Arial" w:hAnsi="Arial" w:cs="Arial"/>
          <w:sz w:val="20"/>
          <w:szCs w:val="20"/>
        </w:rPr>
        <w:t>workforce (</w:t>
      </w:r>
      <w:r w:rsidR="00D57D47" w:rsidRPr="000F5A61">
        <w:rPr>
          <w:rFonts w:ascii="Arial" w:hAnsi="Arial" w:cs="Arial"/>
          <w:sz w:val="20"/>
          <w:szCs w:val="20"/>
        </w:rPr>
        <w:t xml:space="preserve">VCIs and </w:t>
      </w:r>
      <w:r w:rsidR="00902BB1" w:rsidRPr="000F5A61">
        <w:rPr>
          <w:rFonts w:ascii="Arial" w:hAnsi="Arial" w:cs="Arial"/>
          <w:sz w:val="20"/>
          <w:szCs w:val="20"/>
        </w:rPr>
        <w:t xml:space="preserve">MIs </w:t>
      </w:r>
      <w:r w:rsidR="004A63EE" w:rsidRPr="000F5A61">
        <w:rPr>
          <w:rFonts w:ascii="Arial" w:hAnsi="Arial" w:cs="Arial"/>
          <w:sz w:val="20"/>
          <w:szCs w:val="20"/>
        </w:rPr>
        <w:t xml:space="preserve">are responsible for 12 different vector borne diseases and some </w:t>
      </w:r>
      <w:r w:rsidR="00834F04" w:rsidRPr="000F5A61">
        <w:rPr>
          <w:rFonts w:ascii="Arial" w:hAnsi="Arial" w:cs="Arial"/>
          <w:sz w:val="20"/>
          <w:szCs w:val="20"/>
        </w:rPr>
        <w:t xml:space="preserve">are not </w:t>
      </w:r>
      <w:r w:rsidR="00D57D47" w:rsidRPr="000F5A61">
        <w:rPr>
          <w:rFonts w:ascii="Arial" w:hAnsi="Arial" w:cs="Arial"/>
          <w:sz w:val="20"/>
          <w:szCs w:val="20"/>
        </w:rPr>
        <w:t>computer</w:t>
      </w:r>
      <w:r w:rsidR="00834F04" w:rsidRPr="000F5A61">
        <w:rPr>
          <w:rFonts w:ascii="Arial" w:hAnsi="Arial" w:cs="Arial"/>
          <w:sz w:val="20"/>
          <w:szCs w:val="20"/>
        </w:rPr>
        <w:t xml:space="preserve"> or even SMS literate and struggle with data compilation and reporting). DPHOs </w:t>
      </w:r>
      <w:r w:rsidR="004A6768" w:rsidRPr="000F5A61">
        <w:rPr>
          <w:rFonts w:ascii="Arial" w:hAnsi="Arial" w:cs="Arial"/>
          <w:sz w:val="20"/>
          <w:szCs w:val="20"/>
        </w:rPr>
        <w:t xml:space="preserve">will be encouraged </w:t>
      </w:r>
      <w:r w:rsidR="00834F04" w:rsidRPr="000F5A61">
        <w:rPr>
          <w:rFonts w:ascii="Arial" w:hAnsi="Arial" w:cs="Arial"/>
          <w:sz w:val="20"/>
          <w:szCs w:val="20"/>
        </w:rPr>
        <w:t xml:space="preserve">to </w:t>
      </w:r>
      <w:r w:rsidR="00D57D47" w:rsidRPr="000F5A61">
        <w:rPr>
          <w:rFonts w:ascii="Arial" w:hAnsi="Arial" w:cs="Arial"/>
          <w:sz w:val="20"/>
          <w:szCs w:val="20"/>
        </w:rPr>
        <w:lastRenderedPageBreak/>
        <w:t>develop</w:t>
      </w:r>
      <w:r w:rsidR="00834F04" w:rsidRPr="000F5A61">
        <w:rPr>
          <w:rFonts w:ascii="Arial" w:hAnsi="Arial" w:cs="Arial"/>
          <w:sz w:val="20"/>
          <w:szCs w:val="20"/>
        </w:rPr>
        <w:t xml:space="preserve"> a</w:t>
      </w:r>
      <w:r w:rsidR="00D57D47" w:rsidRPr="000F5A61">
        <w:rPr>
          <w:rFonts w:ascii="Arial" w:hAnsi="Arial" w:cs="Arial"/>
          <w:sz w:val="20"/>
          <w:szCs w:val="20"/>
        </w:rPr>
        <w:t xml:space="preserve"> second</w:t>
      </w:r>
      <w:r w:rsidR="00834F04" w:rsidRPr="000F5A61">
        <w:rPr>
          <w:rFonts w:ascii="Arial" w:hAnsi="Arial" w:cs="Arial"/>
          <w:sz w:val="20"/>
          <w:szCs w:val="20"/>
        </w:rPr>
        <w:t>-</w:t>
      </w:r>
      <w:r w:rsidR="00D57D47" w:rsidRPr="000F5A61">
        <w:rPr>
          <w:rFonts w:ascii="Arial" w:hAnsi="Arial" w:cs="Arial"/>
          <w:sz w:val="20"/>
          <w:szCs w:val="20"/>
        </w:rPr>
        <w:t xml:space="preserve">line </w:t>
      </w:r>
      <w:r w:rsidR="00834F04" w:rsidRPr="000F5A61">
        <w:rPr>
          <w:rFonts w:ascii="Arial" w:hAnsi="Arial" w:cs="Arial"/>
          <w:sz w:val="20"/>
          <w:szCs w:val="20"/>
        </w:rPr>
        <w:t>team of</w:t>
      </w:r>
      <w:r w:rsidR="0025564B" w:rsidRPr="000F5A61">
        <w:rPr>
          <w:rFonts w:ascii="Arial" w:hAnsi="Arial" w:cs="Arial"/>
          <w:sz w:val="20"/>
          <w:szCs w:val="20"/>
        </w:rPr>
        <w:t xml:space="preserve">young </w:t>
      </w:r>
      <w:r w:rsidR="00D57D47" w:rsidRPr="000F5A61">
        <w:rPr>
          <w:rFonts w:ascii="Arial" w:hAnsi="Arial" w:cs="Arial"/>
          <w:sz w:val="20"/>
          <w:szCs w:val="20"/>
        </w:rPr>
        <w:t xml:space="preserve">VCIs </w:t>
      </w:r>
      <w:r w:rsidR="00485FA9" w:rsidRPr="000F5A61">
        <w:rPr>
          <w:rFonts w:ascii="Arial" w:hAnsi="Arial" w:cs="Arial"/>
          <w:sz w:val="20"/>
          <w:szCs w:val="20"/>
        </w:rPr>
        <w:t xml:space="preserve">(recruited largely from existing staff) </w:t>
      </w:r>
      <w:r w:rsidR="0025564B" w:rsidRPr="000F5A61">
        <w:rPr>
          <w:rFonts w:ascii="Arial" w:hAnsi="Arial" w:cs="Arial"/>
          <w:sz w:val="20"/>
          <w:szCs w:val="20"/>
        </w:rPr>
        <w:t>who</w:t>
      </w:r>
      <w:r w:rsidR="00D57D47" w:rsidRPr="000F5A61">
        <w:rPr>
          <w:rFonts w:ascii="Arial" w:hAnsi="Arial" w:cs="Arial"/>
          <w:sz w:val="20"/>
          <w:szCs w:val="20"/>
        </w:rPr>
        <w:t xml:space="preserve"> can carry</w:t>
      </w:r>
      <w:r w:rsidR="00834F04" w:rsidRPr="000F5A61">
        <w:rPr>
          <w:rFonts w:ascii="Arial" w:hAnsi="Arial" w:cs="Arial"/>
          <w:sz w:val="20"/>
          <w:szCs w:val="20"/>
        </w:rPr>
        <w:t>-</w:t>
      </w:r>
      <w:r w:rsidR="00D57D47" w:rsidRPr="000F5A61">
        <w:rPr>
          <w:rFonts w:ascii="Arial" w:hAnsi="Arial" w:cs="Arial"/>
          <w:sz w:val="20"/>
          <w:szCs w:val="20"/>
        </w:rPr>
        <w:t xml:space="preserve">out surveillance and other key </w:t>
      </w:r>
      <w:r w:rsidR="001A4E6B" w:rsidRPr="000F5A61">
        <w:rPr>
          <w:rFonts w:ascii="Arial" w:hAnsi="Arial" w:cs="Arial"/>
          <w:sz w:val="20"/>
          <w:szCs w:val="20"/>
        </w:rPr>
        <w:t>technology-</w:t>
      </w:r>
      <w:r w:rsidR="00834F04" w:rsidRPr="000F5A61">
        <w:rPr>
          <w:rFonts w:ascii="Arial" w:hAnsi="Arial" w:cs="Arial"/>
          <w:sz w:val="20"/>
          <w:szCs w:val="20"/>
        </w:rPr>
        <w:t xml:space="preserve">dependent </w:t>
      </w:r>
      <w:r w:rsidR="00D57D47" w:rsidRPr="000F5A61">
        <w:rPr>
          <w:rFonts w:ascii="Arial" w:hAnsi="Arial" w:cs="Arial"/>
          <w:sz w:val="20"/>
          <w:szCs w:val="20"/>
        </w:rPr>
        <w:t>activities</w:t>
      </w:r>
      <w:r w:rsidR="00834F04" w:rsidRPr="000F5A61">
        <w:rPr>
          <w:rFonts w:ascii="Arial" w:hAnsi="Arial" w:cs="Arial"/>
          <w:sz w:val="20"/>
          <w:szCs w:val="20"/>
        </w:rPr>
        <w:t>.</w:t>
      </w:r>
    </w:p>
    <w:p w:rsidR="00D57D47" w:rsidRPr="000F5A61" w:rsidRDefault="00D57D47" w:rsidP="00377B36">
      <w:pPr>
        <w:rPr>
          <w:rFonts w:ascii="Arial" w:hAnsi="Arial" w:cs="Arial"/>
          <w:sz w:val="20"/>
          <w:szCs w:val="20"/>
        </w:rPr>
      </w:pPr>
      <w:r w:rsidRPr="000F5A61">
        <w:rPr>
          <w:rFonts w:ascii="Arial" w:hAnsi="Arial" w:cs="Arial"/>
          <w:sz w:val="20"/>
          <w:szCs w:val="20"/>
        </w:rPr>
        <w:t xml:space="preserve">Guidelines and major documents have not all been printed and disseminated </w:t>
      </w:r>
      <w:r w:rsidR="004A6768" w:rsidRPr="000F5A61">
        <w:rPr>
          <w:rFonts w:ascii="Arial" w:hAnsi="Arial" w:cs="Arial"/>
          <w:sz w:val="20"/>
          <w:szCs w:val="20"/>
        </w:rPr>
        <w:t>as needed</w:t>
      </w:r>
      <w:r w:rsidR="00377B36" w:rsidRPr="000F5A61">
        <w:rPr>
          <w:rFonts w:ascii="Arial" w:hAnsi="Arial" w:cs="Arial"/>
          <w:sz w:val="20"/>
          <w:szCs w:val="20"/>
        </w:rPr>
        <w:t xml:space="preserve">, and this has undermined the coherency of the Programme and resulted in confusion regarding </w:t>
      </w:r>
      <w:r w:rsidRPr="000F5A61">
        <w:rPr>
          <w:rFonts w:ascii="Arial" w:hAnsi="Arial" w:cs="Arial"/>
          <w:sz w:val="20"/>
          <w:szCs w:val="20"/>
        </w:rPr>
        <w:t xml:space="preserve">roles and responsibilities </w:t>
      </w:r>
      <w:r w:rsidR="00377B36" w:rsidRPr="000F5A61">
        <w:rPr>
          <w:rFonts w:ascii="Arial" w:hAnsi="Arial" w:cs="Arial"/>
          <w:sz w:val="20"/>
          <w:szCs w:val="20"/>
        </w:rPr>
        <w:t xml:space="preserve">of staff </w:t>
      </w:r>
      <w:r w:rsidRPr="000F5A61">
        <w:rPr>
          <w:rFonts w:ascii="Arial" w:hAnsi="Arial" w:cs="Arial"/>
          <w:sz w:val="20"/>
          <w:szCs w:val="20"/>
        </w:rPr>
        <w:t xml:space="preserve">in </w:t>
      </w:r>
      <w:r w:rsidR="00377B36" w:rsidRPr="000F5A61">
        <w:rPr>
          <w:rFonts w:ascii="Arial" w:hAnsi="Arial" w:cs="Arial"/>
          <w:sz w:val="20"/>
          <w:szCs w:val="20"/>
        </w:rPr>
        <w:t xml:space="preserve">the new </w:t>
      </w:r>
      <w:r w:rsidRPr="000F5A61">
        <w:rPr>
          <w:rFonts w:ascii="Arial" w:hAnsi="Arial" w:cs="Arial"/>
          <w:sz w:val="20"/>
          <w:szCs w:val="20"/>
        </w:rPr>
        <w:t>elimination</w:t>
      </w:r>
      <w:r w:rsidR="00377B36" w:rsidRPr="000F5A61">
        <w:rPr>
          <w:rFonts w:ascii="Arial" w:hAnsi="Arial" w:cs="Arial"/>
          <w:sz w:val="20"/>
          <w:szCs w:val="20"/>
        </w:rPr>
        <w:t xml:space="preserve"> setting</w:t>
      </w:r>
      <w:r w:rsidRPr="000F5A61">
        <w:rPr>
          <w:rFonts w:ascii="Arial" w:hAnsi="Arial" w:cs="Arial"/>
          <w:sz w:val="20"/>
          <w:szCs w:val="20"/>
        </w:rPr>
        <w:t xml:space="preserve">. </w:t>
      </w:r>
      <w:r w:rsidR="00377B36" w:rsidRPr="000F5A61">
        <w:rPr>
          <w:rFonts w:ascii="Arial" w:hAnsi="Arial" w:cs="Arial"/>
          <w:sz w:val="20"/>
          <w:szCs w:val="20"/>
        </w:rPr>
        <w:t>Proper dissemination will be prioritised under the new grant in support of Programme reorientation efforts.</w:t>
      </w:r>
    </w:p>
    <w:p w:rsidR="00D57D47" w:rsidRPr="000F5A61" w:rsidRDefault="00636EC7" w:rsidP="00D57D47">
      <w:pPr>
        <w:rPr>
          <w:rFonts w:ascii="Arial" w:hAnsi="Arial" w:cs="Arial"/>
          <w:sz w:val="20"/>
          <w:szCs w:val="20"/>
          <w:lang w:val="en-US"/>
        </w:rPr>
      </w:pPr>
      <w:r w:rsidRPr="000F5A61">
        <w:rPr>
          <w:rFonts w:ascii="Arial" w:hAnsi="Arial" w:cs="Arial"/>
          <w:sz w:val="20"/>
          <w:szCs w:val="20"/>
          <w:lang w:val="en-US"/>
        </w:rPr>
        <w:t xml:space="preserve">The functionality of the TWG has been sub-optimal to date. </w:t>
      </w:r>
      <w:r w:rsidR="00F715ED" w:rsidRPr="000F5A61">
        <w:rPr>
          <w:rFonts w:ascii="Arial" w:hAnsi="Arial" w:cs="Arial"/>
          <w:sz w:val="20"/>
          <w:szCs w:val="20"/>
          <w:lang w:val="en-US"/>
        </w:rPr>
        <w:t xml:space="preserve">This will be addressed through the development of </w:t>
      </w:r>
      <w:r w:rsidRPr="000F5A61">
        <w:rPr>
          <w:rFonts w:ascii="Arial" w:hAnsi="Arial" w:cs="Arial"/>
          <w:sz w:val="20"/>
          <w:szCs w:val="20"/>
          <w:lang w:val="en-US"/>
        </w:rPr>
        <w:t xml:space="preserve">ToRs, </w:t>
      </w:r>
      <w:r w:rsidR="00F715ED" w:rsidRPr="000F5A61">
        <w:rPr>
          <w:rFonts w:ascii="Arial" w:hAnsi="Arial" w:cs="Arial"/>
          <w:sz w:val="20"/>
          <w:szCs w:val="20"/>
          <w:lang w:val="en-US"/>
        </w:rPr>
        <w:t xml:space="preserve">the introduction of </w:t>
      </w:r>
      <w:r w:rsidRPr="000F5A61">
        <w:rPr>
          <w:rFonts w:ascii="Arial" w:hAnsi="Arial" w:cs="Arial"/>
          <w:sz w:val="20"/>
          <w:szCs w:val="20"/>
          <w:lang w:val="en-US"/>
        </w:rPr>
        <w:t xml:space="preserve">regular as well as </w:t>
      </w:r>
      <w:r w:rsidRPr="000F5A61">
        <w:rPr>
          <w:rFonts w:ascii="Arial" w:hAnsi="Arial" w:cs="Arial"/>
          <w:i/>
          <w:sz w:val="20"/>
          <w:szCs w:val="20"/>
          <w:lang w:val="en-US"/>
        </w:rPr>
        <w:t>ad hoc</w:t>
      </w:r>
      <w:r w:rsidRPr="000F5A61">
        <w:rPr>
          <w:rFonts w:ascii="Arial" w:hAnsi="Arial" w:cs="Arial"/>
          <w:sz w:val="20"/>
          <w:szCs w:val="20"/>
          <w:lang w:val="en-US"/>
        </w:rPr>
        <w:t xml:space="preserve"> meetings and the recruitment of new and active members</w:t>
      </w:r>
      <w:r w:rsidR="00F715ED" w:rsidRPr="000F5A61">
        <w:rPr>
          <w:rFonts w:ascii="Arial" w:hAnsi="Arial" w:cs="Arial"/>
          <w:sz w:val="20"/>
          <w:szCs w:val="20"/>
          <w:lang w:val="en-US"/>
        </w:rPr>
        <w:t xml:space="preserve"> to reinvigorate the group</w:t>
      </w:r>
      <w:r w:rsidRPr="000F5A61">
        <w:rPr>
          <w:rFonts w:ascii="Arial" w:hAnsi="Arial" w:cs="Arial"/>
          <w:sz w:val="20"/>
          <w:szCs w:val="20"/>
          <w:lang w:val="en-US"/>
        </w:rPr>
        <w:t>.</w:t>
      </w:r>
    </w:p>
    <w:p w:rsidR="00D57D47" w:rsidRPr="000F5A61" w:rsidRDefault="00340ABB" w:rsidP="00340ABB">
      <w:pPr>
        <w:rPr>
          <w:rFonts w:ascii="Arial" w:hAnsi="Arial" w:cs="Arial"/>
          <w:b/>
          <w:i/>
          <w:sz w:val="20"/>
          <w:szCs w:val="20"/>
          <w:lang w:val="en-US"/>
        </w:rPr>
      </w:pPr>
      <w:r w:rsidRPr="000F5A61">
        <w:rPr>
          <w:rFonts w:ascii="Arial" w:hAnsi="Arial" w:cs="Arial"/>
          <w:b/>
          <w:i/>
          <w:sz w:val="20"/>
          <w:szCs w:val="20"/>
          <w:lang w:val="en-US"/>
        </w:rPr>
        <w:t xml:space="preserve">b). </w:t>
      </w:r>
      <w:r w:rsidR="00D57D47" w:rsidRPr="000F5A61">
        <w:rPr>
          <w:rFonts w:ascii="Arial" w:hAnsi="Arial" w:cs="Arial"/>
          <w:b/>
          <w:i/>
          <w:sz w:val="20"/>
          <w:szCs w:val="20"/>
          <w:lang w:val="en-US"/>
        </w:rPr>
        <w:t>Include lessons-learned from specific HSS grants or any HSS investments embedded in the disease-specific grant(s) from the 2014-16 allocation period as applicable</w:t>
      </w:r>
    </w:p>
    <w:p w:rsidR="00B827FD" w:rsidRPr="000F5A61" w:rsidRDefault="009A1DD4" w:rsidP="0063035D">
      <w:pPr>
        <w:rPr>
          <w:rFonts w:ascii="Arial" w:hAnsi="Arial" w:cs="Arial"/>
          <w:sz w:val="20"/>
          <w:szCs w:val="20"/>
        </w:rPr>
      </w:pPr>
      <w:r w:rsidRPr="000F5A61">
        <w:rPr>
          <w:rFonts w:ascii="Arial" w:hAnsi="Arial" w:cs="Arial"/>
          <w:sz w:val="20"/>
          <w:szCs w:val="20"/>
        </w:rPr>
        <w:t>H</w:t>
      </w:r>
      <w:r w:rsidR="00D57D47" w:rsidRPr="000F5A61">
        <w:rPr>
          <w:rFonts w:ascii="Arial" w:hAnsi="Arial" w:cs="Arial"/>
          <w:sz w:val="20"/>
          <w:szCs w:val="20"/>
        </w:rPr>
        <w:t xml:space="preserve">uman resource capacity development </w:t>
      </w:r>
      <w:r w:rsidRPr="000F5A61">
        <w:rPr>
          <w:rFonts w:ascii="Arial" w:hAnsi="Arial" w:cs="Arial"/>
          <w:sz w:val="20"/>
          <w:szCs w:val="20"/>
        </w:rPr>
        <w:t xml:space="preserve">has been adversely </w:t>
      </w:r>
      <w:r w:rsidR="00D57D47" w:rsidRPr="000F5A61">
        <w:rPr>
          <w:rFonts w:ascii="Arial" w:hAnsi="Arial" w:cs="Arial"/>
          <w:sz w:val="20"/>
          <w:szCs w:val="20"/>
        </w:rPr>
        <w:t xml:space="preserve">affected by </w:t>
      </w:r>
      <w:r w:rsidRPr="000F5A61">
        <w:rPr>
          <w:rFonts w:ascii="Arial" w:hAnsi="Arial" w:cs="Arial"/>
          <w:sz w:val="20"/>
          <w:szCs w:val="20"/>
        </w:rPr>
        <w:t xml:space="preserve">the </w:t>
      </w:r>
      <w:r w:rsidR="00D57D47" w:rsidRPr="000F5A61">
        <w:rPr>
          <w:rFonts w:ascii="Arial" w:hAnsi="Arial" w:cs="Arial"/>
          <w:sz w:val="20"/>
          <w:szCs w:val="20"/>
        </w:rPr>
        <w:t xml:space="preserve">constant transfer of key personnel at </w:t>
      </w:r>
      <w:r w:rsidR="00A235D9" w:rsidRPr="000F5A61">
        <w:rPr>
          <w:rFonts w:ascii="Arial" w:hAnsi="Arial" w:cs="Arial"/>
          <w:sz w:val="20"/>
          <w:szCs w:val="20"/>
        </w:rPr>
        <w:t>all</w:t>
      </w:r>
      <w:r w:rsidRPr="000F5A61">
        <w:rPr>
          <w:rFonts w:ascii="Arial" w:hAnsi="Arial" w:cs="Arial"/>
          <w:sz w:val="20"/>
          <w:szCs w:val="20"/>
        </w:rPr>
        <w:t xml:space="preserve"> levels</w:t>
      </w:r>
      <w:r w:rsidR="00C8373E" w:rsidRPr="000F5A61">
        <w:rPr>
          <w:rStyle w:val="FootnoteReference"/>
          <w:rFonts w:ascii="Arial" w:hAnsi="Arial" w:cs="Arial"/>
          <w:sz w:val="20"/>
          <w:szCs w:val="20"/>
        </w:rPr>
        <w:footnoteReference w:id="12"/>
      </w:r>
      <w:r w:rsidR="00D57D47" w:rsidRPr="000F5A61">
        <w:rPr>
          <w:rFonts w:ascii="Arial" w:hAnsi="Arial" w:cs="Arial"/>
          <w:sz w:val="20"/>
          <w:szCs w:val="20"/>
        </w:rPr>
        <w:t>. New personnel nee</w:t>
      </w:r>
      <w:r w:rsidR="00B827FD" w:rsidRPr="000F5A61">
        <w:rPr>
          <w:rFonts w:ascii="Arial" w:hAnsi="Arial" w:cs="Arial"/>
          <w:sz w:val="20"/>
          <w:szCs w:val="20"/>
        </w:rPr>
        <w:t>d</w:t>
      </w:r>
      <w:r w:rsidR="00D57D47" w:rsidRPr="000F5A61">
        <w:rPr>
          <w:rFonts w:ascii="Arial" w:hAnsi="Arial" w:cs="Arial"/>
          <w:sz w:val="20"/>
          <w:szCs w:val="20"/>
        </w:rPr>
        <w:t xml:space="preserve"> time to adjust and understand the disease, </w:t>
      </w:r>
      <w:r w:rsidRPr="000F5A61">
        <w:rPr>
          <w:rFonts w:ascii="Arial" w:hAnsi="Arial" w:cs="Arial"/>
          <w:sz w:val="20"/>
          <w:szCs w:val="20"/>
        </w:rPr>
        <w:t xml:space="preserve">the </w:t>
      </w:r>
      <w:r w:rsidR="00803A71" w:rsidRPr="000F5A61">
        <w:rPr>
          <w:rFonts w:ascii="Arial" w:hAnsi="Arial" w:cs="Arial"/>
          <w:sz w:val="20"/>
          <w:szCs w:val="20"/>
        </w:rPr>
        <w:t xml:space="preserve">Programme </w:t>
      </w:r>
      <w:r w:rsidR="00D57D47" w:rsidRPr="000F5A61">
        <w:rPr>
          <w:rFonts w:ascii="Arial" w:hAnsi="Arial" w:cs="Arial"/>
          <w:sz w:val="20"/>
          <w:szCs w:val="20"/>
        </w:rPr>
        <w:t xml:space="preserve">and </w:t>
      </w:r>
      <w:r w:rsidRPr="000F5A61">
        <w:rPr>
          <w:rFonts w:ascii="Arial" w:hAnsi="Arial" w:cs="Arial"/>
          <w:sz w:val="20"/>
          <w:szCs w:val="20"/>
        </w:rPr>
        <w:t>their responsibilities</w:t>
      </w:r>
      <w:r w:rsidR="00D57D47" w:rsidRPr="000F5A61">
        <w:rPr>
          <w:rFonts w:ascii="Arial" w:hAnsi="Arial" w:cs="Arial"/>
          <w:sz w:val="20"/>
          <w:szCs w:val="20"/>
        </w:rPr>
        <w:t xml:space="preserve">. </w:t>
      </w:r>
      <w:r w:rsidR="00A235D9" w:rsidRPr="000F5A61">
        <w:rPr>
          <w:rFonts w:ascii="Arial" w:hAnsi="Arial" w:cs="Arial"/>
          <w:sz w:val="20"/>
          <w:szCs w:val="20"/>
        </w:rPr>
        <w:t>EDCD will lobby MoH to minimize the number of staff transfers but some transfers will be unavoidable and so on</w:t>
      </w:r>
      <w:r w:rsidR="00B827FD" w:rsidRPr="000F5A61">
        <w:rPr>
          <w:rFonts w:ascii="Arial" w:hAnsi="Arial" w:cs="Arial"/>
          <w:sz w:val="20"/>
          <w:szCs w:val="20"/>
        </w:rPr>
        <w:t>-</w:t>
      </w:r>
      <w:r w:rsidRPr="000F5A61">
        <w:rPr>
          <w:rFonts w:ascii="Arial" w:hAnsi="Arial" w:cs="Arial"/>
          <w:sz w:val="20"/>
          <w:szCs w:val="20"/>
        </w:rPr>
        <w:t xml:space="preserve">going training </w:t>
      </w:r>
      <w:r w:rsidR="00D57D47" w:rsidRPr="000F5A61">
        <w:rPr>
          <w:rFonts w:ascii="Arial" w:hAnsi="Arial" w:cs="Arial"/>
          <w:sz w:val="20"/>
          <w:szCs w:val="20"/>
        </w:rPr>
        <w:t xml:space="preserve">on </w:t>
      </w:r>
      <w:r w:rsidR="00C8373E" w:rsidRPr="000F5A61">
        <w:rPr>
          <w:rFonts w:ascii="Arial" w:hAnsi="Arial" w:cs="Arial"/>
          <w:sz w:val="20"/>
          <w:szCs w:val="20"/>
        </w:rPr>
        <w:t>GFATM</w:t>
      </w:r>
      <w:r w:rsidR="00D57D47" w:rsidRPr="000F5A61">
        <w:rPr>
          <w:rFonts w:ascii="Arial" w:hAnsi="Arial" w:cs="Arial"/>
          <w:sz w:val="20"/>
          <w:szCs w:val="20"/>
        </w:rPr>
        <w:t xml:space="preserve"> related </w:t>
      </w:r>
      <w:r w:rsidR="00B827FD" w:rsidRPr="000F5A61">
        <w:rPr>
          <w:rFonts w:ascii="Arial" w:hAnsi="Arial" w:cs="Arial"/>
          <w:sz w:val="20"/>
          <w:szCs w:val="20"/>
        </w:rPr>
        <w:t xml:space="preserve">requirements </w:t>
      </w:r>
      <w:r w:rsidR="00A235D9" w:rsidRPr="000F5A61">
        <w:rPr>
          <w:rFonts w:ascii="Arial" w:hAnsi="Arial" w:cs="Arial"/>
          <w:sz w:val="20"/>
          <w:szCs w:val="20"/>
        </w:rPr>
        <w:t xml:space="preserve">will be </w:t>
      </w:r>
      <w:r w:rsidR="00B34F95" w:rsidRPr="000F5A61">
        <w:rPr>
          <w:rFonts w:ascii="Arial" w:hAnsi="Arial" w:cs="Arial"/>
          <w:sz w:val="20"/>
          <w:szCs w:val="20"/>
        </w:rPr>
        <w:t>needed</w:t>
      </w:r>
      <w:r w:rsidR="00B827FD" w:rsidRPr="000F5A61">
        <w:rPr>
          <w:rFonts w:ascii="Arial" w:hAnsi="Arial" w:cs="Arial"/>
          <w:sz w:val="20"/>
          <w:szCs w:val="20"/>
        </w:rPr>
        <w:t>.</w:t>
      </w:r>
    </w:p>
    <w:p w:rsidR="001A4E6B" w:rsidRPr="000F5A61" w:rsidRDefault="001A4E6B" w:rsidP="0063035D">
      <w:pPr>
        <w:rPr>
          <w:rFonts w:ascii="Arial" w:hAnsi="Arial" w:cs="Arial"/>
          <w:sz w:val="20"/>
          <w:szCs w:val="20"/>
        </w:rPr>
      </w:pPr>
      <w:r w:rsidRPr="000F5A61">
        <w:rPr>
          <w:rFonts w:ascii="Arial" w:hAnsi="Arial" w:cs="Arial"/>
          <w:sz w:val="20"/>
          <w:szCs w:val="20"/>
        </w:rPr>
        <w:t xml:space="preserve">As identified in the recent MPR, there is a critical lack of entomological support for </w:t>
      </w:r>
      <w:r w:rsidR="00B34F95" w:rsidRPr="000F5A61">
        <w:rPr>
          <w:rFonts w:ascii="Arial" w:hAnsi="Arial" w:cs="Arial"/>
          <w:sz w:val="20"/>
          <w:szCs w:val="20"/>
        </w:rPr>
        <w:t xml:space="preserve">the </w:t>
      </w:r>
      <w:r w:rsidRPr="000F5A61">
        <w:rPr>
          <w:rFonts w:ascii="Arial" w:hAnsi="Arial" w:cs="Arial"/>
          <w:sz w:val="20"/>
          <w:szCs w:val="20"/>
        </w:rPr>
        <w:t xml:space="preserve">Programme. </w:t>
      </w:r>
      <w:r w:rsidR="00C063F0" w:rsidRPr="000F5A61">
        <w:rPr>
          <w:rFonts w:ascii="Arial" w:hAnsi="Arial" w:cs="Arial"/>
          <w:sz w:val="20"/>
          <w:szCs w:val="20"/>
        </w:rPr>
        <w:t xml:space="preserve">Efforts </w:t>
      </w:r>
      <w:r w:rsidRPr="000F5A61">
        <w:rPr>
          <w:rFonts w:ascii="Arial" w:hAnsi="Arial" w:cs="Arial"/>
          <w:sz w:val="20"/>
          <w:szCs w:val="20"/>
        </w:rPr>
        <w:t xml:space="preserve">are now underway to strengthen the entomological component through training. Further training is planned under the new grant. </w:t>
      </w:r>
    </w:p>
    <w:p w:rsidR="004C7AF2" w:rsidRPr="000F5A61" w:rsidRDefault="004C7AF2" w:rsidP="00E630C4">
      <w:pPr>
        <w:widowControl w:val="0"/>
        <w:autoSpaceDE w:val="0"/>
        <w:autoSpaceDN w:val="0"/>
        <w:adjustRightInd w:val="0"/>
        <w:spacing w:after="0" w:line="240" w:lineRule="auto"/>
        <w:rPr>
          <w:rFonts w:ascii="Arial" w:hAnsi="Arial" w:cs="Arial"/>
          <w:sz w:val="20"/>
          <w:szCs w:val="20"/>
          <w:lang w:val="en-US"/>
        </w:rPr>
      </w:pPr>
      <w:r w:rsidRPr="000F5A61">
        <w:rPr>
          <w:rFonts w:ascii="Arial" w:hAnsi="Arial" w:cs="Arial"/>
          <w:sz w:val="20"/>
          <w:szCs w:val="20"/>
          <w:lang w:val="en-US"/>
        </w:rPr>
        <w:t xml:space="preserve">Medicine and health commodities waste management has been a chronic challenge </w:t>
      </w:r>
      <w:r w:rsidR="00E630C4" w:rsidRPr="000F5A61">
        <w:rPr>
          <w:rFonts w:ascii="Arial" w:hAnsi="Arial" w:cs="Arial"/>
          <w:sz w:val="20"/>
          <w:szCs w:val="20"/>
          <w:lang w:val="en-US"/>
        </w:rPr>
        <w:t xml:space="preserve">in Nepal </w:t>
      </w:r>
      <w:r w:rsidR="00DC1AE9" w:rsidRPr="000F5A61">
        <w:rPr>
          <w:rFonts w:ascii="Arial" w:hAnsi="Arial" w:cs="Arial"/>
          <w:sz w:val="20"/>
          <w:szCs w:val="20"/>
          <w:lang w:val="en-US"/>
        </w:rPr>
        <w:t xml:space="preserve">and </w:t>
      </w:r>
      <w:r w:rsidRPr="000F5A61">
        <w:rPr>
          <w:rFonts w:ascii="Arial" w:hAnsi="Arial" w:cs="Arial"/>
          <w:sz w:val="20"/>
          <w:szCs w:val="20"/>
          <w:lang w:val="en-US"/>
        </w:rPr>
        <w:t xml:space="preserve">piles of unusable </w:t>
      </w:r>
      <w:r w:rsidR="00E630C4" w:rsidRPr="000F5A61">
        <w:rPr>
          <w:rFonts w:ascii="Arial" w:hAnsi="Arial" w:cs="Arial"/>
          <w:sz w:val="20"/>
          <w:szCs w:val="20"/>
          <w:lang w:val="en-US"/>
        </w:rPr>
        <w:t>stocks</w:t>
      </w:r>
      <w:r w:rsidRPr="000F5A61">
        <w:rPr>
          <w:rFonts w:ascii="Arial" w:hAnsi="Arial" w:cs="Arial"/>
          <w:sz w:val="20"/>
          <w:szCs w:val="20"/>
          <w:lang w:val="en-US"/>
        </w:rPr>
        <w:t xml:space="preserve"> at </w:t>
      </w:r>
      <w:r w:rsidR="00066729" w:rsidRPr="000F5A61">
        <w:rPr>
          <w:rFonts w:ascii="Arial" w:hAnsi="Arial" w:cs="Arial"/>
          <w:sz w:val="20"/>
          <w:szCs w:val="20"/>
          <w:lang w:val="en-US"/>
        </w:rPr>
        <w:t>District</w:t>
      </w:r>
      <w:r w:rsidR="00DC1AE9" w:rsidRPr="000F5A61">
        <w:rPr>
          <w:rFonts w:ascii="Arial" w:hAnsi="Arial" w:cs="Arial"/>
          <w:sz w:val="20"/>
          <w:szCs w:val="20"/>
          <w:lang w:val="en-US"/>
        </w:rPr>
        <w:t xml:space="preserve">warehouses </w:t>
      </w:r>
      <w:r w:rsidR="00E630C4" w:rsidRPr="000F5A61">
        <w:rPr>
          <w:rFonts w:ascii="Arial" w:hAnsi="Arial" w:cs="Arial"/>
          <w:sz w:val="20"/>
          <w:szCs w:val="20"/>
          <w:lang w:val="en-US"/>
        </w:rPr>
        <w:t xml:space="preserve">and peripheral stores </w:t>
      </w:r>
      <w:r w:rsidR="00DC1AE9" w:rsidRPr="000F5A61">
        <w:rPr>
          <w:rFonts w:ascii="Arial" w:hAnsi="Arial" w:cs="Arial"/>
          <w:sz w:val="20"/>
          <w:szCs w:val="20"/>
          <w:lang w:val="en-US"/>
        </w:rPr>
        <w:t xml:space="preserve">now </w:t>
      </w:r>
      <w:r w:rsidRPr="000F5A61">
        <w:rPr>
          <w:rFonts w:ascii="Arial" w:hAnsi="Arial" w:cs="Arial"/>
          <w:sz w:val="20"/>
          <w:szCs w:val="20"/>
          <w:lang w:val="en-US"/>
        </w:rPr>
        <w:t>unnecessarily occupy limited storage space</w:t>
      </w:r>
      <w:r w:rsidR="00DC1AE9" w:rsidRPr="000F5A61">
        <w:rPr>
          <w:rFonts w:ascii="Arial" w:hAnsi="Arial" w:cs="Arial"/>
          <w:sz w:val="20"/>
          <w:szCs w:val="20"/>
          <w:lang w:val="en-US"/>
        </w:rPr>
        <w:t xml:space="preserve">. </w:t>
      </w:r>
      <w:r w:rsidR="00C8373E" w:rsidRPr="000F5A61">
        <w:rPr>
          <w:rFonts w:ascii="Arial" w:hAnsi="Arial" w:cs="Arial"/>
          <w:sz w:val="20"/>
          <w:szCs w:val="20"/>
          <w:lang w:val="en-US"/>
        </w:rPr>
        <w:t>This matter is now being addressed</w:t>
      </w:r>
      <w:r w:rsidR="00C8373E" w:rsidRPr="000F5A61">
        <w:rPr>
          <w:rStyle w:val="FootnoteReference"/>
          <w:rFonts w:ascii="Arial" w:hAnsi="Arial" w:cs="Arial"/>
          <w:sz w:val="20"/>
          <w:szCs w:val="20"/>
          <w:lang w:val="en-US"/>
        </w:rPr>
        <w:footnoteReference w:id="13"/>
      </w:r>
      <w:r w:rsidR="00C8373E" w:rsidRPr="000F5A61">
        <w:rPr>
          <w:rFonts w:ascii="Arial" w:hAnsi="Arial" w:cs="Arial"/>
          <w:sz w:val="20"/>
          <w:szCs w:val="20"/>
          <w:lang w:val="en-US"/>
        </w:rPr>
        <w:t xml:space="preserve">. </w:t>
      </w:r>
      <w:r w:rsidRPr="000F5A61">
        <w:rPr>
          <w:rFonts w:ascii="Arial" w:hAnsi="Arial" w:cs="Arial"/>
          <w:sz w:val="20"/>
          <w:szCs w:val="20"/>
          <w:lang w:val="en-US"/>
        </w:rPr>
        <w:t>In future</w:t>
      </w:r>
      <w:r w:rsidR="00E630C4" w:rsidRPr="000F5A61">
        <w:rPr>
          <w:rFonts w:ascii="Arial" w:hAnsi="Arial" w:cs="Arial"/>
          <w:sz w:val="20"/>
          <w:szCs w:val="20"/>
          <w:lang w:val="en-US"/>
        </w:rPr>
        <w:t xml:space="preserve"> the newly established logistics management information system (LMIS),</w:t>
      </w:r>
      <w:r w:rsidR="00DC1AE9" w:rsidRPr="000F5A61">
        <w:rPr>
          <w:rFonts w:ascii="Arial" w:hAnsi="Arial" w:cs="Arial"/>
          <w:sz w:val="20"/>
          <w:szCs w:val="20"/>
          <w:lang w:val="en-US"/>
        </w:rPr>
        <w:t xml:space="preserve">improved </w:t>
      </w:r>
      <w:r w:rsidRPr="000F5A61">
        <w:rPr>
          <w:rFonts w:ascii="Arial" w:hAnsi="Arial" w:cs="Arial"/>
          <w:sz w:val="20"/>
          <w:szCs w:val="20"/>
          <w:lang w:val="en-US"/>
        </w:rPr>
        <w:t xml:space="preserve">quantification </w:t>
      </w:r>
      <w:r w:rsidR="00E630C4" w:rsidRPr="000F5A61">
        <w:rPr>
          <w:rFonts w:ascii="Arial" w:hAnsi="Arial" w:cs="Arial"/>
          <w:sz w:val="20"/>
          <w:szCs w:val="20"/>
          <w:lang w:val="en-US"/>
        </w:rPr>
        <w:t xml:space="preserve">of drug and commodity requirements </w:t>
      </w:r>
      <w:r w:rsidRPr="000F5A61">
        <w:rPr>
          <w:rFonts w:ascii="Arial" w:hAnsi="Arial" w:cs="Arial"/>
          <w:sz w:val="20"/>
          <w:szCs w:val="20"/>
          <w:lang w:val="en-US"/>
        </w:rPr>
        <w:t xml:space="preserve">and </w:t>
      </w:r>
      <w:r w:rsidR="00E630C4" w:rsidRPr="000F5A61">
        <w:rPr>
          <w:rFonts w:ascii="Arial" w:hAnsi="Arial" w:cs="Arial"/>
          <w:sz w:val="20"/>
          <w:szCs w:val="20"/>
          <w:lang w:val="en-US"/>
        </w:rPr>
        <w:t xml:space="preserve">effective </w:t>
      </w:r>
      <w:r w:rsidR="00DC1AE9" w:rsidRPr="000F5A61">
        <w:rPr>
          <w:rFonts w:ascii="Arial" w:hAnsi="Arial" w:cs="Arial"/>
          <w:sz w:val="20"/>
          <w:szCs w:val="20"/>
          <w:lang w:val="en-US"/>
        </w:rPr>
        <w:t xml:space="preserve">stock rotation </w:t>
      </w:r>
      <w:r w:rsidR="00E630C4" w:rsidRPr="000F5A61">
        <w:rPr>
          <w:rFonts w:ascii="Arial" w:hAnsi="Arial" w:cs="Arial"/>
          <w:sz w:val="20"/>
          <w:szCs w:val="20"/>
          <w:lang w:val="en-US"/>
        </w:rPr>
        <w:t>should</w:t>
      </w:r>
      <w:r w:rsidR="00DC1AE9" w:rsidRPr="000F5A61">
        <w:rPr>
          <w:rFonts w:ascii="Arial" w:hAnsi="Arial" w:cs="Arial"/>
          <w:sz w:val="20"/>
          <w:szCs w:val="20"/>
          <w:lang w:val="en-US"/>
        </w:rPr>
        <w:t xml:space="preserve"> minimize </w:t>
      </w:r>
      <w:r w:rsidRPr="000F5A61">
        <w:rPr>
          <w:rFonts w:ascii="Arial" w:hAnsi="Arial" w:cs="Arial"/>
          <w:sz w:val="20"/>
          <w:szCs w:val="20"/>
          <w:lang w:val="en-US"/>
        </w:rPr>
        <w:t>expiries.</w:t>
      </w:r>
    </w:p>
    <w:p w:rsidR="004C7AF2" w:rsidRPr="000F5A61" w:rsidRDefault="004C7AF2" w:rsidP="00E630C4">
      <w:pPr>
        <w:rPr>
          <w:rFonts w:ascii="Arial" w:hAnsi="Arial" w:cs="Arial"/>
          <w:sz w:val="20"/>
          <w:szCs w:val="20"/>
        </w:rPr>
      </w:pPr>
    </w:p>
    <w:p w:rsidR="00D57D47" w:rsidRPr="000F5A61" w:rsidRDefault="00340ABB" w:rsidP="00340ABB">
      <w:pPr>
        <w:rPr>
          <w:rFonts w:ascii="Arial" w:hAnsi="Arial" w:cs="Arial"/>
          <w:b/>
          <w:sz w:val="20"/>
          <w:szCs w:val="20"/>
          <w:lang w:val="en-US"/>
        </w:rPr>
      </w:pPr>
      <w:r w:rsidRPr="000F5A61">
        <w:rPr>
          <w:rFonts w:ascii="Arial" w:hAnsi="Arial" w:cs="Arial"/>
          <w:b/>
          <w:sz w:val="20"/>
          <w:szCs w:val="20"/>
          <w:lang w:val="en-US"/>
        </w:rPr>
        <w:t xml:space="preserve">c). </w:t>
      </w:r>
      <w:r w:rsidR="00D57D47" w:rsidRPr="000F5A61">
        <w:rPr>
          <w:rFonts w:ascii="Arial" w:hAnsi="Arial" w:cs="Arial"/>
          <w:b/>
          <w:sz w:val="20"/>
          <w:szCs w:val="20"/>
          <w:lang w:val="en-US"/>
        </w:rPr>
        <w:t xml:space="preserve">Outline lessons learned from investments by other donors as applicable. </w:t>
      </w:r>
    </w:p>
    <w:p w:rsidR="009F0D74" w:rsidRPr="000F5A61" w:rsidRDefault="009F0D74" w:rsidP="00E630C4">
      <w:pPr>
        <w:rPr>
          <w:rFonts w:ascii="Arial" w:hAnsi="Arial" w:cs="Arial"/>
          <w:sz w:val="20"/>
          <w:szCs w:val="20"/>
        </w:rPr>
      </w:pPr>
      <w:r w:rsidRPr="000F5A61">
        <w:rPr>
          <w:rFonts w:ascii="Arial" w:hAnsi="Arial" w:cs="Arial"/>
          <w:sz w:val="20"/>
          <w:szCs w:val="20"/>
        </w:rPr>
        <w:t>Bill and Melinda Gates Foundation</w:t>
      </w:r>
      <w:r w:rsidR="00902BB1" w:rsidRPr="000F5A61">
        <w:rPr>
          <w:rFonts w:ascii="Arial" w:hAnsi="Arial" w:cs="Arial"/>
          <w:sz w:val="20"/>
          <w:szCs w:val="20"/>
          <w:lang w:val="en-US"/>
        </w:rPr>
        <w:t>(</w:t>
      </w:r>
      <w:r w:rsidR="00845D37" w:rsidRPr="000F5A61">
        <w:rPr>
          <w:rFonts w:ascii="Arial" w:hAnsi="Arial" w:cs="Arial"/>
          <w:sz w:val="20"/>
          <w:szCs w:val="20"/>
          <w:lang w:val="en-US"/>
        </w:rPr>
        <w:t>~</w:t>
      </w:r>
      <w:r w:rsidR="00902BB1" w:rsidRPr="000F5A61">
        <w:rPr>
          <w:rFonts w:ascii="Arial" w:hAnsi="Arial" w:cs="Arial"/>
          <w:sz w:val="20"/>
          <w:szCs w:val="20"/>
          <w:lang w:val="en-US"/>
        </w:rPr>
        <w:t>US$</w:t>
      </w:r>
      <w:r w:rsidR="00845D37" w:rsidRPr="000F5A61">
        <w:rPr>
          <w:rFonts w:ascii="Arial" w:hAnsi="Arial" w:cs="Arial"/>
          <w:sz w:val="20"/>
          <w:szCs w:val="20"/>
          <w:lang w:val="en-US"/>
        </w:rPr>
        <w:t>150,000</w:t>
      </w:r>
      <w:r w:rsidR="00902BB1" w:rsidRPr="000F5A61">
        <w:rPr>
          <w:rFonts w:ascii="Arial" w:hAnsi="Arial" w:cs="Arial"/>
          <w:sz w:val="20"/>
          <w:szCs w:val="20"/>
          <w:lang w:val="en-US"/>
        </w:rPr>
        <w:t xml:space="preserve"> annually): A study of migration in relation to malaria in 3 far western </w:t>
      </w:r>
      <w:r w:rsidR="00066729" w:rsidRPr="000F5A61">
        <w:rPr>
          <w:rFonts w:ascii="Arial" w:hAnsi="Arial" w:cs="Arial"/>
          <w:sz w:val="20"/>
          <w:szCs w:val="20"/>
          <w:lang w:val="en-US"/>
        </w:rPr>
        <w:t>District</w:t>
      </w:r>
      <w:r w:rsidR="00902BB1" w:rsidRPr="000F5A61">
        <w:rPr>
          <w:rFonts w:ascii="Arial" w:hAnsi="Arial" w:cs="Arial"/>
          <w:sz w:val="20"/>
          <w:szCs w:val="20"/>
          <w:lang w:val="en-US"/>
        </w:rPr>
        <w:t>s has revealed a wealth on information, which will be used to improve the targeting of interventions for this key risk group (see ‘Population at risk’ in section 1.2).</w:t>
      </w:r>
    </w:p>
    <w:p w:rsidR="00A14D39" w:rsidRPr="000F5A61" w:rsidRDefault="009F0D74" w:rsidP="00A14D39">
      <w:pPr>
        <w:rPr>
          <w:rFonts w:ascii="Arial" w:hAnsi="Arial" w:cs="Arial"/>
          <w:sz w:val="20"/>
          <w:szCs w:val="20"/>
        </w:rPr>
      </w:pPr>
      <w:r w:rsidRPr="000F5A61">
        <w:rPr>
          <w:rFonts w:ascii="Arial" w:hAnsi="Arial" w:cs="Arial"/>
          <w:sz w:val="20"/>
          <w:szCs w:val="20"/>
        </w:rPr>
        <w:t>United States Agency for International Dev</w:t>
      </w:r>
      <w:r w:rsidR="004A63EE" w:rsidRPr="000F5A61">
        <w:rPr>
          <w:rFonts w:ascii="Arial" w:hAnsi="Arial" w:cs="Arial"/>
          <w:sz w:val="20"/>
          <w:szCs w:val="20"/>
        </w:rPr>
        <w:t>e</w:t>
      </w:r>
      <w:r w:rsidRPr="000F5A61">
        <w:rPr>
          <w:rFonts w:ascii="Arial" w:hAnsi="Arial" w:cs="Arial"/>
          <w:sz w:val="20"/>
          <w:szCs w:val="20"/>
        </w:rPr>
        <w:t>lopment</w:t>
      </w:r>
      <w:r w:rsidR="00845D37" w:rsidRPr="000F5A61">
        <w:rPr>
          <w:rFonts w:ascii="Arial" w:hAnsi="Arial" w:cs="Arial"/>
          <w:sz w:val="20"/>
          <w:szCs w:val="20"/>
        </w:rPr>
        <w:t xml:space="preserve">/President’s Malaria Initiative </w:t>
      </w:r>
      <w:r w:rsidR="00902BB1" w:rsidRPr="000F5A61">
        <w:rPr>
          <w:rFonts w:ascii="Arial" w:hAnsi="Arial" w:cs="Arial"/>
          <w:sz w:val="20"/>
          <w:szCs w:val="20"/>
          <w:lang w:val="en-US"/>
        </w:rPr>
        <w:t>(US$</w:t>
      </w:r>
      <w:r w:rsidR="00845D37" w:rsidRPr="000F5A61">
        <w:rPr>
          <w:rFonts w:ascii="Arial" w:hAnsi="Arial" w:cs="Arial"/>
          <w:sz w:val="20"/>
          <w:szCs w:val="20"/>
          <w:lang w:val="en-US"/>
        </w:rPr>
        <w:t>150,000</w:t>
      </w:r>
      <w:r w:rsidR="00902BB1" w:rsidRPr="000F5A61">
        <w:rPr>
          <w:rFonts w:ascii="Arial" w:hAnsi="Arial" w:cs="Arial"/>
          <w:sz w:val="20"/>
          <w:szCs w:val="20"/>
          <w:lang w:val="en-US"/>
        </w:rPr>
        <w:t xml:space="preserve"> annually): </w:t>
      </w:r>
      <w:r w:rsidR="005F21B8" w:rsidRPr="000F5A61">
        <w:rPr>
          <w:rFonts w:ascii="Arial" w:hAnsi="Arial" w:cs="Arial"/>
          <w:sz w:val="20"/>
          <w:szCs w:val="20"/>
        </w:rPr>
        <w:t xml:space="preserve">The </w:t>
      </w:r>
      <w:r w:rsidR="00A14D39" w:rsidRPr="000F5A61">
        <w:rPr>
          <w:rFonts w:ascii="Arial" w:hAnsi="Arial" w:cs="Arial"/>
          <w:sz w:val="20"/>
          <w:szCs w:val="20"/>
        </w:rPr>
        <w:t xml:space="preserve">long-term </w:t>
      </w:r>
      <w:r w:rsidR="005F21B8" w:rsidRPr="000F5A61">
        <w:rPr>
          <w:rFonts w:ascii="Arial" w:hAnsi="Arial" w:cs="Arial"/>
          <w:sz w:val="20"/>
          <w:szCs w:val="20"/>
        </w:rPr>
        <w:t>TA</w:t>
      </w:r>
      <w:r w:rsidR="00A14D39" w:rsidRPr="000F5A61">
        <w:rPr>
          <w:rFonts w:ascii="Arial" w:hAnsi="Arial" w:cs="Arial"/>
          <w:sz w:val="20"/>
          <w:szCs w:val="20"/>
        </w:rPr>
        <w:t xml:space="preserve"> embedded at EDCD has </w:t>
      </w:r>
      <w:r w:rsidR="005F21B8" w:rsidRPr="000F5A61">
        <w:rPr>
          <w:rFonts w:ascii="Arial" w:hAnsi="Arial" w:cs="Arial"/>
          <w:sz w:val="20"/>
          <w:szCs w:val="20"/>
        </w:rPr>
        <w:t>beenkey to</w:t>
      </w:r>
      <w:r w:rsidR="00A14D39" w:rsidRPr="000F5A61">
        <w:rPr>
          <w:rFonts w:ascii="Arial" w:hAnsi="Arial" w:cs="Arial"/>
          <w:sz w:val="20"/>
          <w:szCs w:val="20"/>
        </w:rPr>
        <w:t xml:space="preserve"> build</w:t>
      </w:r>
      <w:r w:rsidR="005F21B8" w:rsidRPr="000F5A61">
        <w:rPr>
          <w:rFonts w:ascii="Arial" w:hAnsi="Arial" w:cs="Arial"/>
          <w:sz w:val="20"/>
          <w:szCs w:val="20"/>
        </w:rPr>
        <w:t xml:space="preserve">ingEDCD/PR </w:t>
      </w:r>
      <w:r w:rsidR="00A14D39" w:rsidRPr="000F5A61">
        <w:rPr>
          <w:rFonts w:ascii="Arial" w:hAnsi="Arial" w:cs="Arial"/>
          <w:sz w:val="20"/>
          <w:szCs w:val="20"/>
        </w:rPr>
        <w:t>capacity</w:t>
      </w:r>
      <w:r w:rsidR="005F21B8" w:rsidRPr="000F5A61">
        <w:rPr>
          <w:rFonts w:ascii="Arial" w:hAnsi="Arial" w:cs="Arial"/>
          <w:sz w:val="20"/>
          <w:szCs w:val="20"/>
        </w:rPr>
        <w:t xml:space="preserve"> and should continue</w:t>
      </w:r>
      <w:r w:rsidR="00A14D39" w:rsidRPr="000F5A61">
        <w:rPr>
          <w:rFonts w:ascii="Arial" w:hAnsi="Arial" w:cs="Arial"/>
          <w:sz w:val="20"/>
          <w:szCs w:val="20"/>
        </w:rPr>
        <w:t>.</w:t>
      </w:r>
    </w:p>
    <w:p w:rsidR="00902BB1" w:rsidRPr="000F5A61" w:rsidRDefault="00902BB1" w:rsidP="004D4599">
      <w:pPr>
        <w:rPr>
          <w:rFonts w:ascii="Arial" w:hAnsi="Arial" w:cs="Arial"/>
          <w:sz w:val="20"/>
          <w:szCs w:val="20"/>
        </w:rPr>
      </w:pPr>
    </w:p>
    <w:p w:rsidR="00FE411C" w:rsidRPr="000F5A61" w:rsidRDefault="00FE411C" w:rsidP="00D57D47">
      <w:pPr>
        <w:ind w:left="284" w:hanging="284"/>
        <w:rPr>
          <w:rFonts w:ascii="Arial" w:hAnsi="Arial" w:cs="Arial"/>
          <w:sz w:val="20"/>
          <w:szCs w:val="20"/>
        </w:rPr>
      </w:pPr>
      <w:r w:rsidRPr="000F5A61">
        <w:rPr>
          <w:rFonts w:ascii="Arial" w:hAnsi="Arial" w:cs="Arial"/>
          <w:sz w:val="20"/>
          <w:szCs w:val="20"/>
        </w:rPr>
        <w:br w:type="page"/>
      </w:r>
    </w:p>
    <w:tbl>
      <w:tblPr>
        <w:tblW w:w="896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A0"/>
      </w:tblPr>
      <w:tblGrid>
        <w:gridCol w:w="8960"/>
      </w:tblGrid>
      <w:tr w:rsidR="00042DCA" w:rsidRPr="000F5A61" w:rsidTr="00401EBB">
        <w:trPr>
          <w:trHeight w:val="332"/>
          <w:jc w:val="center"/>
        </w:trPr>
        <w:tc>
          <w:tcPr>
            <w:tcW w:w="8960" w:type="dxa"/>
            <w:shd w:val="clear" w:color="auto" w:fill="1F497D"/>
          </w:tcPr>
          <w:p w:rsidR="00042DCA" w:rsidRPr="000F5A61" w:rsidRDefault="00042DCA" w:rsidP="00042DCA">
            <w:pPr>
              <w:spacing w:before="120" w:after="120" w:line="240" w:lineRule="auto"/>
              <w:jc w:val="both"/>
              <w:rPr>
                <w:rFonts w:ascii="Arial" w:eastAsia="Calibri" w:hAnsi="Arial" w:cs="Arial"/>
                <w:bCs/>
                <w:sz w:val="20"/>
                <w:szCs w:val="20"/>
                <w:lang w:val="en-US"/>
              </w:rPr>
            </w:pPr>
            <w:r w:rsidRPr="000F5A61">
              <w:rPr>
                <w:rFonts w:ascii="Arial" w:eastAsia="Calibri" w:hAnsi="Arial" w:cs="Arial"/>
                <w:b/>
                <w:bCs/>
                <w:sz w:val="20"/>
                <w:szCs w:val="20"/>
                <w:lang w:val="en-US"/>
              </w:rPr>
              <w:lastRenderedPageBreak/>
              <w:t>SECTION 2: FUNDING REQUEST</w:t>
            </w:r>
            <w:r w:rsidR="00142F1D" w:rsidRPr="000F5A61">
              <w:rPr>
                <w:rFonts w:ascii="Arial" w:eastAsia="Calibri" w:hAnsi="Arial" w:cs="Arial"/>
                <w:b/>
                <w:bCs/>
                <w:sz w:val="20"/>
                <w:szCs w:val="20"/>
                <w:lang w:val="en-US"/>
              </w:rPr>
              <w:t xml:space="preserve"> (Within Allocation)</w:t>
            </w:r>
          </w:p>
        </w:tc>
      </w:tr>
      <w:tr w:rsidR="00042DCA" w:rsidRPr="000F5A61" w:rsidTr="00401EBB">
        <w:trPr>
          <w:trHeight w:val="332"/>
          <w:jc w:val="center"/>
        </w:trPr>
        <w:tc>
          <w:tcPr>
            <w:tcW w:w="8960" w:type="dxa"/>
            <w:shd w:val="clear" w:color="auto" w:fill="F2F2F2" w:themeFill="background1" w:themeFillShade="F2"/>
          </w:tcPr>
          <w:p w:rsidR="00DF1CDD" w:rsidRPr="000F5A61" w:rsidRDefault="007A704C" w:rsidP="00DF1CDD">
            <w:pPr>
              <w:keepNext/>
              <w:keepLines/>
              <w:spacing w:before="120" w:after="120" w:line="240" w:lineRule="auto"/>
              <w:jc w:val="both"/>
              <w:rPr>
                <w:rFonts w:ascii="Arial" w:eastAsia="Calibri" w:hAnsi="Arial" w:cs="Arial"/>
                <w:bCs/>
                <w:iCs/>
                <w:sz w:val="20"/>
                <w:szCs w:val="20"/>
                <w:lang w:val="en-US"/>
              </w:rPr>
            </w:pPr>
            <w:r w:rsidRPr="000F5A61">
              <w:rPr>
                <w:rFonts w:ascii="Arial" w:eastAsia="Calibri" w:hAnsi="Arial" w:cs="Arial"/>
                <w:bCs/>
                <w:iCs/>
                <w:sz w:val="20"/>
                <w:szCs w:val="20"/>
                <w:lang w:val="en-US"/>
              </w:rPr>
              <w:t xml:space="preserve">This section should </w:t>
            </w:r>
            <w:r w:rsidR="00CC0842" w:rsidRPr="000F5A61">
              <w:rPr>
                <w:rFonts w:ascii="Arial" w:eastAsia="Calibri" w:hAnsi="Arial" w:cs="Arial"/>
                <w:bCs/>
                <w:iCs/>
                <w:sz w:val="20"/>
                <w:szCs w:val="20"/>
                <w:lang w:val="en-US"/>
              </w:rPr>
              <w:t>describe</w:t>
            </w:r>
            <w:r w:rsidR="00A8340A" w:rsidRPr="000F5A61">
              <w:rPr>
                <w:rFonts w:ascii="Arial" w:eastAsia="Calibri" w:hAnsi="Arial" w:cs="Arial"/>
                <w:bCs/>
                <w:iCs/>
                <w:sz w:val="20"/>
                <w:szCs w:val="20"/>
                <w:lang w:val="en-US"/>
              </w:rPr>
              <w:t xml:space="preserve">and provide a rationale for </w:t>
            </w:r>
            <w:r w:rsidRPr="000F5A61">
              <w:rPr>
                <w:rFonts w:ascii="Arial" w:eastAsia="Calibri" w:hAnsi="Arial" w:cs="Arial"/>
                <w:bCs/>
                <w:iCs/>
                <w:sz w:val="20"/>
                <w:szCs w:val="20"/>
                <w:lang w:val="en-US"/>
              </w:rPr>
              <w:t xml:space="preserve">the </w:t>
            </w:r>
            <w:r w:rsidR="00CC0842" w:rsidRPr="000F5A61">
              <w:rPr>
                <w:rFonts w:ascii="Arial" w:hAnsi="Arial" w:cs="Arial"/>
                <w:sz w:val="20"/>
                <w:szCs w:val="20"/>
              </w:rPr>
              <w:t>program</w:t>
            </w:r>
            <w:r w:rsidRPr="000F5A61">
              <w:rPr>
                <w:rFonts w:ascii="Arial" w:hAnsi="Arial" w:cs="Arial"/>
                <w:sz w:val="20"/>
                <w:szCs w:val="20"/>
              </w:rPr>
              <w:t xml:space="preserve"> elements proposed </w:t>
            </w:r>
            <w:r w:rsidR="00A8340A" w:rsidRPr="000F5A61">
              <w:rPr>
                <w:rFonts w:ascii="Arial" w:hAnsi="Arial" w:cs="Arial"/>
                <w:sz w:val="20"/>
                <w:szCs w:val="20"/>
              </w:rPr>
              <w:t>for this funding request</w:t>
            </w:r>
            <w:r w:rsidRPr="000F5A61">
              <w:rPr>
                <w:rFonts w:ascii="Arial" w:hAnsi="Arial" w:cs="Arial"/>
                <w:sz w:val="20"/>
                <w:szCs w:val="20"/>
              </w:rPr>
              <w:t>.</w:t>
            </w:r>
            <w:r w:rsidR="00027F87" w:rsidRPr="000F5A61">
              <w:rPr>
                <w:rFonts w:ascii="Arial" w:eastAsia="Calibri" w:hAnsi="Arial" w:cs="Arial"/>
                <w:bCs/>
                <w:iCs/>
                <w:sz w:val="20"/>
                <w:szCs w:val="20"/>
                <w:lang w:val="en-US"/>
              </w:rPr>
              <w:t>A</w:t>
            </w:r>
            <w:r w:rsidR="00042DCA" w:rsidRPr="000F5A61">
              <w:rPr>
                <w:rFonts w:ascii="Arial" w:eastAsia="Calibri" w:hAnsi="Arial" w:cs="Arial"/>
                <w:bCs/>
                <w:iCs/>
                <w:sz w:val="20"/>
                <w:szCs w:val="20"/>
                <w:lang w:val="en-US"/>
              </w:rPr>
              <w:t xml:space="preserve">ttach </w:t>
            </w:r>
            <w:r w:rsidR="00DF1CDD" w:rsidRPr="000F5A61">
              <w:rPr>
                <w:rFonts w:ascii="Arial" w:eastAsia="Calibri" w:hAnsi="Arial" w:cs="Arial"/>
                <w:bCs/>
                <w:iCs/>
                <w:sz w:val="20"/>
                <w:szCs w:val="20"/>
                <w:lang w:val="en-US"/>
              </w:rPr>
              <w:t>and refer to</w:t>
            </w:r>
            <w:r w:rsidR="008D7F0E" w:rsidRPr="000F5A61">
              <w:rPr>
                <w:rFonts w:ascii="Arial" w:eastAsia="Calibri" w:hAnsi="Arial" w:cs="Arial"/>
                <w:bCs/>
                <w:iCs/>
                <w:sz w:val="20"/>
                <w:szCs w:val="20"/>
                <w:lang w:val="en-US"/>
              </w:rPr>
              <w:t xml:space="preserve"> completed</w:t>
            </w:r>
            <w:r w:rsidR="00042DCA" w:rsidRPr="000F5A61">
              <w:rPr>
                <w:rFonts w:ascii="Arial" w:eastAsia="Calibri" w:hAnsi="Arial" w:cs="Arial"/>
                <w:b/>
                <w:bCs/>
                <w:iCs/>
                <w:sz w:val="20"/>
                <w:szCs w:val="20"/>
                <w:lang w:val="en-US"/>
              </w:rPr>
              <w:t>Programmatic Gap Table(s), Funding Landscape Table</w:t>
            </w:r>
            <w:r w:rsidR="008D7F0E" w:rsidRPr="000F5A61">
              <w:rPr>
                <w:rFonts w:ascii="Arial" w:eastAsia="Calibri" w:hAnsi="Arial" w:cs="Arial"/>
                <w:b/>
                <w:bCs/>
                <w:iCs/>
                <w:sz w:val="20"/>
                <w:szCs w:val="20"/>
                <w:lang w:val="en-US"/>
              </w:rPr>
              <w:t>(s)</w:t>
            </w:r>
            <w:r w:rsidR="00042DCA" w:rsidRPr="000F5A61">
              <w:rPr>
                <w:rFonts w:ascii="Arial" w:eastAsia="Calibri" w:hAnsi="Arial" w:cs="Arial"/>
                <w:b/>
                <w:bCs/>
                <w:iCs/>
                <w:sz w:val="20"/>
                <w:szCs w:val="20"/>
                <w:lang w:val="en-US"/>
              </w:rPr>
              <w:t xml:space="preserve">, </w:t>
            </w:r>
            <w:r w:rsidR="00DF1CDD" w:rsidRPr="000F5A61">
              <w:rPr>
                <w:rFonts w:ascii="Arial" w:eastAsia="Calibri" w:hAnsi="Arial" w:cs="Arial"/>
                <w:b/>
                <w:bCs/>
                <w:iCs/>
                <w:sz w:val="20"/>
                <w:szCs w:val="20"/>
                <w:lang w:val="en-US"/>
              </w:rPr>
              <w:t>Performance Framework and Budget</w:t>
            </w:r>
            <w:r w:rsidR="00CC0842" w:rsidRPr="000F5A61">
              <w:rPr>
                <w:rFonts w:ascii="Arial" w:eastAsia="Calibri" w:hAnsi="Arial" w:cs="Arial"/>
                <w:bCs/>
                <w:iCs/>
                <w:sz w:val="20"/>
                <w:szCs w:val="20"/>
                <w:lang w:val="en-US"/>
              </w:rPr>
              <w:t>, and refer to national strategy documents as applicable.</w:t>
            </w:r>
          </w:p>
          <w:p w:rsidR="00042DCA" w:rsidRPr="000F5A61" w:rsidRDefault="001C281C" w:rsidP="00AB3764">
            <w:pPr>
              <w:keepNext/>
              <w:keepLines/>
              <w:spacing w:before="120" w:after="120" w:line="240" w:lineRule="auto"/>
              <w:jc w:val="both"/>
              <w:rPr>
                <w:rFonts w:ascii="Arial" w:eastAsia="Calibri" w:hAnsi="Arial" w:cs="Arial"/>
                <w:sz w:val="20"/>
                <w:szCs w:val="20"/>
                <w:lang w:val="en-US"/>
              </w:rPr>
            </w:pPr>
            <w:r w:rsidRPr="000F5A61">
              <w:rPr>
                <w:rFonts w:ascii="Arial" w:eastAsia="Calibri" w:hAnsi="Arial" w:cs="Arial"/>
                <w:bCs/>
                <w:iCs/>
                <w:sz w:val="20"/>
                <w:szCs w:val="20"/>
                <w:lang w:val="en-US"/>
              </w:rPr>
              <w:t>To respond, r</w:t>
            </w:r>
            <w:r w:rsidR="00042DCA" w:rsidRPr="000F5A61">
              <w:rPr>
                <w:rFonts w:ascii="Arial" w:eastAsia="Calibri" w:hAnsi="Arial" w:cs="Arial"/>
                <w:bCs/>
                <w:iCs/>
                <w:sz w:val="20"/>
                <w:szCs w:val="20"/>
                <w:lang w:val="en-US"/>
              </w:rPr>
              <w:t>efer to</w:t>
            </w:r>
            <w:r w:rsidR="006E048B" w:rsidRPr="000F5A61">
              <w:rPr>
                <w:rFonts w:ascii="Arial" w:eastAsia="Calibri" w:hAnsi="Arial" w:cs="Arial"/>
                <w:sz w:val="20"/>
                <w:szCs w:val="20"/>
                <w:lang w:val="en-US"/>
              </w:rPr>
              <w:t>additional</w:t>
            </w:r>
            <w:r w:rsidR="005265DB" w:rsidRPr="000F5A61">
              <w:rPr>
                <w:rFonts w:ascii="Arial" w:eastAsia="Calibri" w:hAnsi="Arial" w:cs="Arial"/>
                <w:bCs/>
                <w:iCs/>
                <w:sz w:val="20"/>
                <w:szCs w:val="20"/>
                <w:lang w:val="en-US"/>
              </w:rPr>
              <w:t>guidance</w:t>
            </w:r>
            <w:r w:rsidR="00D51B37" w:rsidRPr="000F5A61">
              <w:rPr>
                <w:rFonts w:ascii="Arial" w:eastAsia="Calibri" w:hAnsi="Arial" w:cs="Arial"/>
                <w:bCs/>
                <w:iCs/>
                <w:sz w:val="20"/>
                <w:szCs w:val="20"/>
                <w:lang w:val="en-US"/>
              </w:rPr>
              <w:t xml:space="preserve"> provided</w:t>
            </w:r>
            <w:r w:rsidR="005265DB" w:rsidRPr="000F5A61">
              <w:rPr>
                <w:rFonts w:ascii="Arial" w:eastAsia="Calibri" w:hAnsi="Arial" w:cs="Arial"/>
                <w:bCs/>
                <w:iCs/>
                <w:sz w:val="20"/>
                <w:szCs w:val="20"/>
                <w:lang w:val="en-US"/>
              </w:rPr>
              <w:t xml:space="preserve"> in</w:t>
            </w:r>
            <w:r w:rsidR="00D51B37" w:rsidRPr="000F5A61">
              <w:rPr>
                <w:rFonts w:ascii="Arial" w:eastAsia="Calibri" w:hAnsi="Arial" w:cs="Arial"/>
                <w:bCs/>
                <w:iCs/>
                <w:sz w:val="20"/>
                <w:szCs w:val="20"/>
                <w:lang w:val="en-US"/>
              </w:rPr>
              <w:t xml:space="preserve"> the</w:t>
            </w:r>
            <w:r w:rsidRPr="000F5A61">
              <w:rPr>
                <w:rFonts w:ascii="Arial" w:hAnsi="Arial" w:cs="Arial"/>
                <w:bCs/>
                <w:i/>
                <w:iCs/>
                <w:sz w:val="20"/>
                <w:szCs w:val="20"/>
              </w:rPr>
              <w:t>Instructions</w:t>
            </w:r>
            <w:r w:rsidR="00485F5B" w:rsidRPr="000F5A61">
              <w:rPr>
                <w:rFonts w:ascii="Arial" w:hAnsi="Arial" w:cs="Arial"/>
                <w:bCs/>
                <w:i/>
                <w:iCs/>
                <w:sz w:val="20"/>
                <w:szCs w:val="20"/>
              </w:rPr>
              <w:t>.</w:t>
            </w:r>
          </w:p>
          <w:p w:rsidR="00366E9D" w:rsidRPr="000F5A61" w:rsidRDefault="00027F87" w:rsidP="00027F87">
            <w:pPr>
              <w:keepNext/>
              <w:keepLines/>
              <w:spacing w:before="120" w:after="120" w:line="240" w:lineRule="auto"/>
              <w:jc w:val="both"/>
              <w:rPr>
                <w:rFonts w:ascii="Arial" w:eastAsia="Calibri" w:hAnsi="Arial" w:cs="Arial"/>
                <w:bCs/>
                <w:iCs/>
                <w:sz w:val="20"/>
                <w:szCs w:val="20"/>
                <w:lang w:val="en-US"/>
              </w:rPr>
            </w:pPr>
            <w:r w:rsidRPr="000F5A61">
              <w:rPr>
                <w:rFonts w:ascii="Arial" w:eastAsia="Calibri" w:hAnsi="Arial" w:cs="Arial"/>
                <w:sz w:val="20"/>
                <w:szCs w:val="20"/>
                <w:lang w:val="en-US"/>
              </w:rPr>
              <w:t>E</w:t>
            </w:r>
            <w:r w:rsidR="00366E9D" w:rsidRPr="000F5A61">
              <w:rPr>
                <w:rFonts w:ascii="Arial" w:eastAsia="Calibri" w:hAnsi="Arial" w:cs="Arial"/>
                <w:sz w:val="20"/>
                <w:szCs w:val="20"/>
                <w:lang w:val="en-US"/>
              </w:rPr>
              <w:t xml:space="preserve">nsure that the funding request as described in </w:t>
            </w:r>
            <w:r w:rsidR="00CC0842" w:rsidRPr="000F5A61">
              <w:rPr>
                <w:rFonts w:ascii="Arial" w:eastAsia="Calibri" w:hAnsi="Arial" w:cs="Arial"/>
                <w:sz w:val="20"/>
                <w:szCs w:val="20"/>
                <w:lang w:val="en-US"/>
              </w:rPr>
              <w:t>questions</w:t>
            </w:r>
            <w:r w:rsidR="00366E9D" w:rsidRPr="000F5A61">
              <w:rPr>
                <w:rFonts w:ascii="Arial" w:eastAsia="Calibri" w:hAnsi="Arial" w:cs="Arial"/>
                <w:sz w:val="20"/>
                <w:szCs w:val="20"/>
                <w:lang w:val="en-US"/>
              </w:rPr>
              <w:t xml:space="preserve"> 2.1 and/or 2.2 meet</w:t>
            </w:r>
            <w:r w:rsidR="008945F5" w:rsidRPr="000F5A61">
              <w:rPr>
                <w:rFonts w:ascii="Arial" w:eastAsia="Calibri" w:hAnsi="Arial" w:cs="Arial"/>
                <w:sz w:val="20"/>
                <w:szCs w:val="20"/>
                <w:lang w:val="en-US"/>
              </w:rPr>
              <w:t>s</w:t>
            </w:r>
            <w:r w:rsidR="00366E9D" w:rsidRPr="000F5A61">
              <w:rPr>
                <w:rFonts w:ascii="Arial" w:eastAsia="Calibri" w:hAnsi="Arial" w:cs="Arial"/>
                <w:sz w:val="20"/>
                <w:szCs w:val="20"/>
                <w:lang w:val="en-US"/>
              </w:rPr>
              <w:t xml:space="preserve"> the </w:t>
            </w:r>
            <w:r w:rsidR="00CC0842" w:rsidRPr="000F5A61">
              <w:rPr>
                <w:rFonts w:ascii="Arial" w:eastAsia="Calibri" w:hAnsi="Arial" w:cs="Arial"/>
                <w:sz w:val="20"/>
                <w:szCs w:val="20"/>
                <w:lang w:val="en-US"/>
              </w:rPr>
              <w:t xml:space="preserve">focus of </w:t>
            </w:r>
            <w:r w:rsidR="00366E9D" w:rsidRPr="000F5A61">
              <w:rPr>
                <w:rFonts w:ascii="Arial" w:eastAsia="Calibri" w:hAnsi="Arial" w:cs="Arial"/>
                <w:sz w:val="20"/>
                <w:szCs w:val="20"/>
                <w:lang w:val="en-US"/>
              </w:rPr>
              <w:t>application requirement as outlined in section 2.3</w:t>
            </w:r>
            <w:r w:rsidR="00581C6F" w:rsidRPr="000F5A61">
              <w:rPr>
                <w:rFonts w:ascii="Arial" w:eastAsia="Calibri" w:hAnsi="Arial" w:cs="Arial"/>
                <w:sz w:val="20"/>
                <w:szCs w:val="20"/>
                <w:lang w:val="en-US"/>
              </w:rPr>
              <w:t>.</w:t>
            </w:r>
          </w:p>
        </w:tc>
      </w:tr>
    </w:tbl>
    <w:p w:rsidR="00FE411C" w:rsidRPr="000F5A61" w:rsidRDefault="00FE411C" w:rsidP="00042DCA">
      <w:pPr>
        <w:spacing w:after="0"/>
        <w:rPr>
          <w:rFonts w:ascii="Arial" w:hAnsi="Arial" w:cs="Arial"/>
          <w:sz w:val="20"/>
          <w:szCs w:val="20"/>
        </w:rPr>
      </w:pPr>
    </w:p>
    <w:tbl>
      <w:tblPr>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A0"/>
      </w:tblPr>
      <w:tblGrid>
        <w:gridCol w:w="9016"/>
      </w:tblGrid>
      <w:tr w:rsidR="00042DCA" w:rsidRPr="000F5A61" w:rsidTr="00FE411C">
        <w:trPr>
          <w:trHeight w:val="567"/>
          <w:jc w:val="center"/>
        </w:trPr>
        <w:tc>
          <w:tcPr>
            <w:tcW w:w="9016" w:type="dxa"/>
            <w:shd w:val="clear" w:color="auto" w:fill="C6D9F1"/>
          </w:tcPr>
          <w:p w:rsidR="00042DCA" w:rsidRPr="000F5A61" w:rsidRDefault="00042DCA" w:rsidP="00042DCA">
            <w:pPr>
              <w:spacing w:after="0" w:line="276" w:lineRule="auto"/>
              <w:rPr>
                <w:rFonts w:ascii="Arial" w:eastAsia="Calibri" w:hAnsi="Arial" w:cs="Arial"/>
                <w:b/>
                <w:bCs/>
                <w:sz w:val="20"/>
                <w:szCs w:val="20"/>
                <w:lang w:val="en-US"/>
              </w:rPr>
            </w:pPr>
            <w:r w:rsidRPr="000F5A61">
              <w:rPr>
                <w:rFonts w:ascii="Arial" w:eastAsia="Calibri" w:hAnsi="Arial" w:cs="Arial"/>
                <w:b/>
                <w:bCs/>
                <w:sz w:val="20"/>
                <w:szCs w:val="20"/>
                <w:lang w:val="en-US"/>
              </w:rPr>
              <w:t>2.1 Disease-specific funding request</w:t>
            </w:r>
          </w:p>
          <w:p w:rsidR="00311BE2" w:rsidRPr="000F5A61" w:rsidRDefault="00EF32A7" w:rsidP="00DF1CDD">
            <w:pPr>
              <w:spacing w:after="0" w:line="276" w:lineRule="auto"/>
              <w:rPr>
                <w:rFonts w:ascii="Arial" w:eastAsia="Calibri" w:hAnsi="Arial" w:cs="Arial"/>
                <w:i/>
                <w:sz w:val="20"/>
                <w:szCs w:val="20"/>
                <w:lang w:val="en-US"/>
              </w:rPr>
            </w:pPr>
            <w:r w:rsidRPr="000F5A61">
              <w:rPr>
                <w:rFonts w:ascii="Arial" w:eastAsia="Calibri" w:hAnsi="Arial" w:cs="Arial"/>
                <w:i/>
                <w:sz w:val="20"/>
                <w:szCs w:val="20"/>
                <w:u w:val="single"/>
                <w:lang w:val="en-US"/>
              </w:rPr>
              <w:t>N</w:t>
            </w:r>
            <w:r w:rsidR="00311BE2" w:rsidRPr="000F5A61">
              <w:rPr>
                <w:rFonts w:ascii="Arial" w:eastAsia="Calibri" w:hAnsi="Arial" w:cs="Arial"/>
                <w:i/>
                <w:sz w:val="20"/>
                <w:szCs w:val="20"/>
                <w:u w:val="single"/>
                <w:lang w:val="en-US"/>
              </w:rPr>
              <w:t>ot</w:t>
            </w:r>
            <w:r w:rsidR="00311BE2" w:rsidRPr="000F5A61">
              <w:rPr>
                <w:rFonts w:ascii="Arial" w:eastAsia="Calibri" w:hAnsi="Arial" w:cs="Arial"/>
                <w:i/>
                <w:sz w:val="20"/>
                <w:szCs w:val="20"/>
                <w:lang w:val="en-US"/>
              </w:rPr>
              <w:t xml:space="preserve"> applicable if the application </w:t>
            </w:r>
            <w:r w:rsidR="009759E9" w:rsidRPr="000F5A61">
              <w:rPr>
                <w:rFonts w:ascii="Arial" w:eastAsia="Calibri" w:hAnsi="Arial" w:cs="Arial"/>
                <w:i/>
                <w:sz w:val="20"/>
                <w:szCs w:val="20"/>
                <w:lang w:val="en-US"/>
              </w:rPr>
              <w:t>is a</w:t>
            </w:r>
            <w:r w:rsidRPr="000F5A61">
              <w:rPr>
                <w:rFonts w:ascii="Arial" w:eastAsia="Calibri" w:hAnsi="Arial" w:cs="Arial"/>
                <w:i/>
                <w:sz w:val="20"/>
                <w:szCs w:val="20"/>
                <w:lang w:val="en-US"/>
              </w:rPr>
              <w:t xml:space="preserve"> standalone</w:t>
            </w:r>
            <w:r w:rsidR="00311BE2" w:rsidRPr="000F5A61">
              <w:rPr>
                <w:rFonts w:ascii="Arial" w:eastAsia="Calibri" w:hAnsi="Arial" w:cs="Arial"/>
                <w:i/>
                <w:sz w:val="20"/>
                <w:szCs w:val="20"/>
                <w:lang w:val="en-US"/>
              </w:rPr>
              <w:t>RSSH request.</w:t>
            </w:r>
          </w:p>
        </w:tc>
      </w:tr>
      <w:tr w:rsidR="00042DCA" w:rsidRPr="000F5A61" w:rsidTr="00FE411C">
        <w:trPr>
          <w:trHeight w:val="5802"/>
          <w:jc w:val="center"/>
        </w:trPr>
        <w:tc>
          <w:tcPr>
            <w:tcW w:w="9016" w:type="dxa"/>
            <w:shd w:val="clear" w:color="auto" w:fill="F2F2F2" w:themeFill="background1" w:themeFillShade="F2"/>
            <w:vAlign w:val="center"/>
          </w:tcPr>
          <w:p w:rsidR="00736AC4" w:rsidRPr="000F5A61" w:rsidRDefault="00736AC4" w:rsidP="00CC0842">
            <w:pPr>
              <w:spacing w:before="120" w:line="240" w:lineRule="auto"/>
              <w:contextualSpacing/>
              <w:jc w:val="both"/>
              <w:rPr>
                <w:rFonts w:ascii="Arial" w:eastAsia="Calibri" w:hAnsi="Arial" w:cs="Arial"/>
                <w:sz w:val="20"/>
                <w:szCs w:val="20"/>
              </w:rPr>
            </w:pPr>
            <w:r w:rsidRPr="000F5A61">
              <w:rPr>
                <w:rFonts w:ascii="Arial" w:eastAsia="Calibri" w:hAnsi="Arial" w:cs="Arial"/>
                <w:sz w:val="20"/>
                <w:szCs w:val="20"/>
                <w:lang w:val="en-US"/>
              </w:rPr>
              <w:t>G</w:t>
            </w:r>
            <w:r w:rsidRPr="000F5A61">
              <w:rPr>
                <w:rFonts w:ascii="Arial" w:eastAsia="Calibri" w:hAnsi="Arial" w:cs="Arial"/>
                <w:sz w:val="20"/>
                <w:szCs w:val="20"/>
              </w:rPr>
              <w:t>iven the context and lessons learned outlined in Section 1</w:t>
            </w:r>
            <w:r w:rsidR="00FA3434" w:rsidRPr="000F5A61">
              <w:rPr>
                <w:rFonts w:ascii="Arial" w:eastAsia="Calibri" w:hAnsi="Arial" w:cs="Arial"/>
                <w:sz w:val="20"/>
                <w:szCs w:val="20"/>
              </w:rPr>
              <w:t>,</w:t>
            </w:r>
          </w:p>
          <w:p w:rsidR="00CC0842" w:rsidRPr="000F5A61" w:rsidRDefault="00CC0842" w:rsidP="00CC0842">
            <w:pPr>
              <w:tabs>
                <w:tab w:val="center" w:pos="4513"/>
                <w:tab w:val="right" w:pos="9026"/>
              </w:tabs>
              <w:spacing w:before="120" w:after="0" w:line="240" w:lineRule="auto"/>
              <w:contextualSpacing/>
              <w:jc w:val="both"/>
              <w:rPr>
                <w:rFonts w:ascii="Arial" w:eastAsia="Calibri" w:hAnsi="Arial" w:cs="Arial"/>
                <w:sz w:val="20"/>
                <w:szCs w:val="20"/>
              </w:rPr>
            </w:pPr>
          </w:p>
          <w:p w:rsidR="00A600FA" w:rsidRPr="000F5A61" w:rsidRDefault="00A600FA" w:rsidP="00005564">
            <w:pPr>
              <w:numPr>
                <w:ilvl w:val="0"/>
                <w:numId w:val="3"/>
              </w:numPr>
              <w:spacing w:before="120" w:after="0" w:line="240" w:lineRule="auto"/>
              <w:contextualSpacing/>
              <w:jc w:val="both"/>
              <w:rPr>
                <w:rFonts w:ascii="Arial" w:eastAsia="Calibri" w:hAnsi="Arial" w:cs="Arial"/>
                <w:sz w:val="20"/>
                <w:szCs w:val="20"/>
              </w:rPr>
            </w:pPr>
            <w:r w:rsidRPr="000F5A61">
              <w:rPr>
                <w:rFonts w:ascii="Arial" w:eastAsia="Calibri" w:hAnsi="Arial" w:cs="Arial"/>
                <w:sz w:val="20"/>
                <w:szCs w:val="20"/>
              </w:rPr>
              <w:t>Describe the disease-specific funding request(s), the rationale for prioritizing modules and interventions</w:t>
            </w:r>
            <w:r w:rsidR="00736AC4" w:rsidRPr="000F5A61">
              <w:rPr>
                <w:rFonts w:ascii="Arial" w:eastAsia="Calibri" w:hAnsi="Arial" w:cs="Arial"/>
                <w:sz w:val="20"/>
                <w:szCs w:val="20"/>
              </w:rPr>
              <w:t>,</w:t>
            </w:r>
            <w:r w:rsidRPr="000F5A61">
              <w:rPr>
                <w:rFonts w:ascii="Arial" w:eastAsia="Calibri" w:hAnsi="Arial" w:cs="Arial"/>
                <w:sz w:val="20"/>
                <w:szCs w:val="20"/>
              </w:rPr>
              <w:t xml:space="preserve"> and how the</w:t>
            </w:r>
            <w:r w:rsidR="0011786E" w:rsidRPr="000F5A61">
              <w:rPr>
                <w:rFonts w:ascii="Arial" w:eastAsia="Calibri" w:hAnsi="Arial" w:cs="Arial"/>
                <w:sz w:val="20"/>
                <w:szCs w:val="20"/>
              </w:rPr>
              <w:t>se</w:t>
            </w:r>
            <w:r w:rsidRPr="000F5A61">
              <w:rPr>
                <w:rFonts w:ascii="Arial" w:eastAsia="Calibri" w:hAnsi="Arial" w:cs="Arial"/>
                <w:sz w:val="20"/>
                <w:szCs w:val="20"/>
              </w:rPr>
              <w:t xml:space="preserve"> choices ensure the highest possible impact with a view to end</w:t>
            </w:r>
            <w:r w:rsidR="00736AC4" w:rsidRPr="000F5A61">
              <w:rPr>
                <w:rFonts w:ascii="Arial" w:eastAsia="Calibri" w:hAnsi="Arial" w:cs="Arial"/>
                <w:sz w:val="20"/>
                <w:szCs w:val="20"/>
              </w:rPr>
              <w:t>ing</w:t>
            </w:r>
            <w:r w:rsidR="00FA3434" w:rsidRPr="000F5A61">
              <w:rPr>
                <w:rFonts w:ascii="Arial" w:eastAsia="Calibri" w:hAnsi="Arial" w:cs="Arial"/>
                <w:sz w:val="20"/>
                <w:szCs w:val="20"/>
              </w:rPr>
              <w:t xml:space="preserve"> the three diseases </w:t>
            </w:r>
            <w:r w:rsidRPr="000F5A61">
              <w:rPr>
                <w:rFonts w:ascii="Arial" w:eastAsia="Calibri" w:hAnsi="Arial" w:cs="Arial"/>
                <w:sz w:val="20"/>
                <w:szCs w:val="20"/>
              </w:rPr>
              <w:t>and remov</w:t>
            </w:r>
            <w:r w:rsidR="00736AC4" w:rsidRPr="000F5A61">
              <w:rPr>
                <w:rFonts w:ascii="Arial" w:eastAsia="Calibri" w:hAnsi="Arial" w:cs="Arial"/>
                <w:sz w:val="20"/>
                <w:szCs w:val="20"/>
              </w:rPr>
              <w:t>ing</w:t>
            </w:r>
            <w:r w:rsidRPr="000F5A61">
              <w:rPr>
                <w:rFonts w:ascii="Arial" w:eastAsia="Calibri" w:hAnsi="Arial" w:cs="Arial"/>
                <w:sz w:val="20"/>
                <w:szCs w:val="20"/>
              </w:rPr>
              <w:t xml:space="preserve"> human rights and gender-related barriers</w:t>
            </w:r>
            <w:r w:rsidR="00FA3434" w:rsidRPr="000F5A61">
              <w:rPr>
                <w:rFonts w:ascii="Arial" w:eastAsia="Calibri" w:hAnsi="Arial" w:cs="Arial"/>
                <w:sz w:val="20"/>
                <w:szCs w:val="20"/>
              </w:rPr>
              <w:t xml:space="preserve"> to accessing services</w:t>
            </w:r>
            <w:r w:rsidRPr="000F5A61">
              <w:rPr>
                <w:rFonts w:ascii="Arial" w:eastAsia="Calibri" w:hAnsi="Arial" w:cs="Arial"/>
                <w:sz w:val="20"/>
                <w:szCs w:val="20"/>
              </w:rPr>
              <w:t>.</w:t>
            </w:r>
          </w:p>
          <w:p w:rsidR="00A600FA" w:rsidRPr="000F5A61" w:rsidRDefault="0041310D" w:rsidP="0041310D">
            <w:pPr>
              <w:spacing w:before="120"/>
              <w:ind w:left="738"/>
              <w:jc w:val="both"/>
              <w:rPr>
                <w:rFonts w:ascii="Arial" w:eastAsia="Calibri" w:hAnsi="Arial" w:cs="Arial"/>
                <w:sz w:val="20"/>
                <w:szCs w:val="20"/>
              </w:rPr>
            </w:pPr>
            <w:r w:rsidRPr="000F5A61">
              <w:rPr>
                <w:rFonts w:ascii="Arial" w:eastAsia="Calibri" w:hAnsi="Arial" w:cs="Arial"/>
                <w:sz w:val="20"/>
                <w:szCs w:val="20"/>
              </w:rPr>
              <w:t>For any priority modules for which gaps are difficult to quantify in the programmatic gap tables, explain here the barriers being addressed, the proposed interventions and the population or groups involved.</w:t>
            </w:r>
          </w:p>
          <w:p w:rsidR="00A600FA" w:rsidRPr="000F5A61" w:rsidRDefault="00A600FA" w:rsidP="00005564">
            <w:pPr>
              <w:numPr>
                <w:ilvl w:val="0"/>
                <w:numId w:val="3"/>
              </w:numPr>
              <w:spacing w:before="120" w:after="0" w:line="240" w:lineRule="auto"/>
              <w:contextualSpacing/>
              <w:jc w:val="both"/>
              <w:rPr>
                <w:rFonts w:ascii="Arial" w:eastAsia="Calibri" w:hAnsi="Arial" w:cs="Arial"/>
                <w:sz w:val="20"/>
                <w:szCs w:val="20"/>
              </w:rPr>
            </w:pPr>
            <w:r w:rsidRPr="000F5A61">
              <w:rPr>
                <w:rFonts w:ascii="Arial" w:eastAsia="Calibri" w:hAnsi="Arial" w:cs="Arial"/>
                <w:sz w:val="20"/>
                <w:szCs w:val="20"/>
              </w:rPr>
              <w:t xml:space="preserve">Explain how the funding request addresses the key funding gaps reflected in the </w:t>
            </w:r>
            <w:r w:rsidR="0011786E" w:rsidRPr="000F5A61">
              <w:rPr>
                <w:rFonts w:ascii="Arial" w:eastAsia="Calibri" w:hAnsi="Arial" w:cs="Arial"/>
                <w:sz w:val="20"/>
                <w:szCs w:val="20"/>
              </w:rPr>
              <w:t>F</w:t>
            </w:r>
            <w:r w:rsidRPr="000F5A61">
              <w:rPr>
                <w:rFonts w:ascii="Arial" w:eastAsia="Calibri" w:hAnsi="Arial" w:cs="Arial"/>
                <w:sz w:val="20"/>
                <w:szCs w:val="20"/>
              </w:rPr>
              <w:t xml:space="preserve">unding </w:t>
            </w:r>
            <w:r w:rsidR="0011786E" w:rsidRPr="000F5A61">
              <w:rPr>
                <w:rFonts w:ascii="Arial" w:eastAsia="Calibri" w:hAnsi="Arial" w:cs="Arial"/>
                <w:sz w:val="20"/>
                <w:szCs w:val="20"/>
              </w:rPr>
              <w:t>L</w:t>
            </w:r>
            <w:r w:rsidRPr="000F5A61">
              <w:rPr>
                <w:rFonts w:ascii="Arial" w:eastAsia="Calibri" w:hAnsi="Arial" w:cs="Arial"/>
                <w:sz w:val="20"/>
                <w:szCs w:val="20"/>
              </w:rPr>
              <w:t xml:space="preserve">andscape </w:t>
            </w:r>
            <w:r w:rsidR="0011786E" w:rsidRPr="000F5A61">
              <w:rPr>
                <w:rFonts w:ascii="Arial" w:eastAsia="Calibri" w:hAnsi="Arial" w:cs="Arial"/>
                <w:sz w:val="20"/>
                <w:szCs w:val="20"/>
              </w:rPr>
              <w:t>T</w:t>
            </w:r>
            <w:r w:rsidR="001932A7" w:rsidRPr="000F5A61">
              <w:rPr>
                <w:rFonts w:ascii="Arial" w:eastAsia="Calibri" w:hAnsi="Arial" w:cs="Arial"/>
                <w:sz w:val="20"/>
                <w:szCs w:val="20"/>
              </w:rPr>
              <w:t xml:space="preserve">able(s) </w:t>
            </w:r>
            <w:r w:rsidRPr="000F5A61">
              <w:rPr>
                <w:rFonts w:ascii="Arial" w:eastAsia="Calibri" w:hAnsi="Arial" w:cs="Arial"/>
                <w:sz w:val="20"/>
                <w:szCs w:val="20"/>
              </w:rPr>
              <w:t xml:space="preserve">for the disease program(s) in the current allocation cycle, and specify other actions planned to cover remaining gaps. </w:t>
            </w:r>
          </w:p>
          <w:p w:rsidR="00A600FA" w:rsidRPr="000F5A61" w:rsidRDefault="00A600FA" w:rsidP="00005564">
            <w:pPr>
              <w:spacing w:before="120"/>
              <w:jc w:val="both"/>
              <w:rPr>
                <w:rFonts w:ascii="Arial" w:eastAsia="Calibri" w:hAnsi="Arial" w:cs="Arial"/>
                <w:sz w:val="20"/>
                <w:szCs w:val="20"/>
              </w:rPr>
            </w:pPr>
            <w:r w:rsidRPr="000F5A61">
              <w:rPr>
                <w:rFonts w:ascii="Arial" w:eastAsia="Calibri" w:hAnsi="Arial" w:cs="Arial"/>
                <w:sz w:val="20"/>
                <w:szCs w:val="20"/>
              </w:rPr>
              <w:t>For funding requests</w:t>
            </w:r>
            <w:r w:rsidR="001A08D0" w:rsidRPr="000F5A61">
              <w:rPr>
                <w:rFonts w:ascii="Arial" w:eastAsia="Calibri" w:hAnsi="Arial" w:cs="Arial"/>
                <w:sz w:val="20"/>
                <w:szCs w:val="20"/>
              </w:rPr>
              <w:t xml:space="preserve"> including both HIV and TB components</w:t>
            </w:r>
            <w:r w:rsidRPr="000F5A61">
              <w:rPr>
                <w:rFonts w:ascii="Arial" w:eastAsia="Calibri" w:hAnsi="Arial" w:cs="Arial"/>
                <w:sz w:val="20"/>
                <w:szCs w:val="20"/>
              </w:rPr>
              <w:t xml:space="preserve">: </w:t>
            </w:r>
          </w:p>
          <w:p w:rsidR="00A600FA" w:rsidRPr="000F5A61" w:rsidRDefault="00A600FA" w:rsidP="00005564">
            <w:pPr>
              <w:numPr>
                <w:ilvl w:val="0"/>
                <w:numId w:val="3"/>
              </w:numPr>
              <w:spacing w:before="120" w:after="0" w:line="240" w:lineRule="auto"/>
              <w:contextualSpacing/>
              <w:jc w:val="both"/>
              <w:rPr>
                <w:rFonts w:ascii="Arial" w:eastAsia="Calibri" w:hAnsi="Arial" w:cs="Arial"/>
                <w:sz w:val="20"/>
                <w:szCs w:val="20"/>
              </w:rPr>
            </w:pPr>
            <w:r w:rsidRPr="000F5A61">
              <w:rPr>
                <w:rFonts w:ascii="Arial" w:eastAsia="Calibri" w:hAnsi="Arial" w:cs="Arial"/>
                <w:sz w:val="20"/>
                <w:szCs w:val="20"/>
              </w:rPr>
              <w:t>Describe</w:t>
            </w:r>
            <w:r w:rsidR="0011786E" w:rsidRPr="000F5A61">
              <w:rPr>
                <w:rFonts w:ascii="Arial" w:eastAsia="Calibri" w:hAnsi="Arial" w:cs="Arial"/>
                <w:sz w:val="20"/>
                <w:szCs w:val="20"/>
              </w:rPr>
              <w:t xml:space="preserve"> the</w:t>
            </w:r>
            <w:r w:rsidRPr="000F5A61">
              <w:rPr>
                <w:rFonts w:ascii="Arial" w:eastAsia="Calibri" w:hAnsi="Arial" w:cs="Arial"/>
                <w:sz w:val="20"/>
                <w:szCs w:val="20"/>
              </w:rPr>
              <w:t xml:space="preserve"> coordination of joint TB and HIV strategies, policies and interventions at different levels of the health system, including community systems, </w:t>
            </w:r>
            <w:r w:rsidR="0011786E" w:rsidRPr="000F5A61">
              <w:rPr>
                <w:rFonts w:ascii="Arial" w:eastAsia="Calibri" w:hAnsi="Arial" w:cs="Arial"/>
                <w:sz w:val="20"/>
                <w:szCs w:val="20"/>
              </w:rPr>
              <w:t xml:space="preserve">and </w:t>
            </w:r>
            <w:r w:rsidRPr="000F5A61">
              <w:rPr>
                <w:rFonts w:ascii="Arial" w:eastAsia="Calibri" w:hAnsi="Arial" w:cs="Arial"/>
                <w:sz w:val="20"/>
                <w:szCs w:val="20"/>
              </w:rPr>
              <w:t>expected impact and efficiencies from the joint programming.</w:t>
            </w:r>
          </w:p>
          <w:p w:rsidR="00A600FA" w:rsidRPr="000F5A61" w:rsidRDefault="00027F87" w:rsidP="00005564">
            <w:pPr>
              <w:spacing w:before="120"/>
              <w:jc w:val="both"/>
              <w:rPr>
                <w:rFonts w:ascii="Arial" w:eastAsia="Calibri" w:hAnsi="Arial" w:cs="Arial"/>
                <w:sz w:val="20"/>
                <w:szCs w:val="20"/>
              </w:rPr>
            </w:pPr>
            <w:r w:rsidRPr="000F5A61">
              <w:rPr>
                <w:rFonts w:ascii="Arial" w:eastAsia="Calibri" w:hAnsi="Arial" w:cs="Arial"/>
                <w:sz w:val="20"/>
                <w:szCs w:val="20"/>
              </w:rPr>
              <w:t>E</w:t>
            </w:r>
            <w:r w:rsidR="00A600FA" w:rsidRPr="000F5A61">
              <w:rPr>
                <w:rFonts w:ascii="Arial" w:eastAsia="Calibri" w:hAnsi="Arial" w:cs="Arial"/>
                <w:sz w:val="20"/>
                <w:szCs w:val="20"/>
              </w:rPr>
              <w:t>nsure the answer appropriately reflects the separate disease programs in addition to cross cutting modules where appropriate.</w:t>
            </w:r>
          </w:p>
          <w:p w:rsidR="00042DCA" w:rsidRPr="000F5A61" w:rsidRDefault="001631BD" w:rsidP="00005564">
            <w:pPr>
              <w:spacing w:before="120" w:line="240" w:lineRule="auto"/>
              <w:jc w:val="both"/>
              <w:rPr>
                <w:rFonts w:ascii="Arial" w:eastAsia="Calibri" w:hAnsi="Arial" w:cs="Arial"/>
                <w:b/>
                <w:sz w:val="20"/>
                <w:szCs w:val="20"/>
                <w:lang w:val="en-US"/>
              </w:rPr>
            </w:pPr>
            <w:r w:rsidRPr="000F5A61">
              <w:rPr>
                <w:rFonts w:ascii="Arial" w:eastAsia="SimSun" w:hAnsi="Arial" w:cs="Arial"/>
                <w:b/>
                <w:sz w:val="20"/>
                <w:szCs w:val="20"/>
                <w:lang w:eastAsia="zh-CN"/>
              </w:rPr>
              <w:t>(maximum</w:t>
            </w:r>
            <w:r w:rsidR="00C43F4F" w:rsidRPr="000F5A61">
              <w:rPr>
                <w:rFonts w:ascii="Arial" w:eastAsia="SimSun" w:hAnsi="Arial" w:cs="Arial"/>
                <w:b/>
                <w:sz w:val="20"/>
                <w:szCs w:val="20"/>
                <w:lang w:eastAsia="zh-CN"/>
              </w:rPr>
              <w:t xml:space="preserve"> 4</w:t>
            </w:r>
            <w:r w:rsidR="005A62F6" w:rsidRPr="000F5A61">
              <w:rPr>
                <w:rFonts w:ascii="Arial" w:eastAsia="SimSun" w:hAnsi="Arial" w:cs="Arial"/>
                <w:b/>
                <w:sz w:val="20"/>
                <w:szCs w:val="20"/>
                <w:lang w:eastAsia="zh-CN"/>
              </w:rPr>
              <w:t>pages per component</w:t>
            </w:r>
            <w:r w:rsidR="00042DCA" w:rsidRPr="000F5A61">
              <w:rPr>
                <w:rFonts w:ascii="Arial" w:eastAsia="SimSun" w:hAnsi="Arial" w:cs="Arial"/>
                <w:b/>
                <w:sz w:val="20"/>
                <w:szCs w:val="20"/>
                <w:lang w:eastAsia="zh-CN"/>
              </w:rPr>
              <w:t>)</w:t>
            </w:r>
          </w:p>
        </w:tc>
      </w:tr>
    </w:tbl>
    <w:p w:rsidR="006F13A0" w:rsidRPr="000F5A61" w:rsidRDefault="005A5808" w:rsidP="00C86062">
      <w:pPr>
        <w:keepNext/>
        <w:keepLines/>
        <w:spacing w:after="120" w:line="240" w:lineRule="auto"/>
        <w:rPr>
          <w:rFonts w:ascii="Arial" w:hAnsi="Arial" w:cs="Arial"/>
          <w:bCs/>
          <w:sz w:val="20"/>
          <w:szCs w:val="20"/>
        </w:rPr>
      </w:pPr>
      <w:r w:rsidRPr="000F5A61">
        <w:rPr>
          <w:rFonts w:ascii="Arial" w:hAnsi="Arial" w:cs="Arial"/>
          <w:sz w:val="20"/>
          <w:szCs w:val="20"/>
        </w:rPr>
        <w:t xml:space="preserve">a). </w:t>
      </w:r>
      <w:r w:rsidRPr="000F5A61">
        <w:rPr>
          <w:rFonts w:ascii="Arial" w:hAnsi="Arial" w:cs="Arial"/>
          <w:bCs/>
          <w:sz w:val="20"/>
          <w:szCs w:val="20"/>
        </w:rPr>
        <w:t>Some of the activities</w:t>
      </w:r>
      <w:r w:rsidR="006F13A0" w:rsidRPr="000F5A61">
        <w:rPr>
          <w:rFonts w:ascii="Arial" w:hAnsi="Arial" w:cs="Arial"/>
          <w:bCs/>
          <w:sz w:val="20"/>
          <w:szCs w:val="20"/>
        </w:rPr>
        <w:t xml:space="preserve"> identified for ‘within allocation’ support</w:t>
      </w:r>
      <w:r w:rsidRPr="000F5A61">
        <w:rPr>
          <w:rFonts w:ascii="Arial" w:hAnsi="Arial" w:cs="Arial"/>
          <w:bCs/>
          <w:sz w:val="20"/>
          <w:szCs w:val="20"/>
        </w:rPr>
        <w:t xml:space="preserve"> are a continuation of high impact activities supported under the current </w:t>
      </w:r>
      <w:r w:rsidR="009251EC" w:rsidRPr="000F5A61">
        <w:rPr>
          <w:rFonts w:ascii="Arial" w:hAnsi="Arial" w:cs="Arial"/>
          <w:bCs/>
          <w:sz w:val="20"/>
          <w:szCs w:val="20"/>
        </w:rPr>
        <w:t>GFATM</w:t>
      </w:r>
      <w:r w:rsidRPr="000F5A61">
        <w:rPr>
          <w:rFonts w:ascii="Arial" w:hAnsi="Arial" w:cs="Arial"/>
          <w:bCs/>
          <w:sz w:val="20"/>
          <w:szCs w:val="20"/>
        </w:rPr>
        <w:t xml:space="preserve"> grant. Others are innovations to address the issues undermining progress towards programmatic goals </w:t>
      </w:r>
      <w:r w:rsidR="000E1FF0" w:rsidRPr="000F5A61">
        <w:rPr>
          <w:rFonts w:ascii="Arial" w:hAnsi="Arial" w:cs="Arial"/>
          <w:bCs/>
          <w:sz w:val="20"/>
          <w:szCs w:val="20"/>
        </w:rPr>
        <w:t xml:space="preserve">described in </w:t>
      </w:r>
      <w:r w:rsidRPr="000F5A61">
        <w:rPr>
          <w:rFonts w:ascii="Arial" w:hAnsi="Arial" w:cs="Arial"/>
          <w:bCs/>
          <w:sz w:val="20"/>
          <w:szCs w:val="20"/>
        </w:rPr>
        <w:t>section 1</w:t>
      </w:r>
      <w:r w:rsidR="006F13A0" w:rsidRPr="000F5A61">
        <w:rPr>
          <w:rFonts w:ascii="Arial" w:hAnsi="Arial" w:cs="Arial"/>
          <w:bCs/>
          <w:sz w:val="20"/>
          <w:szCs w:val="20"/>
        </w:rPr>
        <w:t>,</w:t>
      </w:r>
      <w:r w:rsidRPr="000F5A61">
        <w:rPr>
          <w:rFonts w:ascii="Arial" w:hAnsi="Arial" w:cs="Arial"/>
          <w:bCs/>
          <w:sz w:val="20"/>
          <w:szCs w:val="20"/>
        </w:rPr>
        <w:t xml:space="preserve">and to support the move towards elimination.  </w:t>
      </w:r>
    </w:p>
    <w:p w:rsidR="005A5808" w:rsidRPr="000F5A61" w:rsidRDefault="006F13A0" w:rsidP="00C86062">
      <w:pPr>
        <w:keepNext/>
        <w:keepLines/>
        <w:spacing w:after="120" w:line="240" w:lineRule="auto"/>
        <w:rPr>
          <w:rFonts w:ascii="Arial" w:hAnsi="Arial" w:cs="Arial"/>
          <w:bCs/>
          <w:sz w:val="20"/>
          <w:szCs w:val="20"/>
        </w:rPr>
      </w:pPr>
      <w:r w:rsidRPr="000F5A61">
        <w:rPr>
          <w:rFonts w:ascii="Arial" w:hAnsi="Arial" w:cs="Arial"/>
          <w:bCs/>
          <w:sz w:val="20"/>
          <w:szCs w:val="20"/>
        </w:rPr>
        <w:t>A detailed prioritization was carried out at the sub-activity level</w:t>
      </w:r>
      <w:r w:rsidR="005F21B8" w:rsidRPr="000F5A61">
        <w:rPr>
          <w:rStyle w:val="FootnoteReference"/>
          <w:rFonts w:ascii="Arial" w:hAnsi="Arial" w:cs="Arial"/>
          <w:bCs/>
          <w:sz w:val="20"/>
          <w:szCs w:val="20"/>
        </w:rPr>
        <w:footnoteReference w:id="14"/>
      </w:r>
      <w:r w:rsidRPr="000F5A61">
        <w:rPr>
          <w:rFonts w:ascii="Arial" w:hAnsi="Arial" w:cs="Arial"/>
          <w:bCs/>
          <w:sz w:val="20"/>
          <w:szCs w:val="20"/>
        </w:rPr>
        <w:t xml:space="preserve">. </w:t>
      </w:r>
    </w:p>
    <w:p w:rsidR="0073091D" w:rsidRPr="000F5A61" w:rsidRDefault="00B97B96" w:rsidP="00C86062">
      <w:pPr>
        <w:spacing w:after="120" w:line="240" w:lineRule="auto"/>
        <w:rPr>
          <w:rFonts w:ascii="Arial" w:hAnsi="Arial" w:cs="Arial"/>
          <w:sz w:val="20"/>
          <w:szCs w:val="20"/>
        </w:rPr>
      </w:pPr>
      <w:r w:rsidRPr="000F5A61">
        <w:rPr>
          <w:rFonts w:ascii="Arial" w:hAnsi="Arial" w:cs="Arial"/>
          <w:b/>
          <w:sz w:val="20"/>
          <w:szCs w:val="20"/>
        </w:rPr>
        <w:t xml:space="preserve">Module </w:t>
      </w:r>
      <w:r w:rsidR="00BE532B" w:rsidRPr="000F5A61">
        <w:rPr>
          <w:rFonts w:ascii="Arial" w:hAnsi="Arial" w:cs="Arial"/>
          <w:b/>
          <w:sz w:val="20"/>
          <w:szCs w:val="20"/>
        </w:rPr>
        <w:t xml:space="preserve">1.  </w:t>
      </w:r>
      <w:r w:rsidRPr="000F5A61">
        <w:rPr>
          <w:rFonts w:ascii="Arial" w:hAnsi="Arial" w:cs="Arial"/>
          <w:b/>
          <w:sz w:val="20"/>
          <w:szCs w:val="20"/>
        </w:rPr>
        <w:t>C</w:t>
      </w:r>
      <w:r w:rsidR="00BE532B" w:rsidRPr="000F5A61">
        <w:rPr>
          <w:rFonts w:ascii="Arial" w:hAnsi="Arial" w:cs="Arial"/>
          <w:b/>
          <w:sz w:val="20"/>
          <w:szCs w:val="20"/>
        </w:rPr>
        <w:t>ase management.</w:t>
      </w:r>
    </w:p>
    <w:p w:rsidR="005A5808" w:rsidRPr="000F5A61" w:rsidRDefault="005A5808" w:rsidP="00C86062">
      <w:pPr>
        <w:spacing w:after="120" w:line="240" w:lineRule="auto"/>
        <w:rPr>
          <w:rFonts w:ascii="Arial" w:hAnsi="Arial" w:cs="Arial"/>
          <w:sz w:val="20"/>
          <w:szCs w:val="20"/>
        </w:rPr>
      </w:pPr>
      <w:r w:rsidRPr="000F5A61">
        <w:rPr>
          <w:rFonts w:ascii="Arial" w:hAnsi="Arial" w:cs="Arial"/>
          <w:sz w:val="20"/>
          <w:szCs w:val="20"/>
        </w:rPr>
        <w:lastRenderedPageBreak/>
        <w:t xml:space="preserve">The detection of malaria infections will be based primarily on blood examination by RDTs or microscopy. The Programme aims to test all fever cases in endemic </w:t>
      </w:r>
      <w:r w:rsidR="00066729" w:rsidRPr="000F5A61">
        <w:rPr>
          <w:rFonts w:ascii="Arial" w:hAnsi="Arial" w:cs="Arial"/>
          <w:sz w:val="20"/>
          <w:szCs w:val="20"/>
        </w:rPr>
        <w:t>District</w:t>
      </w:r>
      <w:r w:rsidRPr="000F5A61">
        <w:rPr>
          <w:rFonts w:ascii="Arial" w:hAnsi="Arial" w:cs="Arial"/>
          <w:sz w:val="20"/>
          <w:szCs w:val="20"/>
        </w:rPr>
        <w:t xml:space="preserve">s and all symptomatic cases with an indicative travel history in non-endemic </w:t>
      </w:r>
      <w:r w:rsidR="00066729" w:rsidRPr="000F5A61">
        <w:rPr>
          <w:rFonts w:ascii="Arial" w:hAnsi="Arial" w:cs="Arial"/>
          <w:sz w:val="20"/>
          <w:szCs w:val="20"/>
        </w:rPr>
        <w:t>District</w:t>
      </w:r>
      <w:r w:rsidRPr="000F5A61">
        <w:rPr>
          <w:rFonts w:ascii="Arial" w:hAnsi="Arial" w:cs="Arial"/>
          <w:sz w:val="20"/>
          <w:szCs w:val="20"/>
        </w:rPr>
        <w:t xml:space="preserve">s. The ABER will be increased from below 1% (2016) to </w:t>
      </w:r>
      <w:r w:rsidR="000B328B" w:rsidRPr="000F5A61">
        <w:rPr>
          <w:rFonts w:ascii="Arial" w:hAnsi="Arial" w:cs="Arial"/>
          <w:sz w:val="20"/>
          <w:szCs w:val="20"/>
        </w:rPr>
        <w:t xml:space="preserve">at least </w:t>
      </w:r>
      <w:r w:rsidRPr="000F5A61">
        <w:rPr>
          <w:rFonts w:ascii="Arial" w:hAnsi="Arial" w:cs="Arial"/>
          <w:sz w:val="20"/>
          <w:szCs w:val="20"/>
        </w:rPr>
        <w:t>5% by 2020. This increase will be made possible through the roll-out of community-based testing</w:t>
      </w:r>
      <w:r w:rsidR="000B328B" w:rsidRPr="000F5A61">
        <w:rPr>
          <w:rFonts w:ascii="Arial" w:hAnsi="Arial" w:cs="Arial"/>
          <w:sz w:val="20"/>
          <w:szCs w:val="20"/>
        </w:rPr>
        <w:t xml:space="preserve">, the temporary expansion of </w:t>
      </w:r>
      <w:r w:rsidR="00AE227E" w:rsidRPr="000F5A61">
        <w:rPr>
          <w:rFonts w:ascii="Arial" w:hAnsi="Arial" w:cs="Arial"/>
          <w:sz w:val="20"/>
          <w:szCs w:val="20"/>
        </w:rPr>
        <w:t>Mobile Malaria Clinics (</w:t>
      </w:r>
      <w:r w:rsidR="000B328B" w:rsidRPr="000F5A61">
        <w:rPr>
          <w:rFonts w:ascii="Arial" w:hAnsi="Arial" w:cs="Arial"/>
          <w:sz w:val="20"/>
          <w:szCs w:val="20"/>
        </w:rPr>
        <w:t>MMC</w:t>
      </w:r>
      <w:r w:rsidR="00AE227E" w:rsidRPr="000F5A61">
        <w:rPr>
          <w:rFonts w:ascii="Arial" w:hAnsi="Arial" w:cs="Arial"/>
          <w:sz w:val="20"/>
          <w:szCs w:val="20"/>
        </w:rPr>
        <w:t>s)</w:t>
      </w:r>
      <w:r w:rsidRPr="000F5A61">
        <w:rPr>
          <w:rFonts w:ascii="Arial" w:hAnsi="Arial" w:cs="Arial"/>
          <w:sz w:val="20"/>
          <w:szCs w:val="20"/>
        </w:rPr>
        <w:t xml:space="preserve"> and through </w:t>
      </w:r>
      <w:r w:rsidR="005F21B8" w:rsidRPr="000F5A61">
        <w:rPr>
          <w:rFonts w:ascii="Arial" w:hAnsi="Arial" w:cs="Arial"/>
          <w:sz w:val="20"/>
          <w:szCs w:val="20"/>
        </w:rPr>
        <w:t xml:space="preserve">PS </w:t>
      </w:r>
      <w:r w:rsidRPr="000F5A61">
        <w:rPr>
          <w:rFonts w:ascii="Arial" w:hAnsi="Arial" w:cs="Arial"/>
          <w:sz w:val="20"/>
          <w:szCs w:val="20"/>
        </w:rPr>
        <w:t>engagement. This increase is in-line with the increased case detection requirements associated with elimination.</w:t>
      </w:r>
    </w:p>
    <w:p w:rsidR="00670258" w:rsidRPr="000F5A61" w:rsidRDefault="00670258" w:rsidP="00C86062">
      <w:pPr>
        <w:spacing w:after="120" w:line="240" w:lineRule="auto"/>
        <w:rPr>
          <w:rFonts w:ascii="Arial" w:hAnsi="Arial" w:cs="Arial"/>
          <w:b/>
          <w:sz w:val="20"/>
          <w:szCs w:val="20"/>
        </w:rPr>
      </w:pPr>
      <w:r w:rsidRPr="000F5A61">
        <w:rPr>
          <w:rFonts w:ascii="Arial" w:hAnsi="Arial" w:cs="Arial"/>
          <w:b/>
          <w:sz w:val="20"/>
          <w:szCs w:val="20"/>
        </w:rPr>
        <w:t>Table 2.1. Breakdown of ‘within allocation’ costs by module and intervention.</w:t>
      </w:r>
    </w:p>
    <w:tbl>
      <w:tblPr>
        <w:tblW w:w="8664" w:type="dxa"/>
        <w:tblInd w:w="98" w:type="dxa"/>
        <w:tblLook w:val="04A0"/>
      </w:tblPr>
      <w:tblGrid>
        <w:gridCol w:w="1930"/>
        <w:gridCol w:w="4766"/>
        <w:gridCol w:w="997"/>
        <w:gridCol w:w="971"/>
      </w:tblGrid>
      <w:tr w:rsidR="00670258" w:rsidRPr="000F5A61" w:rsidTr="00B1785B">
        <w:trPr>
          <w:trHeight w:val="730"/>
        </w:trPr>
        <w:tc>
          <w:tcPr>
            <w:tcW w:w="1930" w:type="dxa"/>
            <w:tcBorders>
              <w:top w:val="single" w:sz="8" w:space="0" w:color="auto"/>
              <w:left w:val="single" w:sz="8" w:space="0" w:color="auto"/>
              <w:bottom w:val="single" w:sz="4" w:space="0" w:color="auto"/>
              <w:right w:val="single" w:sz="4" w:space="0" w:color="auto"/>
            </w:tcBorders>
            <w:shd w:val="clear" w:color="000000" w:fill="F2F2F2"/>
            <w:hideMark/>
          </w:tcPr>
          <w:p w:rsidR="00670258" w:rsidRPr="00B1785B" w:rsidRDefault="00670258" w:rsidP="00670258">
            <w:pPr>
              <w:spacing w:after="0" w:line="240" w:lineRule="auto"/>
              <w:rPr>
                <w:rFonts w:ascii="Calibri" w:eastAsia="Times New Roman" w:hAnsi="Calibri" w:cs="Times New Roman"/>
                <w:b/>
                <w:bCs/>
                <w:sz w:val="18"/>
                <w:szCs w:val="18"/>
              </w:rPr>
            </w:pPr>
            <w:r w:rsidRPr="00B1785B">
              <w:rPr>
                <w:rFonts w:ascii="Calibri" w:eastAsia="Times New Roman" w:hAnsi="Calibri" w:cs="Times New Roman"/>
                <w:b/>
                <w:bCs/>
                <w:sz w:val="18"/>
                <w:szCs w:val="18"/>
              </w:rPr>
              <w:t>Module</w:t>
            </w:r>
          </w:p>
        </w:tc>
        <w:tc>
          <w:tcPr>
            <w:tcW w:w="4766" w:type="dxa"/>
            <w:tcBorders>
              <w:top w:val="single" w:sz="8" w:space="0" w:color="auto"/>
              <w:left w:val="nil"/>
              <w:bottom w:val="single" w:sz="8" w:space="0" w:color="auto"/>
              <w:right w:val="nil"/>
            </w:tcBorders>
            <w:shd w:val="clear" w:color="000000" w:fill="F2F2F2"/>
            <w:hideMark/>
          </w:tcPr>
          <w:p w:rsidR="00670258" w:rsidRPr="00B1785B" w:rsidRDefault="00670258" w:rsidP="00670258">
            <w:pPr>
              <w:spacing w:after="0" w:line="240" w:lineRule="auto"/>
              <w:rPr>
                <w:rFonts w:ascii="Calibri" w:eastAsia="Times New Roman" w:hAnsi="Calibri" w:cs="Times New Roman"/>
                <w:b/>
                <w:bCs/>
                <w:sz w:val="18"/>
                <w:szCs w:val="18"/>
              </w:rPr>
            </w:pPr>
            <w:r w:rsidRPr="00B1785B">
              <w:rPr>
                <w:rFonts w:ascii="Calibri" w:eastAsia="Times New Roman" w:hAnsi="Calibri" w:cs="Times New Roman"/>
                <w:b/>
                <w:bCs/>
                <w:sz w:val="18"/>
                <w:szCs w:val="18"/>
              </w:rPr>
              <w:t>Intervention</w:t>
            </w:r>
          </w:p>
        </w:tc>
        <w:tc>
          <w:tcPr>
            <w:tcW w:w="997" w:type="dxa"/>
            <w:tcBorders>
              <w:top w:val="single" w:sz="8" w:space="0" w:color="auto"/>
              <w:left w:val="single" w:sz="8" w:space="0" w:color="auto"/>
              <w:bottom w:val="single" w:sz="8" w:space="0" w:color="auto"/>
              <w:right w:val="single" w:sz="8" w:space="0" w:color="auto"/>
            </w:tcBorders>
            <w:shd w:val="clear" w:color="000000" w:fill="F2F2F2"/>
            <w:hideMark/>
          </w:tcPr>
          <w:p w:rsidR="00670258" w:rsidRPr="00B1785B" w:rsidRDefault="00670258" w:rsidP="00670258">
            <w:pPr>
              <w:spacing w:after="0" w:line="240" w:lineRule="auto"/>
              <w:rPr>
                <w:rFonts w:ascii="Calibri" w:eastAsia="Times New Roman" w:hAnsi="Calibri" w:cs="Times New Roman"/>
                <w:b/>
                <w:bCs/>
                <w:sz w:val="18"/>
                <w:szCs w:val="18"/>
              </w:rPr>
            </w:pPr>
            <w:r w:rsidRPr="00B1785B">
              <w:rPr>
                <w:rFonts w:ascii="Calibri" w:eastAsia="Times New Roman" w:hAnsi="Calibri" w:cs="Times New Roman"/>
                <w:b/>
                <w:bCs/>
                <w:sz w:val="18"/>
                <w:szCs w:val="18"/>
              </w:rPr>
              <w:t>Within allocation</w:t>
            </w:r>
          </w:p>
        </w:tc>
        <w:tc>
          <w:tcPr>
            <w:tcW w:w="971" w:type="dxa"/>
            <w:tcBorders>
              <w:top w:val="single" w:sz="8" w:space="0" w:color="auto"/>
              <w:left w:val="nil"/>
              <w:bottom w:val="single" w:sz="8" w:space="0" w:color="auto"/>
              <w:right w:val="single" w:sz="8" w:space="0" w:color="auto"/>
            </w:tcBorders>
            <w:shd w:val="clear" w:color="000000" w:fill="F2F2F2"/>
            <w:hideMark/>
          </w:tcPr>
          <w:p w:rsidR="00670258" w:rsidRPr="00B1785B" w:rsidRDefault="00670258" w:rsidP="00670258">
            <w:pPr>
              <w:spacing w:after="0" w:line="240" w:lineRule="auto"/>
              <w:rPr>
                <w:rFonts w:ascii="Calibri" w:eastAsia="Times New Roman" w:hAnsi="Calibri" w:cs="Times New Roman"/>
                <w:b/>
                <w:bCs/>
                <w:sz w:val="18"/>
                <w:szCs w:val="18"/>
              </w:rPr>
            </w:pPr>
            <w:r w:rsidRPr="00B1785B">
              <w:rPr>
                <w:rFonts w:ascii="Calibri" w:eastAsia="Times New Roman" w:hAnsi="Calibri" w:cs="Times New Roman"/>
                <w:b/>
                <w:bCs/>
                <w:sz w:val="18"/>
                <w:szCs w:val="18"/>
              </w:rPr>
              <w:t>% of within allocation</w:t>
            </w:r>
          </w:p>
        </w:tc>
      </w:tr>
      <w:tr w:rsidR="000A1E70" w:rsidRPr="000F5A61" w:rsidTr="003B2049">
        <w:trPr>
          <w:trHeight w:val="238"/>
        </w:trPr>
        <w:tc>
          <w:tcPr>
            <w:tcW w:w="1930" w:type="dxa"/>
            <w:tcBorders>
              <w:top w:val="single" w:sz="4" w:space="0" w:color="auto"/>
              <w:left w:val="single" w:sz="4" w:space="0" w:color="auto"/>
              <w:bottom w:val="nil"/>
              <w:right w:val="single" w:sz="4" w:space="0" w:color="auto"/>
            </w:tcBorders>
            <w:shd w:val="clear" w:color="000000" w:fill="F2F2F2"/>
            <w:hideMark/>
          </w:tcPr>
          <w:p w:rsidR="000A1E70" w:rsidRPr="00B1785B" w:rsidRDefault="000A1E70" w:rsidP="00B1785B">
            <w:pPr>
              <w:spacing w:after="0" w:line="240" w:lineRule="auto"/>
              <w:rPr>
                <w:rFonts w:ascii="Calibri" w:eastAsia="Times New Roman" w:hAnsi="Calibri" w:cs="Times New Roman"/>
                <w:sz w:val="18"/>
                <w:szCs w:val="18"/>
              </w:rPr>
            </w:pPr>
            <w:r w:rsidRPr="00B1785B">
              <w:rPr>
                <w:rFonts w:ascii="Calibri" w:eastAsia="Times New Roman" w:hAnsi="Calibri" w:cs="Times New Roman"/>
                <w:sz w:val="18"/>
                <w:szCs w:val="18"/>
              </w:rPr>
              <w:t>Case management</w:t>
            </w:r>
          </w:p>
        </w:tc>
        <w:tc>
          <w:tcPr>
            <w:tcW w:w="4766"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0A1E70" w:rsidRPr="00B1785B" w:rsidRDefault="000A1E70" w:rsidP="00B1785B">
            <w:pPr>
              <w:spacing w:after="0" w:line="240" w:lineRule="auto"/>
              <w:rPr>
                <w:rFonts w:asciiTheme="minorHAnsi" w:eastAsia="Times New Roman" w:hAnsiTheme="minorHAnsi" w:cs="Times New Roman"/>
                <w:sz w:val="18"/>
                <w:szCs w:val="18"/>
              </w:rPr>
            </w:pPr>
            <w:r w:rsidRPr="00B1785B">
              <w:rPr>
                <w:rFonts w:asciiTheme="minorHAnsi" w:hAnsiTheme="minorHAnsi" w:cs="Arial"/>
                <w:sz w:val="18"/>
                <w:szCs w:val="18"/>
              </w:rPr>
              <w:t>Facility-based treatment</w:t>
            </w:r>
          </w:p>
        </w:tc>
        <w:tc>
          <w:tcPr>
            <w:tcW w:w="997"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0A1E70" w:rsidRPr="00B1785B" w:rsidRDefault="000A1E70" w:rsidP="000A1E70">
            <w:pPr>
              <w:spacing w:after="0" w:line="240" w:lineRule="auto"/>
              <w:jc w:val="right"/>
              <w:rPr>
                <w:rFonts w:asciiTheme="minorHAnsi" w:eastAsia="Times New Roman" w:hAnsiTheme="minorHAnsi" w:cs="Times New Roman"/>
                <w:sz w:val="18"/>
                <w:szCs w:val="18"/>
              </w:rPr>
            </w:pPr>
            <w:r>
              <w:rPr>
                <w:rFonts w:asciiTheme="minorHAnsi" w:hAnsiTheme="minorHAnsi" w:cs="Arial"/>
                <w:color w:val="000000"/>
                <w:sz w:val="18"/>
                <w:szCs w:val="18"/>
              </w:rPr>
              <w:t>365</w:t>
            </w:r>
            <w:r w:rsidRPr="00B1785B">
              <w:rPr>
                <w:rFonts w:asciiTheme="minorHAnsi" w:hAnsiTheme="minorHAnsi" w:cs="Arial"/>
                <w:color w:val="000000"/>
                <w:sz w:val="18"/>
                <w:szCs w:val="18"/>
              </w:rPr>
              <w:t>,7</w:t>
            </w:r>
            <w:r>
              <w:rPr>
                <w:rFonts w:asciiTheme="minorHAnsi" w:hAnsiTheme="minorHAnsi" w:cs="Arial"/>
                <w:color w:val="000000"/>
                <w:sz w:val="18"/>
                <w:szCs w:val="18"/>
              </w:rPr>
              <w:t>78</w:t>
            </w:r>
          </w:p>
        </w:tc>
        <w:tc>
          <w:tcPr>
            <w:tcW w:w="971" w:type="dxa"/>
            <w:tcBorders>
              <w:top w:val="single" w:sz="8" w:space="0" w:color="auto"/>
              <w:left w:val="nil"/>
              <w:bottom w:val="single" w:sz="4" w:space="0" w:color="auto"/>
              <w:right w:val="single" w:sz="8" w:space="0" w:color="auto"/>
            </w:tcBorders>
            <w:shd w:val="clear" w:color="auto" w:fill="auto"/>
            <w:noWrap/>
            <w:vAlign w:val="center"/>
            <w:hideMark/>
          </w:tcPr>
          <w:p w:rsidR="000A1E70" w:rsidRPr="00B1785B" w:rsidRDefault="000A1E70" w:rsidP="00B1785B">
            <w:pPr>
              <w:spacing w:after="0" w:line="240" w:lineRule="auto"/>
              <w:jc w:val="right"/>
              <w:rPr>
                <w:rFonts w:asciiTheme="minorHAnsi" w:eastAsia="Times New Roman" w:hAnsiTheme="minorHAnsi" w:cs="Times New Roman"/>
                <w:sz w:val="18"/>
                <w:szCs w:val="18"/>
              </w:rPr>
            </w:pPr>
            <w:r>
              <w:rPr>
                <w:rFonts w:ascii="Calibri" w:hAnsi="Calibri"/>
                <w:color w:val="000000"/>
                <w:sz w:val="18"/>
                <w:szCs w:val="18"/>
              </w:rPr>
              <w:t>8.69%</w:t>
            </w:r>
          </w:p>
        </w:tc>
      </w:tr>
      <w:tr w:rsidR="000A1E70" w:rsidRPr="000F5A61" w:rsidTr="003B2049">
        <w:trPr>
          <w:trHeight w:val="238"/>
        </w:trPr>
        <w:tc>
          <w:tcPr>
            <w:tcW w:w="1930" w:type="dxa"/>
            <w:tcBorders>
              <w:top w:val="nil"/>
              <w:left w:val="single" w:sz="4" w:space="0" w:color="auto"/>
              <w:bottom w:val="nil"/>
              <w:right w:val="single" w:sz="4" w:space="0" w:color="auto"/>
            </w:tcBorders>
            <w:shd w:val="clear" w:color="000000" w:fill="F2F2F2"/>
            <w:hideMark/>
          </w:tcPr>
          <w:p w:rsidR="000A1E70" w:rsidRPr="00B1785B" w:rsidRDefault="000A1E70" w:rsidP="00B1785B">
            <w:pPr>
              <w:spacing w:after="0" w:line="240" w:lineRule="auto"/>
              <w:rPr>
                <w:rFonts w:ascii="Calibri" w:eastAsia="Times New Roman" w:hAnsi="Calibri" w:cs="Times New Roman"/>
                <w:sz w:val="18"/>
                <w:szCs w:val="18"/>
              </w:rPr>
            </w:pPr>
            <w:r w:rsidRPr="00B1785B">
              <w:rPr>
                <w:rFonts w:ascii="Calibri" w:eastAsia="Times New Roman" w:hAnsi="Calibri" w:cs="Times New Roman"/>
                <w:sz w:val="18"/>
                <w:szCs w:val="18"/>
              </w:rPr>
              <w:t> </w:t>
            </w:r>
          </w:p>
        </w:tc>
        <w:tc>
          <w:tcPr>
            <w:tcW w:w="4766"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0A1E70" w:rsidRPr="00B1785B" w:rsidRDefault="000A1E70" w:rsidP="00B1785B">
            <w:pPr>
              <w:spacing w:after="0" w:line="240" w:lineRule="auto"/>
              <w:rPr>
                <w:rFonts w:asciiTheme="minorHAnsi" w:eastAsia="Times New Roman" w:hAnsiTheme="minorHAnsi" w:cs="Times New Roman"/>
                <w:sz w:val="18"/>
                <w:szCs w:val="18"/>
              </w:rPr>
            </w:pPr>
            <w:r w:rsidRPr="00B1785B">
              <w:rPr>
                <w:rFonts w:asciiTheme="minorHAnsi" w:hAnsiTheme="minorHAnsi" w:cs="Arial"/>
                <w:sz w:val="18"/>
                <w:szCs w:val="18"/>
              </w:rPr>
              <w:t>Integrated community case management (ICCM)</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1E70" w:rsidRPr="00B1785B" w:rsidRDefault="000A1E70" w:rsidP="00B1785B">
            <w:pPr>
              <w:spacing w:after="0" w:line="240" w:lineRule="auto"/>
              <w:jc w:val="right"/>
              <w:rPr>
                <w:rFonts w:asciiTheme="minorHAnsi" w:eastAsia="Times New Roman" w:hAnsiTheme="minorHAnsi" w:cs="Times New Roman"/>
                <w:sz w:val="18"/>
                <w:szCs w:val="18"/>
              </w:rPr>
            </w:pPr>
            <w:r w:rsidRPr="00B1785B">
              <w:rPr>
                <w:rFonts w:asciiTheme="minorHAnsi" w:hAnsiTheme="minorHAnsi" w:cs="Arial"/>
                <w:color w:val="000000"/>
                <w:sz w:val="18"/>
                <w:szCs w:val="18"/>
              </w:rPr>
              <w:t>52,227</w:t>
            </w:r>
          </w:p>
        </w:tc>
        <w:tc>
          <w:tcPr>
            <w:tcW w:w="971" w:type="dxa"/>
            <w:tcBorders>
              <w:top w:val="nil"/>
              <w:left w:val="single" w:sz="4" w:space="0" w:color="auto"/>
              <w:bottom w:val="single" w:sz="4" w:space="0" w:color="auto"/>
              <w:right w:val="single" w:sz="8" w:space="0" w:color="auto"/>
            </w:tcBorders>
            <w:shd w:val="clear" w:color="auto" w:fill="auto"/>
            <w:noWrap/>
            <w:vAlign w:val="center"/>
            <w:hideMark/>
          </w:tcPr>
          <w:p w:rsidR="000A1E70" w:rsidRPr="00B1785B" w:rsidRDefault="000A1E70" w:rsidP="00B1785B">
            <w:pPr>
              <w:spacing w:after="0" w:line="240" w:lineRule="auto"/>
              <w:jc w:val="right"/>
              <w:rPr>
                <w:rFonts w:asciiTheme="minorHAnsi" w:eastAsia="Times New Roman" w:hAnsiTheme="minorHAnsi" w:cs="Times New Roman"/>
                <w:sz w:val="18"/>
                <w:szCs w:val="18"/>
              </w:rPr>
            </w:pPr>
            <w:r>
              <w:rPr>
                <w:rFonts w:ascii="Calibri" w:hAnsi="Calibri"/>
                <w:color w:val="000000"/>
                <w:sz w:val="18"/>
                <w:szCs w:val="18"/>
              </w:rPr>
              <w:t>1.24%</w:t>
            </w:r>
          </w:p>
        </w:tc>
      </w:tr>
      <w:tr w:rsidR="000A1E70" w:rsidRPr="000F5A61" w:rsidTr="003B2049">
        <w:trPr>
          <w:trHeight w:val="238"/>
        </w:trPr>
        <w:tc>
          <w:tcPr>
            <w:tcW w:w="1930" w:type="dxa"/>
            <w:tcBorders>
              <w:top w:val="nil"/>
              <w:left w:val="single" w:sz="4" w:space="0" w:color="auto"/>
              <w:bottom w:val="nil"/>
              <w:right w:val="single" w:sz="4" w:space="0" w:color="auto"/>
            </w:tcBorders>
            <w:shd w:val="clear" w:color="000000" w:fill="F2F2F2"/>
            <w:hideMark/>
          </w:tcPr>
          <w:p w:rsidR="000A1E70" w:rsidRPr="00B1785B" w:rsidRDefault="000A1E70" w:rsidP="00B1785B">
            <w:pPr>
              <w:spacing w:after="0" w:line="240" w:lineRule="auto"/>
              <w:rPr>
                <w:rFonts w:ascii="Calibri" w:eastAsia="Times New Roman" w:hAnsi="Calibri" w:cs="Times New Roman"/>
                <w:sz w:val="18"/>
                <w:szCs w:val="18"/>
              </w:rPr>
            </w:pPr>
            <w:r w:rsidRPr="00B1785B">
              <w:rPr>
                <w:rFonts w:ascii="Calibri" w:eastAsia="Times New Roman" w:hAnsi="Calibri" w:cs="Times New Roman"/>
                <w:sz w:val="18"/>
                <w:szCs w:val="18"/>
              </w:rPr>
              <w:t> </w:t>
            </w:r>
          </w:p>
        </w:tc>
        <w:tc>
          <w:tcPr>
            <w:tcW w:w="4766" w:type="dxa"/>
            <w:tcBorders>
              <w:top w:val="nil"/>
              <w:left w:val="single" w:sz="8" w:space="0" w:color="auto"/>
              <w:bottom w:val="single" w:sz="4" w:space="0" w:color="auto"/>
              <w:right w:val="single" w:sz="4" w:space="0" w:color="auto"/>
            </w:tcBorders>
            <w:shd w:val="clear" w:color="auto" w:fill="auto"/>
            <w:vAlign w:val="bottom"/>
            <w:hideMark/>
          </w:tcPr>
          <w:p w:rsidR="000A1E70" w:rsidRPr="00B1785B" w:rsidRDefault="000A1E70" w:rsidP="00B1785B">
            <w:pPr>
              <w:spacing w:after="0" w:line="240" w:lineRule="auto"/>
              <w:rPr>
                <w:rFonts w:asciiTheme="minorHAnsi" w:eastAsia="Times New Roman" w:hAnsiTheme="minorHAnsi" w:cs="Times New Roman"/>
                <w:sz w:val="18"/>
                <w:szCs w:val="18"/>
              </w:rPr>
            </w:pPr>
            <w:r w:rsidRPr="00B1785B">
              <w:rPr>
                <w:rFonts w:asciiTheme="minorHAnsi" w:hAnsiTheme="minorHAnsi" w:cs="Arial"/>
                <w:sz w:val="18"/>
                <w:szCs w:val="18"/>
              </w:rPr>
              <w:t>Active case detection and investigation (elimination phase)</w:t>
            </w:r>
          </w:p>
        </w:tc>
        <w:tc>
          <w:tcPr>
            <w:tcW w:w="997" w:type="dxa"/>
            <w:tcBorders>
              <w:top w:val="nil"/>
              <w:left w:val="single" w:sz="4" w:space="0" w:color="auto"/>
              <w:bottom w:val="single" w:sz="4" w:space="0" w:color="auto"/>
              <w:right w:val="single" w:sz="4" w:space="0" w:color="auto"/>
            </w:tcBorders>
            <w:shd w:val="clear" w:color="auto" w:fill="auto"/>
            <w:noWrap/>
            <w:vAlign w:val="bottom"/>
            <w:hideMark/>
          </w:tcPr>
          <w:p w:rsidR="000A1E70" w:rsidRPr="00B1785B" w:rsidRDefault="000A1E70" w:rsidP="00B1785B">
            <w:pPr>
              <w:spacing w:after="0" w:line="240" w:lineRule="auto"/>
              <w:jc w:val="right"/>
              <w:rPr>
                <w:rFonts w:asciiTheme="minorHAnsi" w:eastAsia="Times New Roman" w:hAnsiTheme="minorHAnsi" w:cs="Times New Roman"/>
                <w:sz w:val="18"/>
                <w:szCs w:val="18"/>
              </w:rPr>
            </w:pPr>
            <w:r w:rsidRPr="00B1785B">
              <w:rPr>
                <w:rFonts w:asciiTheme="minorHAnsi" w:hAnsiTheme="minorHAnsi" w:cs="Arial"/>
                <w:color w:val="000000"/>
                <w:sz w:val="18"/>
                <w:szCs w:val="18"/>
              </w:rPr>
              <w:t>351,594</w:t>
            </w:r>
          </w:p>
        </w:tc>
        <w:tc>
          <w:tcPr>
            <w:tcW w:w="971" w:type="dxa"/>
            <w:tcBorders>
              <w:top w:val="nil"/>
              <w:left w:val="single" w:sz="4" w:space="0" w:color="auto"/>
              <w:bottom w:val="single" w:sz="4" w:space="0" w:color="auto"/>
              <w:right w:val="single" w:sz="8" w:space="0" w:color="auto"/>
            </w:tcBorders>
            <w:shd w:val="clear" w:color="auto" w:fill="auto"/>
            <w:noWrap/>
            <w:vAlign w:val="center"/>
            <w:hideMark/>
          </w:tcPr>
          <w:p w:rsidR="000A1E70" w:rsidRPr="00B1785B" w:rsidRDefault="000A1E70" w:rsidP="00B1785B">
            <w:pPr>
              <w:spacing w:after="0" w:line="240" w:lineRule="auto"/>
              <w:jc w:val="right"/>
              <w:rPr>
                <w:rFonts w:asciiTheme="minorHAnsi" w:eastAsia="Times New Roman" w:hAnsiTheme="minorHAnsi" w:cs="Times New Roman"/>
                <w:sz w:val="18"/>
                <w:szCs w:val="18"/>
              </w:rPr>
            </w:pPr>
            <w:r>
              <w:rPr>
                <w:rFonts w:ascii="Calibri" w:hAnsi="Calibri"/>
                <w:color w:val="000000"/>
                <w:sz w:val="18"/>
                <w:szCs w:val="18"/>
              </w:rPr>
              <w:t>8.35%</w:t>
            </w:r>
          </w:p>
        </w:tc>
      </w:tr>
      <w:tr w:rsidR="000A1E70" w:rsidRPr="000F5A61" w:rsidTr="003B2049">
        <w:trPr>
          <w:trHeight w:val="238"/>
        </w:trPr>
        <w:tc>
          <w:tcPr>
            <w:tcW w:w="1930" w:type="dxa"/>
            <w:tcBorders>
              <w:top w:val="nil"/>
              <w:left w:val="single" w:sz="4" w:space="0" w:color="auto"/>
              <w:bottom w:val="nil"/>
              <w:right w:val="single" w:sz="4" w:space="0" w:color="auto"/>
            </w:tcBorders>
            <w:shd w:val="clear" w:color="000000" w:fill="F2F2F2"/>
            <w:hideMark/>
          </w:tcPr>
          <w:p w:rsidR="000A1E70" w:rsidRPr="00B1785B" w:rsidRDefault="000A1E70" w:rsidP="00B1785B">
            <w:pPr>
              <w:spacing w:after="0" w:line="240" w:lineRule="auto"/>
              <w:rPr>
                <w:rFonts w:ascii="Calibri" w:eastAsia="Times New Roman" w:hAnsi="Calibri" w:cs="Times New Roman"/>
                <w:sz w:val="18"/>
                <w:szCs w:val="18"/>
              </w:rPr>
            </w:pPr>
            <w:r w:rsidRPr="00B1785B">
              <w:rPr>
                <w:rFonts w:ascii="Calibri" w:eastAsia="Times New Roman" w:hAnsi="Calibri" w:cs="Times New Roman"/>
                <w:sz w:val="18"/>
                <w:szCs w:val="18"/>
              </w:rPr>
              <w:t> </w:t>
            </w:r>
          </w:p>
        </w:tc>
        <w:tc>
          <w:tcPr>
            <w:tcW w:w="4766" w:type="dxa"/>
            <w:tcBorders>
              <w:top w:val="nil"/>
              <w:left w:val="single" w:sz="8" w:space="0" w:color="auto"/>
              <w:bottom w:val="single" w:sz="4" w:space="0" w:color="auto"/>
              <w:right w:val="single" w:sz="4" w:space="0" w:color="auto"/>
            </w:tcBorders>
            <w:shd w:val="clear" w:color="auto" w:fill="auto"/>
            <w:vAlign w:val="bottom"/>
            <w:hideMark/>
          </w:tcPr>
          <w:p w:rsidR="000A1E70" w:rsidRPr="00B1785B" w:rsidRDefault="000A1E70" w:rsidP="00B1785B">
            <w:pPr>
              <w:spacing w:after="0" w:line="240" w:lineRule="auto"/>
              <w:rPr>
                <w:rFonts w:asciiTheme="minorHAnsi" w:eastAsia="Times New Roman" w:hAnsiTheme="minorHAnsi" w:cs="Times New Roman"/>
                <w:sz w:val="18"/>
                <w:szCs w:val="18"/>
              </w:rPr>
            </w:pPr>
            <w:r w:rsidRPr="00B1785B">
              <w:rPr>
                <w:rFonts w:asciiTheme="minorHAnsi" w:hAnsiTheme="minorHAnsi" w:cs="Arial"/>
                <w:sz w:val="18"/>
                <w:szCs w:val="18"/>
              </w:rPr>
              <w:t>Severe malaria</w:t>
            </w:r>
          </w:p>
        </w:tc>
        <w:tc>
          <w:tcPr>
            <w:tcW w:w="997" w:type="dxa"/>
            <w:tcBorders>
              <w:top w:val="nil"/>
              <w:left w:val="single" w:sz="4" w:space="0" w:color="auto"/>
              <w:bottom w:val="single" w:sz="4" w:space="0" w:color="auto"/>
              <w:right w:val="single" w:sz="4" w:space="0" w:color="auto"/>
            </w:tcBorders>
            <w:shd w:val="clear" w:color="auto" w:fill="auto"/>
            <w:noWrap/>
            <w:vAlign w:val="bottom"/>
            <w:hideMark/>
          </w:tcPr>
          <w:p w:rsidR="000A1E70" w:rsidRPr="00B1785B" w:rsidRDefault="000A1E70" w:rsidP="00B1785B">
            <w:pPr>
              <w:spacing w:after="0" w:line="240" w:lineRule="auto"/>
              <w:jc w:val="right"/>
              <w:rPr>
                <w:rFonts w:asciiTheme="minorHAnsi" w:eastAsia="Times New Roman" w:hAnsiTheme="minorHAnsi" w:cs="Times New Roman"/>
                <w:sz w:val="18"/>
                <w:szCs w:val="18"/>
              </w:rPr>
            </w:pPr>
            <w:r w:rsidRPr="00B1785B">
              <w:rPr>
                <w:rFonts w:asciiTheme="minorHAnsi" w:hAnsiTheme="minorHAnsi" w:cs="Arial"/>
                <w:color w:val="000000"/>
                <w:sz w:val="18"/>
                <w:szCs w:val="18"/>
              </w:rPr>
              <w:t>51,219</w:t>
            </w:r>
          </w:p>
        </w:tc>
        <w:tc>
          <w:tcPr>
            <w:tcW w:w="971" w:type="dxa"/>
            <w:tcBorders>
              <w:top w:val="nil"/>
              <w:left w:val="single" w:sz="4" w:space="0" w:color="auto"/>
              <w:bottom w:val="single" w:sz="4" w:space="0" w:color="auto"/>
              <w:right w:val="single" w:sz="8" w:space="0" w:color="auto"/>
            </w:tcBorders>
            <w:shd w:val="clear" w:color="auto" w:fill="auto"/>
            <w:noWrap/>
            <w:vAlign w:val="center"/>
            <w:hideMark/>
          </w:tcPr>
          <w:p w:rsidR="000A1E70" w:rsidRPr="00B1785B" w:rsidRDefault="000A1E70" w:rsidP="00B1785B">
            <w:pPr>
              <w:spacing w:after="0" w:line="240" w:lineRule="auto"/>
              <w:jc w:val="right"/>
              <w:rPr>
                <w:rFonts w:asciiTheme="minorHAnsi" w:eastAsia="Times New Roman" w:hAnsiTheme="minorHAnsi" w:cs="Times New Roman"/>
                <w:sz w:val="18"/>
                <w:szCs w:val="18"/>
              </w:rPr>
            </w:pPr>
            <w:r>
              <w:rPr>
                <w:rFonts w:ascii="Calibri" w:hAnsi="Calibri"/>
                <w:color w:val="000000"/>
                <w:sz w:val="18"/>
                <w:szCs w:val="18"/>
              </w:rPr>
              <w:t>1.22%</w:t>
            </w:r>
          </w:p>
        </w:tc>
      </w:tr>
      <w:tr w:rsidR="000A1E70" w:rsidRPr="000F5A61" w:rsidTr="003B2049">
        <w:trPr>
          <w:trHeight w:val="238"/>
        </w:trPr>
        <w:tc>
          <w:tcPr>
            <w:tcW w:w="1930" w:type="dxa"/>
            <w:tcBorders>
              <w:top w:val="nil"/>
              <w:left w:val="single" w:sz="4" w:space="0" w:color="auto"/>
              <w:bottom w:val="nil"/>
              <w:right w:val="single" w:sz="4" w:space="0" w:color="auto"/>
            </w:tcBorders>
            <w:shd w:val="clear" w:color="000000" w:fill="F2F2F2"/>
            <w:hideMark/>
          </w:tcPr>
          <w:p w:rsidR="000A1E70" w:rsidRPr="00B1785B" w:rsidRDefault="000A1E70" w:rsidP="00B1785B">
            <w:pPr>
              <w:spacing w:after="0" w:line="240" w:lineRule="auto"/>
              <w:rPr>
                <w:rFonts w:ascii="Calibri" w:eastAsia="Times New Roman" w:hAnsi="Calibri" w:cs="Times New Roman"/>
                <w:sz w:val="18"/>
                <w:szCs w:val="18"/>
              </w:rPr>
            </w:pPr>
            <w:r w:rsidRPr="00B1785B">
              <w:rPr>
                <w:rFonts w:ascii="Calibri" w:eastAsia="Times New Roman" w:hAnsi="Calibri" w:cs="Times New Roman"/>
                <w:sz w:val="18"/>
                <w:szCs w:val="18"/>
              </w:rPr>
              <w:t> </w:t>
            </w:r>
          </w:p>
        </w:tc>
        <w:tc>
          <w:tcPr>
            <w:tcW w:w="4766" w:type="dxa"/>
            <w:tcBorders>
              <w:top w:val="nil"/>
              <w:left w:val="single" w:sz="8" w:space="0" w:color="auto"/>
              <w:bottom w:val="single" w:sz="4" w:space="0" w:color="auto"/>
              <w:right w:val="single" w:sz="4" w:space="0" w:color="auto"/>
            </w:tcBorders>
            <w:shd w:val="clear" w:color="auto" w:fill="auto"/>
            <w:vAlign w:val="bottom"/>
            <w:hideMark/>
          </w:tcPr>
          <w:p w:rsidR="000A1E70" w:rsidRPr="00B1785B" w:rsidRDefault="000A1E70" w:rsidP="00B1785B">
            <w:pPr>
              <w:spacing w:after="0" w:line="240" w:lineRule="auto"/>
              <w:rPr>
                <w:rFonts w:asciiTheme="minorHAnsi" w:eastAsia="Times New Roman" w:hAnsiTheme="minorHAnsi" w:cs="Times New Roman"/>
                <w:sz w:val="18"/>
                <w:szCs w:val="18"/>
              </w:rPr>
            </w:pPr>
            <w:r w:rsidRPr="00B1785B">
              <w:rPr>
                <w:rFonts w:asciiTheme="minorHAnsi" w:hAnsiTheme="minorHAnsi" w:cs="Arial"/>
                <w:sz w:val="18"/>
                <w:szCs w:val="18"/>
              </w:rPr>
              <w:t>Private sector case management</w:t>
            </w:r>
          </w:p>
        </w:tc>
        <w:tc>
          <w:tcPr>
            <w:tcW w:w="997" w:type="dxa"/>
            <w:tcBorders>
              <w:top w:val="nil"/>
              <w:left w:val="single" w:sz="4" w:space="0" w:color="auto"/>
              <w:bottom w:val="single" w:sz="4" w:space="0" w:color="auto"/>
              <w:right w:val="single" w:sz="4" w:space="0" w:color="auto"/>
            </w:tcBorders>
            <w:shd w:val="clear" w:color="auto" w:fill="auto"/>
            <w:noWrap/>
            <w:vAlign w:val="bottom"/>
            <w:hideMark/>
          </w:tcPr>
          <w:p w:rsidR="000A1E70" w:rsidRPr="00B1785B" w:rsidRDefault="000A1E70" w:rsidP="000A1E70">
            <w:pPr>
              <w:spacing w:after="0" w:line="240" w:lineRule="auto"/>
              <w:jc w:val="right"/>
              <w:rPr>
                <w:rFonts w:asciiTheme="minorHAnsi" w:eastAsia="Times New Roman" w:hAnsiTheme="minorHAnsi" w:cs="Times New Roman"/>
                <w:sz w:val="18"/>
                <w:szCs w:val="18"/>
              </w:rPr>
            </w:pPr>
            <w:r>
              <w:rPr>
                <w:rFonts w:asciiTheme="minorHAnsi" w:hAnsiTheme="minorHAnsi" w:cs="Arial"/>
                <w:color w:val="000000"/>
                <w:sz w:val="18"/>
                <w:szCs w:val="18"/>
              </w:rPr>
              <w:t>115</w:t>
            </w:r>
            <w:r w:rsidRPr="00B1785B">
              <w:rPr>
                <w:rFonts w:asciiTheme="minorHAnsi" w:hAnsiTheme="minorHAnsi" w:cs="Arial"/>
                <w:color w:val="000000"/>
                <w:sz w:val="18"/>
                <w:szCs w:val="18"/>
              </w:rPr>
              <w:t>,</w:t>
            </w:r>
            <w:r>
              <w:rPr>
                <w:rFonts w:asciiTheme="minorHAnsi" w:hAnsiTheme="minorHAnsi" w:cs="Arial"/>
                <w:color w:val="000000"/>
                <w:sz w:val="18"/>
                <w:szCs w:val="18"/>
              </w:rPr>
              <w:t>111</w:t>
            </w:r>
          </w:p>
        </w:tc>
        <w:tc>
          <w:tcPr>
            <w:tcW w:w="971" w:type="dxa"/>
            <w:tcBorders>
              <w:top w:val="nil"/>
              <w:left w:val="single" w:sz="4" w:space="0" w:color="auto"/>
              <w:bottom w:val="single" w:sz="4" w:space="0" w:color="auto"/>
              <w:right w:val="single" w:sz="8" w:space="0" w:color="auto"/>
            </w:tcBorders>
            <w:shd w:val="clear" w:color="auto" w:fill="auto"/>
            <w:noWrap/>
            <w:vAlign w:val="center"/>
            <w:hideMark/>
          </w:tcPr>
          <w:p w:rsidR="000A1E70" w:rsidRPr="00B1785B" w:rsidRDefault="000A1E70" w:rsidP="00B1785B">
            <w:pPr>
              <w:spacing w:after="0" w:line="240" w:lineRule="auto"/>
              <w:jc w:val="right"/>
              <w:rPr>
                <w:rFonts w:asciiTheme="minorHAnsi" w:eastAsia="Times New Roman" w:hAnsiTheme="minorHAnsi" w:cs="Times New Roman"/>
                <w:sz w:val="18"/>
                <w:szCs w:val="18"/>
              </w:rPr>
            </w:pPr>
            <w:r>
              <w:rPr>
                <w:rFonts w:ascii="Calibri" w:hAnsi="Calibri"/>
                <w:color w:val="000000"/>
                <w:sz w:val="18"/>
                <w:szCs w:val="18"/>
              </w:rPr>
              <w:t>2.74%</w:t>
            </w:r>
          </w:p>
        </w:tc>
      </w:tr>
      <w:tr w:rsidR="000A1E70" w:rsidRPr="000F5A61" w:rsidTr="003B2049">
        <w:trPr>
          <w:trHeight w:val="251"/>
        </w:trPr>
        <w:tc>
          <w:tcPr>
            <w:tcW w:w="1930" w:type="dxa"/>
            <w:tcBorders>
              <w:top w:val="nil"/>
              <w:left w:val="single" w:sz="4" w:space="0" w:color="auto"/>
              <w:right w:val="single" w:sz="4" w:space="0" w:color="auto"/>
            </w:tcBorders>
            <w:shd w:val="clear" w:color="000000" w:fill="F2F2F2"/>
            <w:hideMark/>
          </w:tcPr>
          <w:p w:rsidR="000A1E70" w:rsidRPr="00B1785B" w:rsidRDefault="000A1E70" w:rsidP="00B1785B">
            <w:pPr>
              <w:spacing w:after="0" w:line="240" w:lineRule="auto"/>
              <w:rPr>
                <w:rFonts w:ascii="Calibri" w:eastAsia="Times New Roman" w:hAnsi="Calibri" w:cs="Times New Roman"/>
                <w:sz w:val="18"/>
                <w:szCs w:val="18"/>
              </w:rPr>
            </w:pPr>
            <w:r w:rsidRPr="00B1785B">
              <w:rPr>
                <w:rFonts w:ascii="Calibri" w:eastAsia="Times New Roman" w:hAnsi="Calibri" w:cs="Times New Roman"/>
                <w:sz w:val="18"/>
                <w:szCs w:val="18"/>
              </w:rPr>
              <w:t> </w:t>
            </w:r>
          </w:p>
        </w:tc>
        <w:tc>
          <w:tcPr>
            <w:tcW w:w="4766" w:type="dxa"/>
            <w:tcBorders>
              <w:top w:val="nil"/>
              <w:left w:val="single" w:sz="8" w:space="0" w:color="auto"/>
              <w:bottom w:val="single" w:sz="4" w:space="0" w:color="auto"/>
              <w:right w:val="single" w:sz="4" w:space="0" w:color="auto"/>
            </w:tcBorders>
            <w:shd w:val="clear" w:color="auto" w:fill="auto"/>
            <w:vAlign w:val="bottom"/>
            <w:hideMark/>
          </w:tcPr>
          <w:p w:rsidR="000A1E70" w:rsidRPr="00B1785B" w:rsidRDefault="000A1E70" w:rsidP="00B1785B">
            <w:pPr>
              <w:spacing w:after="0" w:line="240" w:lineRule="auto"/>
              <w:rPr>
                <w:rFonts w:asciiTheme="minorHAnsi" w:eastAsia="Times New Roman" w:hAnsiTheme="minorHAnsi" w:cs="Times New Roman"/>
                <w:sz w:val="18"/>
                <w:szCs w:val="18"/>
              </w:rPr>
            </w:pPr>
            <w:r>
              <w:rPr>
                <w:rFonts w:asciiTheme="minorHAnsi" w:hAnsiTheme="minorHAnsi" w:cs="Arial"/>
                <w:sz w:val="18"/>
                <w:szCs w:val="18"/>
              </w:rPr>
              <w:t xml:space="preserve">IEC/BCC </w:t>
            </w:r>
          </w:p>
        </w:tc>
        <w:tc>
          <w:tcPr>
            <w:tcW w:w="997" w:type="dxa"/>
            <w:tcBorders>
              <w:top w:val="nil"/>
              <w:left w:val="single" w:sz="4" w:space="0" w:color="auto"/>
              <w:bottom w:val="single" w:sz="4" w:space="0" w:color="auto"/>
              <w:right w:val="single" w:sz="4" w:space="0" w:color="auto"/>
            </w:tcBorders>
            <w:shd w:val="clear" w:color="auto" w:fill="auto"/>
            <w:noWrap/>
            <w:vAlign w:val="bottom"/>
            <w:hideMark/>
          </w:tcPr>
          <w:p w:rsidR="000A1E70" w:rsidRPr="00B1785B" w:rsidRDefault="000A1E70" w:rsidP="00B1785B">
            <w:pPr>
              <w:spacing w:after="0" w:line="240" w:lineRule="auto"/>
              <w:jc w:val="right"/>
              <w:rPr>
                <w:rFonts w:asciiTheme="minorHAnsi" w:eastAsia="Times New Roman" w:hAnsiTheme="minorHAnsi" w:cs="Times New Roman"/>
                <w:sz w:val="18"/>
                <w:szCs w:val="18"/>
              </w:rPr>
            </w:pPr>
            <w:r w:rsidRPr="00B1785B">
              <w:rPr>
                <w:rFonts w:asciiTheme="minorHAnsi" w:hAnsiTheme="minorHAnsi" w:cs="Arial"/>
                <w:color w:val="000000"/>
                <w:sz w:val="18"/>
                <w:szCs w:val="18"/>
              </w:rPr>
              <w:t>14,418</w:t>
            </w:r>
          </w:p>
        </w:tc>
        <w:tc>
          <w:tcPr>
            <w:tcW w:w="971" w:type="dxa"/>
            <w:tcBorders>
              <w:top w:val="nil"/>
              <w:left w:val="single" w:sz="4" w:space="0" w:color="auto"/>
              <w:bottom w:val="single" w:sz="4" w:space="0" w:color="auto"/>
              <w:right w:val="single" w:sz="8" w:space="0" w:color="auto"/>
            </w:tcBorders>
            <w:shd w:val="clear" w:color="auto" w:fill="auto"/>
            <w:noWrap/>
            <w:vAlign w:val="center"/>
            <w:hideMark/>
          </w:tcPr>
          <w:p w:rsidR="000A1E70" w:rsidRPr="00B1785B" w:rsidRDefault="000A1E70" w:rsidP="00B1785B">
            <w:pPr>
              <w:spacing w:after="0" w:line="240" w:lineRule="auto"/>
              <w:jc w:val="right"/>
              <w:rPr>
                <w:rFonts w:asciiTheme="minorHAnsi" w:eastAsia="Times New Roman" w:hAnsiTheme="minorHAnsi" w:cs="Times New Roman"/>
                <w:sz w:val="18"/>
                <w:szCs w:val="18"/>
              </w:rPr>
            </w:pPr>
            <w:r>
              <w:rPr>
                <w:rFonts w:ascii="Calibri" w:hAnsi="Calibri"/>
                <w:color w:val="000000"/>
                <w:sz w:val="18"/>
                <w:szCs w:val="18"/>
              </w:rPr>
              <w:t>0.34%</w:t>
            </w:r>
          </w:p>
        </w:tc>
      </w:tr>
      <w:tr w:rsidR="000A1E70" w:rsidRPr="000F5A61" w:rsidTr="003B2049">
        <w:trPr>
          <w:trHeight w:val="251"/>
        </w:trPr>
        <w:tc>
          <w:tcPr>
            <w:tcW w:w="1930" w:type="dxa"/>
            <w:tcBorders>
              <w:top w:val="nil"/>
              <w:left w:val="single" w:sz="4" w:space="0" w:color="auto"/>
              <w:bottom w:val="single" w:sz="4" w:space="0" w:color="auto"/>
              <w:right w:val="single" w:sz="4" w:space="0" w:color="auto"/>
            </w:tcBorders>
            <w:shd w:val="clear" w:color="000000" w:fill="F2F2F2"/>
          </w:tcPr>
          <w:p w:rsidR="000A1E70" w:rsidRPr="00B1785B" w:rsidRDefault="000A1E70" w:rsidP="00B1785B">
            <w:pPr>
              <w:spacing w:after="0" w:line="240" w:lineRule="auto"/>
              <w:rPr>
                <w:rFonts w:ascii="Calibri" w:eastAsia="Times New Roman" w:hAnsi="Calibri" w:cs="Times New Roman"/>
                <w:sz w:val="18"/>
                <w:szCs w:val="18"/>
              </w:rPr>
            </w:pPr>
          </w:p>
        </w:tc>
        <w:tc>
          <w:tcPr>
            <w:tcW w:w="4766" w:type="dxa"/>
            <w:tcBorders>
              <w:top w:val="nil"/>
              <w:left w:val="single" w:sz="8" w:space="0" w:color="auto"/>
              <w:bottom w:val="single" w:sz="4" w:space="0" w:color="auto"/>
              <w:right w:val="single" w:sz="4" w:space="0" w:color="auto"/>
            </w:tcBorders>
            <w:shd w:val="clear" w:color="auto" w:fill="auto"/>
            <w:vAlign w:val="bottom"/>
          </w:tcPr>
          <w:p w:rsidR="000A1E70" w:rsidRPr="00B1785B" w:rsidRDefault="000A1E70" w:rsidP="00B1785B">
            <w:pPr>
              <w:spacing w:after="0" w:line="240" w:lineRule="auto"/>
              <w:rPr>
                <w:rFonts w:asciiTheme="minorHAnsi" w:eastAsia="Times New Roman" w:hAnsiTheme="minorHAnsi" w:cs="Times New Roman"/>
                <w:sz w:val="18"/>
                <w:szCs w:val="18"/>
              </w:rPr>
            </w:pPr>
            <w:r w:rsidRPr="00B1785B">
              <w:rPr>
                <w:rFonts w:asciiTheme="minorHAnsi" w:hAnsiTheme="minorHAnsi" w:cs="Arial"/>
                <w:sz w:val="18"/>
                <w:szCs w:val="18"/>
              </w:rPr>
              <w:t>Other case management intervention(s)</w:t>
            </w:r>
          </w:p>
        </w:tc>
        <w:tc>
          <w:tcPr>
            <w:tcW w:w="997" w:type="dxa"/>
            <w:tcBorders>
              <w:top w:val="nil"/>
              <w:left w:val="single" w:sz="4" w:space="0" w:color="auto"/>
              <w:bottom w:val="single" w:sz="4" w:space="0" w:color="auto"/>
              <w:right w:val="single" w:sz="4" w:space="0" w:color="auto"/>
            </w:tcBorders>
            <w:shd w:val="clear" w:color="auto" w:fill="auto"/>
            <w:noWrap/>
            <w:vAlign w:val="bottom"/>
          </w:tcPr>
          <w:p w:rsidR="000A1E70" w:rsidRPr="00B1785B" w:rsidRDefault="000A1E70" w:rsidP="00B1785B">
            <w:pPr>
              <w:spacing w:after="0" w:line="240" w:lineRule="auto"/>
              <w:jc w:val="right"/>
              <w:rPr>
                <w:rFonts w:asciiTheme="minorHAnsi" w:eastAsia="Times New Roman" w:hAnsiTheme="minorHAnsi" w:cs="Times New Roman"/>
                <w:sz w:val="18"/>
                <w:szCs w:val="18"/>
              </w:rPr>
            </w:pPr>
            <w:r>
              <w:rPr>
                <w:rFonts w:asciiTheme="minorHAnsi" w:hAnsiTheme="minorHAnsi" w:cs="Arial"/>
                <w:color w:val="000000"/>
                <w:sz w:val="18"/>
                <w:szCs w:val="18"/>
              </w:rPr>
              <w:t>254,765</w:t>
            </w:r>
          </w:p>
        </w:tc>
        <w:tc>
          <w:tcPr>
            <w:tcW w:w="971" w:type="dxa"/>
            <w:tcBorders>
              <w:top w:val="nil"/>
              <w:left w:val="single" w:sz="4" w:space="0" w:color="auto"/>
              <w:bottom w:val="single" w:sz="4" w:space="0" w:color="auto"/>
              <w:right w:val="single" w:sz="8" w:space="0" w:color="auto"/>
            </w:tcBorders>
            <w:shd w:val="clear" w:color="auto" w:fill="auto"/>
            <w:noWrap/>
            <w:vAlign w:val="center"/>
          </w:tcPr>
          <w:p w:rsidR="000A1E70" w:rsidRPr="00B1785B" w:rsidRDefault="000A1E70" w:rsidP="00B1785B">
            <w:pPr>
              <w:spacing w:after="0" w:line="240" w:lineRule="auto"/>
              <w:jc w:val="right"/>
              <w:rPr>
                <w:rFonts w:asciiTheme="minorHAnsi" w:eastAsia="Times New Roman" w:hAnsiTheme="minorHAnsi" w:cs="Times New Roman"/>
                <w:sz w:val="18"/>
                <w:szCs w:val="18"/>
              </w:rPr>
            </w:pPr>
            <w:r>
              <w:rPr>
                <w:rFonts w:ascii="Calibri" w:hAnsi="Calibri"/>
                <w:color w:val="000000"/>
                <w:sz w:val="18"/>
                <w:szCs w:val="18"/>
              </w:rPr>
              <w:t>6.05%</w:t>
            </w:r>
          </w:p>
        </w:tc>
      </w:tr>
      <w:tr w:rsidR="000A1E70" w:rsidRPr="000F5A61" w:rsidTr="003B2049">
        <w:trPr>
          <w:trHeight w:val="242"/>
        </w:trPr>
        <w:tc>
          <w:tcPr>
            <w:tcW w:w="1930" w:type="dxa"/>
            <w:vMerge w:val="restart"/>
            <w:tcBorders>
              <w:top w:val="single" w:sz="4" w:space="0" w:color="auto"/>
              <w:left w:val="single" w:sz="8" w:space="0" w:color="auto"/>
              <w:bottom w:val="single" w:sz="8" w:space="0" w:color="000000"/>
              <w:right w:val="single" w:sz="8" w:space="0" w:color="auto"/>
            </w:tcBorders>
            <w:shd w:val="clear" w:color="000000" w:fill="F2F2F2"/>
            <w:hideMark/>
          </w:tcPr>
          <w:p w:rsidR="000A1E70" w:rsidRPr="00B1785B" w:rsidRDefault="000A1E70" w:rsidP="00B1785B">
            <w:pPr>
              <w:spacing w:after="0" w:line="240" w:lineRule="auto"/>
              <w:rPr>
                <w:rFonts w:ascii="Calibri" w:eastAsia="Times New Roman" w:hAnsi="Calibri" w:cs="Times New Roman"/>
                <w:sz w:val="18"/>
                <w:szCs w:val="18"/>
              </w:rPr>
            </w:pPr>
            <w:r w:rsidRPr="00B1785B">
              <w:rPr>
                <w:rFonts w:ascii="Calibri" w:eastAsia="Times New Roman" w:hAnsi="Calibri" w:cs="Times New Roman"/>
                <w:sz w:val="18"/>
                <w:szCs w:val="18"/>
              </w:rPr>
              <w:t>Health information systems and M&amp;E</w:t>
            </w:r>
          </w:p>
        </w:tc>
        <w:tc>
          <w:tcPr>
            <w:tcW w:w="4766" w:type="dxa"/>
            <w:tcBorders>
              <w:top w:val="nil"/>
              <w:left w:val="nil"/>
              <w:bottom w:val="single" w:sz="4" w:space="0" w:color="auto"/>
              <w:right w:val="single" w:sz="8" w:space="0" w:color="auto"/>
            </w:tcBorders>
            <w:shd w:val="clear" w:color="auto" w:fill="auto"/>
            <w:hideMark/>
          </w:tcPr>
          <w:p w:rsidR="000A1E70" w:rsidRPr="00B1785B" w:rsidRDefault="000A1E70" w:rsidP="00B1785B">
            <w:pPr>
              <w:spacing w:after="0" w:line="240" w:lineRule="auto"/>
              <w:rPr>
                <w:rFonts w:ascii="Calibri" w:eastAsia="Times New Roman" w:hAnsi="Calibri" w:cs="Times New Roman"/>
                <w:sz w:val="18"/>
                <w:szCs w:val="18"/>
              </w:rPr>
            </w:pPr>
            <w:r w:rsidRPr="00B1785B">
              <w:rPr>
                <w:rFonts w:ascii="Calibri" w:eastAsia="Times New Roman" w:hAnsi="Calibri" w:cs="Times New Roman"/>
                <w:sz w:val="18"/>
                <w:szCs w:val="18"/>
              </w:rPr>
              <w:t>Routine reporting</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1E70" w:rsidRPr="00B1785B" w:rsidRDefault="000A1E70" w:rsidP="00B1785B">
            <w:pPr>
              <w:spacing w:after="0" w:line="240" w:lineRule="auto"/>
              <w:jc w:val="right"/>
              <w:rPr>
                <w:rFonts w:asciiTheme="minorHAnsi" w:hAnsiTheme="minorHAnsi" w:cs="Arial"/>
                <w:color w:val="000000"/>
                <w:sz w:val="18"/>
                <w:szCs w:val="18"/>
              </w:rPr>
            </w:pPr>
            <w:r w:rsidRPr="00B1785B">
              <w:rPr>
                <w:rFonts w:asciiTheme="minorHAnsi" w:hAnsiTheme="minorHAnsi" w:cs="Arial"/>
                <w:color w:val="000000"/>
                <w:sz w:val="18"/>
                <w:szCs w:val="18"/>
              </w:rPr>
              <w:t>217,881</w:t>
            </w:r>
          </w:p>
        </w:tc>
        <w:tc>
          <w:tcPr>
            <w:tcW w:w="971"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0A1E70" w:rsidRPr="00B1785B" w:rsidRDefault="000A1E70" w:rsidP="00B1785B">
            <w:pPr>
              <w:spacing w:after="0" w:line="240" w:lineRule="auto"/>
              <w:jc w:val="right"/>
              <w:rPr>
                <w:rFonts w:asciiTheme="minorHAnsi" w:eastAsia="Times New Roman" w:hAnsiTheme="minorHAnsi" w:cs="Times New Roman"/>
                <w:sz w:val="18"/>
                <w:szCs w:val="18"/>
              </w:rPr>
            </w:pPr>
            <w:r>
              <w:rPr>
                <w:rFonts w:ascii="Calibri" w:hAnsi="Calibri"/>
                <w:color w:val="000000"/>
                <w:sz w:val="18"/>
                <w:szCs w:val="18"/>
              </w:rPr>
              <w:t>5.18%</w:t>
            </w:r>
          </w:p>
        </w:tc>
      </w:tr>
      <w:tr w:rsidR="000A1E70" w:rsidRPr="000F5A61" w:rsidTr="003B2049">
        <w:trPr>
          <w:trHeight w:val="251"/>
        </w:trPr>
        <w:tc>
          <w:tcPr>
            <w:tcW w:w="1930" w:type="dxa"/>
            <w:vMerge/>
            <w:tcBorders>
              <w:top w:val="nil"/>
              <w:left w:val="single" w:sz="8" w:space="0" w:color="auto"/>
              <w:bottom w:val="single" w:sz="8" w:space="0" w:color="000000"/>
              <w:right w:val="single" w:sz="8" w:space="0" w:color="auto"/>
            </w:tcBorders>
            <w:vAlign w:val="center"/>
            <w:hideMark/>
          </w:tcPr>
          <w:p w:rsidR="000A1E70" w:rsidRPr="00B1785B" w:rsidRDefault="000A1E70" w:rsidP="00B1785B">
            <w:pPr>
              <w:spacing w:after="0" w:line="240" w:lineRule="auto"/>
              <w:rPr>
                <w:rFonts w:ascii="Calibri" w:eastAsia="Times New Roman" w:hAnsi="Calibri" w:cs="Times New Roman"/>
                <w:sz w:val="18"/>
                <w:szCs w:val="18"/>
              </w:rPr>
            </w:pPr>
          </w:p>
        </w:tc>
        <w:tc>
          <w:tcPr>
            <w:tcW w:w="4766" w:type="dxa"/>
            <w:tcBorders>
              <w:top w:val="nil"/>
              <w:left w:val="nil"/>
              <w:bottom w:val="single" w:sz="8" w:space="0" w:color="auto"/>
              <w:right w:val="single" w:sz="8" w:space="0" w:color="auto"/>
            </w:tcBorders>
            <w:shd w:val="clear" w:color="auto" w:fill="auto"/>
            <w:hideMark/>
          </w:tcPr>
          <w:p w:rsidR="000A1E70" w:rsidRPr="00B1785B" w:rsidRDefault="000A1E70" w:rsidP="00B1785B">
            <w:pPr>
              <w:spacing w:after="0" w:line="240" w:lineRule="auto"/>
              <w:rPr>
                <w:rFonts w:ascii="Calibri" w:eastAsia="Times New Roman" w:hAnsi="Calibri" w:cs="Times New Roman"/>
                <w:sz w:val="18"/>
                <w:szCs w:val="18"/>
              </w:rPr>
            </w:pPr>
            <w:r w:rsidRPr="00B1785B">
              <w:rPr>
                <w:rFonts w:ascii="Calibri" w:eastAsia="Times New Roman" w:hAnsi="Calibri" w:cs="Times New Roman"/>
                <w:sz w:val="18"/>
                <w:szCs w:val="18"/>
              </w:rPr>
              <w:t>Analysis, review and transparency</w:t>
            </w:r>
          </w:p>
        </w:tc>
        <w:tc>
          <w:tcPr>
            <w:tcW w:w="997" w:type="dxa"/>
            <w:tcBorders>
              <w:top w:val="nil"/>
              <w:left w:val="single" w:sz="4" w:space="0" w:color="auto"/>
              <w:bottom w:val="single" w:sz="4" w:space="0" w:color="auto"/>
              <w:right w:val="single" w:sz="4" w:space="0" w:color="auto"/>
            </w:tcBorders>
            <w:shd w:val="clear" w:color="auto" w:fill="auto"/>
            <w:noWrap/>
            <w:vAlign w:val="bottom"/>
            <w:hideMark/>
          </w:tcPr>
          <w:p w:rsidR="000A1E70" w:rsidRPr="00B1785B" w:rsidRDefault="000A1E70" w:rsidP="00B1785B">
            <w:pPr>
              <w:spacing w:after="0" w:line="240" w:lineRule="auto"/>
              <w:jc w:val="right"/>
              <w:rPr>
                <w:rFonts w:asciiTheme="minorHAnsi" w:eastAsia="Times New Roman" w:hAnsiTheme="minorHAnsi" w:cs="Times New Roman"/>
                <w:sz w:val="18"/>
                <w:szCs w:val="18"/>
              </w:rPr>
            </w:pPr>
            <w:r w:rsidRPr="00B1785B">
              <w:rPr>
                <w:rFonts w:asciiTheme="minorHAnsi" w:hAnsiTheme="minorHAnsi" w:cs="Arial"/>
                <w:color w:val="000000"/>
                <w:sz w:val="18"/>
                <w:szCs w:val="18"/>
              </w:rPr>
              <w:t>30,869</w:t>
            </w:r>
          </w:p>
        </w:tc>
        <w:tc>
          <w:tcPr>
            <w:tcW w:w="971" w:type="dxa"/>
            <w:tcBorders>
              <w:top w:val="nil"/>
              <w:left w:val="single" w:sz="4" w:space="0" w:color="auto"/>
              <w:bottom w:val="single" w:sz="4" w:space="0" w:color="auto"/>
              <w:right w:val="single" w:sz="8" w:space="0" w:color="auto"/>
            </w:tcBorders>
            <w:shd w:val="clear" w:color="auto" w:fill="auto"/>
            <w:noWrap/>
            <w:vAlign w:val="center"/>
            <w:hideMark/>
          </w:tcPr>
          <w:p w:rsidR="000A1E70" w:rsidRPr="00B1785B" w:rsidRDefault="000A1E70" w:rsidP="00B1785B">
            <w:pPr>
              <w:spacing w:after="0" w:line="240" w:lineRule="auto"/>
              <w:jc w:val="right"/>
              <w:rPr>
                <w:rFonts w:asciiTheme="minorHAnsi" w:eastAsia="Times New Roman" w:hAnsiTheme="minorHAnsi" w:cs="Times New Roman"/>
                <w:sz w:val="18"/>
                <w:szCs w:val="18"/>
              </w:rPr>
            </w:pPr>
            <w:r>
              <w:rPr>
                <w:rFonts w:ascii="Calibri" w:hAnsi="Calibri"/>
                <w:color w:val="000000"/>
                <w:sz w:val="18"/>
                <w:szCs w:val="18"/>
              </w:rPr>
              <w:t>0.73%</w:t>
            </w:r>
          </w:p>
        </w:tc>
      </w:tr>
      <w:tr w:rsidR="000A1E70" w:rsidRPr="000F5A61" w:rsidTr="003B2049">
        <w:trPr>
          <w:trHeight w:val="238"/>
        </w:trPr>
        <w:tc>
          <w:tcPr>
            <w:tcW w:w="1930" w:type="dxa"/>
            <w:vMerge w:val="restart"/>
            <w:tcBorders>
              <w:top w:val="nil"/>
              <w:left w:val="single" w:sz="8" w:space="0" w:color="auto"/>
              <w:bottom w:val="single" w:sz="8" w:space="0" w:color="000000"/>
              <w:right w:val="single" w:sz="8" w:space="0" w:color="auto"/>
            </w:tcBorders>
            <w:shd w:val="clear" w:color="000000" w:fill="F2F2F2"/>
            <w:hideMark/>
          </w:tcPr>
          <w:p w:rsidR="000A1E70" w:rsidRPr="00B1785B" w:rsidRDefault="000A1E70" w:rsidP="00097527">
            <w:pPr>
              <w:spacing w:after="0" w:line="240" w:lineRule="auto"/>
              <w:rPr>
                <w:rFonts w:ascii="Calibri" w:eastAsia="Times New Roman" w:hAnsi="Calibri" w:cs="Times New Roman"/>
                <w:sz w:val="18"/>
                <w:szCs w:val="18"/>
              </w:rPr>
            </w:pPr>
            <w:r w:rsidRPr="00B1785B">
              <w:rPr>
                <w:rFonts w:ascii="Calibri" w:eastAsia="Times New Roman" w:hAnsi="Calibri" w:cs="Times New Roman"/>
                <w:sz w:val="18"/>
                <w:szCs w:val="18"/>
              </w:rPr>
              <w:t>Program management</w:t>
            </w:r>
          </w:p>
        </w:tc>
        <w:tc>
          <w:tcPr>
            <w:tcW w:w="4766"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0A1E70" w:rsidRPr="00097527" w:rsidRDefault="000A1E70" w:rsidP="00097527">
            <w:pPr>
              <w:spacing w:after="0" w:line="240" w:lineRule="auto"/>
              <w:rPr>
                <w:rFonts w:asciiTheme="minorHAnsi" w:eastAsia="Times New Roman" w:hAnsiTheme="minorHAnsi" w:cs="Times New Roman"/>
                <w:sz w:val="18"/>
                <w:szCs w:val="18"/>
              </w:rPr>
            </w:pPr>
            <w:r w:rsidRPr="00097527">
              <w:rPr>
                <w:rFonts w:asciiTheme="minorHAnsi" w:hAnsiTheme="minorHAnsi" w:cs="Arial"/>
                <w:sz w:val="18"/>
                <w:szCs w:val="18"/>
              </w:rPr>
              <w:t>Policy, planning, coordination and management of national disease control programs</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rsidR="000A1E70" w:rsidRPr="00097527" w:rsidRDefault="000A1E70" w:rsidP="00097527">
            <w:pPr>
              <w:spacing w:after="0" w:line="240" w:lineRule="auto"/>
              <w:jc w:val="right"/>
              <w:rPr>
                <w:rFonts w:asciiTheme="minorHAnsi" w:eastAsia="Times New Roman" w:hAnsiTheme="minorHAnsi" w:cs="Times New Roman"/>
                <w:sz w:val="18"/>
                <w:szCs w:val="18"/>
              </w:rPr>
            </w:pPr>
            <w:r w:rsidRPr="00097527">
              <w:rPr>
                <w:rFonts w:asciiTheme="minorHAnsi" w:hAnsiTheme="minorHAnsi" w:cs="Arial"/>
                <w:color w:val="000000"/>
                <w:sz w:val="18"/>
                <w:szCs w:val="18"/>
              </w:rPr>
              <w:t>2,097,727</w:t>
            </w:r>
          </w:p>
        </w:tc>
        <w:tc>
          <w:tcPr>
            <w:tcW w:w="971"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0A1E70" w:rsidRPr="00097527" w:rsidRDefault="000A1E70" w:rsidP="00097527">
            <w:pPr>
              <w:spacing w:after="0" w:line="240" w:lineRule="auto"/>
              <w:jc w:val="right"/>
              <w:rPr>
                <w:rFonts w:asciiTheme="minorHAnsi" w:eastAsia="Times New Roman" w:hAnsiTheme="minorHAnsi" w:cs="Times New Roman"/>
                <w:sz w:val="18"/>
                <w:szCs w:val="18"/>
              </w:rPr>
            </w:pPr>
            <w:r>
              <w:rPr>
                <w:rFonts w:ascii="Calibri" w:hAnsi="Calibri"/>
                <w:color w:val="000000"/>
                <w:sz w:val="18"/>
                <w:szCs w:val="18"/>
              </w:rPr>
              <w:t>49.84%</w:t>
            </w:r>
          </w:p>
        </w:tc>
      </w:tr>
      <w:tr w:rsidR="000A1E70" w:rsidRPr="000F5A61" w:rsidTr="003B2049">
        <w:trPr>
          <w:trHeight w:val="238"/>
        </w:trPr>
        <w:tc>
          <w:tcPr>
            <w:tcW w:w="1930" w:type="dxa"/>
            <w:vMerge/>
            <w:tcBorders>
              <w:top w:val="nil"/>
              <w:left w:val="single" w:sz="8" w:space="0" w:color="auto"/>
              <w:bottom w:val="single" w:sz="8" w:space="0" w:color="000000"/>
              <w:right w:val="single" w:sz="8" w:space="0" w:color="auto"/>
            </w:tcBorders>
            <w:vAlign w:val="center"/>
            <w:hideMark/>
          </w:tcPr>
          <w:p w:rsidR="000A1E70" w:rsidRPr="00B1785B" w:rsidRDefault="000A1E70" w:rsidP="00097527">
            <w:pPr>
              <w:spacing w:after="0" w:line="240" w:lineRule="auto"/>
              <w:rPr>
                <w:rFonts w:ascii="Calibri" w:eastAsia="Times New Roman" w:hAnsi="Calibri" w:cs="Times New Roman"/>
                <w:sz w:val="18"/>
                <w:szCs w:val="18"/>
              </w:rPr>
            </w:pPr>
          </w:p>
        </w:tc>
        <w:tc>
          <w:tcPr>
            <w:tcW w:w="4766" w:type="dxa"/>
            <w:tcBorders>
              <w:top w:val="nil"/>
              <w:left w:val="single" w:sz="8" w:space="0" w:color="auto"/>
              <w:bottom w:val="single" w:sz="4" w:space="0" w:color="auto"/>
              <w:right w:val="single" w:sz="4" w:space="0" w:color="auto"/>
            </w:tcBorders>
            <w:shd w:val="clear" w:color="auto" w:fill="auto"/>
            <w:vAlign w:val="bottom"/>
            <w:hideMark/>
          </w:tcPr>
          <w:p w:rsidR="000A1E70" w:rsidRPr="00097527" w:rsidRDefault="000A1E70" w:rsidP="00097527">
            <w:pPr>
              <w:spacing w:after="0" w:line="240" w:lineRule="auto"/>
              <w:rPr>
                <w:rFonts w:asciiTheme="minorHAnsi" w:eastAsia="Times New Roman" w:hAnsiTheme="minorHAnsi" w:cs="Times New Roman"/>
                <w:sz w:val="18"/>
                <w:szCs w:val="18"/>
              </w:rPr>
            </w:pPr>
            <w:r w:rsidRPr="00097527">
              <w:rPr>
                <w:rFonts w:asciiTheme="minorHAnsi" w:hAnsiTheme="minorHAnsi" w:cs="Arial"/>
                <w:sz w:val="18"/>
                <w:szCs w:val="18"/>
              </w:rPr>
              <w:t>Grant management</w:t>
            </w:r>
          </w:p>
        </w:tc>
        <w:tc>
          <w:tcPr>
            <w:tcW w:w="997" w:type="dxa"/>
            <w:tcBorders>
              <w:top w:val="nil"/>
              <w:left w:val="nil"/>
              <w:bottom w:val="single" w:sz="4" w:space="0" w:color="auto"/>
              <w:right w:val="single" w:sz="4" w:space="0" w:color="auto"/>
            </w:tcBorders>
            <w:shd w:val="clear" w:color="auto" w:fill="auto"/>
            <w:noWrap/>
            <w:vAlign w:val="bottom"/>
            <w:hideMark/>
          </w:tcPr>
          <w:p w:rsidR="000A1E70" w:rsidRPr="00097527" w:rsidRDefault="000A1E70" w:rsidP="00097527">
            <w:pPr>
              <w:spacing w:after="0" w:line="240" w:lineRule="auto"/>
              <w:jc w:val="right"/>
              <w:rPr>
                <w:rFonts w:asciiTheme="minorHAnsi" w:eastAsia="Times New Roman" w:hAnsiTheme="minorHAnsi" w:cs="Times New Roman"/>
                <w:sz w:val="18"/>
                <w:szCs w:val="18"/>
              </w:rPr>
            </w:pPr>
            <w:r>
              <w:rPr>
                <w:rFonts w:asciiTheme="minorHAnsi" w:hAnsiTheme="minorHAnsi" w:cs="Arial"/>
                <w:color w:val="000000"/>
                <w:sz w:val="18"/>
                <w:szCs w:val="18"/>
              </w:rPr>
              <w:t>307,919</w:t>
            </w:r>
          </w:p>
        </w:tc>
        <w:tc>
          <w:tcPr>
            <w:tcW w:w="971" w:type="dxa"/>
            <w:tcBorders>
              <w:top w:val="nil"/>
              <w:left w:val="single" w:sz="4" w:space="0" w:color="auto"/>
              <w:bottom w:val="single" w:sz="4" w:space="0" w:color="auto"/>
              <w:right w:val="single" w:sz="8" w:space="0" w:color="auto"/>
            </w:tcBorders>
            <w:shd w:val="clear" w:color="auto" w:fill="auto"/>
            <w:noWrap/>
            <w:vAlign w:val="center"/>
            <w:hideMark/>
          </w:tcPr>
          <w:p w:rsidR="000A1E70" w:rsidRPr="00097527" w:rsidRDefault="000A1E70" w:rsidP="00097527">
            <w:pPr>
              <w:spacing w:after="0" w:line="240" w:lineRule="auto"/>
              <w:jc w:val="right"/>
              <w:rPr>
                <w:rFonts w:asciiTheme="minorHAnsi" w:eastAsia="Times New Roman" w:hAnsiTheme="minorHAnsi" w:cs="Times New Roman"/>
                <w:sz w:val="18"/>
                <w:szCs w:val="18"/>
              </w:rPr>
            </w:pPr>
            <w:r>
              <w:rPr>
                <w:rFonts w:ascii="Calibri" w:hAnsi="Calibri"/>
                <w:color w:val="000000"/>
                <w:sz w:val="18"/>
                <w:szCs w:val="18"/>
              </w:rPr>
              <w:t>7.32%</w:t>
            </w:r>
          </w:p>
        </w:tc>
      </w:tr>
      <w:tr w:rsidR="000A1E70" w:rsidRPr="000F5A61" w:rsidTr="003B2049">
        <w:trPr>
          <w:trHeight w:val="251"/>
        </w:trPr>
        <w:tc>
          <w:tcPr>
            <w:tcW w:w="1930" w:type="dxa"/>
            <w:vMerge/>
            <w:tcBorders>
              <w:top w:val="nil"/>
              <w:left w:val="single" w:sz="8" w:space="0" w:color="auto"/>
              <w:bottom w:val="single" w:sz="8" w:space="0" w:color="000000"/>
              <w:right w:val="single" w:sz="8" w:space="0" w:color="auto"/>
            </w:tcBorders>
            <w:vAlign w:val="center"/>
            <w:hideMark/>
          </w:tcPr>
          <w:p w:rsidR="000A1E70" w:rsidRPr="00B1785B" w:rsidRDefault="000A1E70" w:rsidP="00097527">
            <w:pPr>
              <w:spacing w:after="0" w:line="240" w:lineRule="auto"/>
              <w:rPr>
                <w:rFonts w:ascii="Calibri" w:eastAsia="Times New Roman" w:hAnsi="Calibri" w:cs="Times New Roman"/>
                <w:sz w:val="18"/>
                <w:szCs w:val="18"/>
              </w:rPr>
            </w:pPr>
          </w:p>
        </w:tc>
        <w:tc>
          <w:tcPr>
            <w:tcW w:w="4766" w:type="dxa"/>
            <w:tcBorders>
              <w:top w:val="nil"/>
              <w:left w:val="single" w:sz="8" w:space="0" w:color="auto"/>
              <w:bottom w:val="single" w:sz="4" w:space="0" w:color="auto"/>
              <w:right w:val="single" w:sz="4" w:space="0" w:color="auto"/>
            </w:tcBorders>
            <w:shd w:val="clear" w:color="auto" w:fill="auto"/>
            <w:vAlign w:val="bottom"/>
            <w:hideMark/>
          </w:tcPr>
          <w:p w:rsidR="000A1E70" w:rsidRPr="00097527" w:rsidRDefault="000A1E70" w:rsidP="00097527">
            <w:pPr>
              <w:spacing w:after="0" w:line="240" w:lineRule="auto"/>
              <w:rPr>
                <w:rFonts w:asciiTheme="minorHAnsi" w:eastAsia="Times New Roman" w:hAnsiTheme="minorHAnsi" w:cs="Times New Roman"/>
                <w:sz w:val="18"/>
                <w:szCs w:val="18"/>
              </w:rPr>
            </w:pPr>
            <w:r w:rsidRPr="00097527">
              <w:rPr>
                <w:rFonts w:asciiTheme="minorHAnsi" w:hAnsiTheme="minorHAnsi" w:cs="Arial"/>
                <w:sz w:val="18"/>
                <w:szCs w:val="18"/>
              </w:rPr>
              <w:t>Other program management intervention(s)</w:t>
            </w:r>
          </w:p>
        </w:tc>
        <w:tc>
          <w:tcPr>
            <w:tcW w:w="997" w:type="dxa"/>
            <w:tcBorders>
              <w:top w:val="nil"/>
              <w:left w:val="nil"/>
              <w:bottom w:val="single" w:sz="4" w:space="0" w:color="auto"/>
              <w:right w:val="single" w:sz="4" w:space="0" w:color="auto"/>
            </w:tcBorders>
            <w:shd w:val="clear" w:color="auto" w:fill="auto"/>
            <w:noWrap/>
            <w:vAlign w:val="bottom"/>
            <w:hideMark/>
          </w:tcPr>
          <w:p w:rsidR="000A1E70" w:rsidRPr="00097527" w:rsidRDefault="000A1E70" w:rsidP="00097527">
            <w:pPr>
              <w:spacing w:after="0" w:line="240" w:lineRule="auto"/>
              <w:jc w:val="right"/>
              <w:rPr>
                <w:rFonts w:asciiTheme="minorHAnsi" w:eastAsia="Times New Roman" w:hAnsiTheme="minorHAnsi" w:cs="Times New Roman"/>
                <w:sz w:val="18"/>
                <w:szCs w:val="18"/>
              </w:rPr>
            </w:pPr>
            <w:r w:rsidRPr="00097527">
              <w:rPr>
                <w:rFonts w:asciiTheme="minorHAnsi" w:hAnsiTheme="minorHAnsi" w:cs="Arial"/>
                <w:color w:val="000000"/>
                <w:sz w:val="18"/>
                <w:szCs w:val="18"/>
              </w:rPr>
              <w:t>8,520</w:t>
            </w:r>
          </w:p>
        </w:tc>
        <w:tc>
          <w:tcPr>
            <w:tcW w:w="971" w:type="dxa"/>
            <w:tcBorders>
              <w:top w:val="nil"/>
              <w:left w:val="single" w:sz="4" w:space="0" w:color="auto"/>
              <w:bottom w:val="single" w:sz="4" w:space="0" w:color="auto"/>
              <w:right w:val="single" w:sz="8" w:space="0" w:color="auto"/>
            </w:tcBorders>
            <w:shd w:val="clear" w:color="auto" w:fill="auto"/>
            <w:noWrap/>
            <w:vAlign w:val="center"/>
            <w:hideMark/>
          </w:tcPr>
          <w:p w:rsidR="000A1E70" w:rsidRPr="00097527" w:rsidRDefault="000A1E70" w:rsidP="00097527">
            <w:pPr>
              <w:spacing w:after="0" w:line="240" w:lineRule="auto"/>
              <w:jc w:val="right"/>
              <w:rPr>
                <w:rFonts w:asciiTheme="minorHAnsi" w:eastAsia="Times New Roman" w:hAnsiTheme="minorHAnsi" w:cs="Times New Roman"/>
                <w:sz w:val="18"/>
                <w:szCs w:val="18"/>
              </w:rPr>
            </w:pPr>
            <w:r>
              <w:rPr>
                <w:rFonts w:ascii="Calibri" w:hAnsi="Calibri"/>
                <w:color w:val="000000"/>
                <w:sz w:val="18"/>
                <w:szCs w:val="18"/>
              </w:rPr>
              <w:t>0.20%</w:t>
            </w:r>
          </w:p>
        </w:tc>
      </w:tr>
      <w:tr w:rsidR="000A1E70" w:rsidRPr="000F5A61" w:rsidTr="003B2049">
        <w:trPr>
          <w:trHeight w:val="238"/>
        </w:trPr>
        <w:tc>
          <w:tcPr>
            <w:tcW w:w="1930" w:type="dxa"/>
            <w:tcBorders>
              <w:top w:val="nil"/>
              <w:left w:val="single" w:sz="8" w:space="0" w:color="auto"/>
              <w:bottom w:val="nil"/>
              <w:right w:val="single" w:sz="8" w:space="0" w:color="auto"/>
            </w:tcBorders>
            <w:shd w:val="clear" w:color="000000" w:fill="F2F2F2"/>
            <w:hideMark/>
          </w:tcPr>
          <w:p w:rsidR="000A1E70" w:rsidRPr="00B1785B" w:rsidRDefault="000A1E70" w:rsidP="00097527">
            <w:pPr>
              <w:spacing w:after="0" w:line="240" w:lineRule="auto"/>
              <w:rPr>
                <w:rFonts w:ascii="Calibri" w:eastAsia="Times New Roman" w:hAnsi="Calibri" w:cs="Times New Roman"/>
                <w:sz w:val="18"/>
                <w:szCs w:val="18"/>
              </w:rPr>
            </w:pPr>
            <w:r w:rsidRPr="00B1785B">
              <w:rPr>
                <w:rFonts w:ascii="Calibri" w:eastAsia="Times New Roman" w:hAnsi="Calibri" w:cs="Times New Roman"/>
                <w:sz w:val="18"/>
                <w:szCs w:val="18"/>
              </w:rPr>
              <w:t>Vector control</w:t>
            </w:r>
          </w:p>
        </w:tc>
        <w:tc>
          <w:tcPr>
            <w:tcW w:w="4766" w:type="dxa"/>
            <w:tcBorders>
              <w:top w:val="single" w:sz="8" w:space="0" w:color="auto"/>
              <w:left w:val="nil"/>
              <w:bottom w:val="single" w:sz="4" w:space="0" w:color="auto"/>
              <w:right w:val="single" w:sz="8" w:space="0" w:color="auto"/>
            </w:tcBorders>
            <w:shd w:val="clear" w:color="auto" w:fill="auto"/>
            <w:hideMark/>
          </w:tcPr>
          <w:p w:rsidR="000A1E70" w:rsidRPr="00B1785B" w:rsidRDefault="000A1E70" w:rsidP="00097527">
            <w:pPr>
              <w:spacing w:after="0" w:line="240" w:lineRule="auto"/>
              <w:rPr>
                <w:rFonts w:ascii="Calibri" w:eastAsia="Times New Roman" w:hAnsi="Calibri" w:cs="Times New Roman"/>
                <w:sz w:val="18"/>
                <w:szCs w:val="18"/>
              </w:rPr>
            </w:pPr>
            <w:r w:rsidRPr="00B1785B">
              <w:rPr>
                <w:rFonts w:ascii="Calibri" w:eastAsia="Times New Roman" w:hAnsi="Calibri" w:cs="Times New Roman"/>
                <w:sz w:val="18"/>
                <w:szCs w:val="18"/>
              </w:rPr>
              <w:t>Long-lasting insecticidal nets (LLIN) - Mass campaign</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1E70" w:rsidRPr="00097527" w:rsidRDefault="000A1E70" w:rsidP="00097527">
            <w:pPr>
              <w:spacing w:after="0" w:line="240" w:lineRule="auto"/>
              <w:jc w:val="right"/>
              <w:rPr>
                <w:rFonts w:asciiTheme="minorHAnsi" w:eastAsia="Times New Roman" w:hAnsiTheme="minorHAnsi" w:cs="Times New Roman"/>
                <w:sz w:val="18"/>
                <w:szCs w:val="18"/>
              </w:rPr>
            </w:pPr>
            <w:r>
              <w:rPr>
                <w:rFonts w:asciiTheme="minorHAnsi" w:hAnsiTheme="minorHAnsi" w:cs="Arial"/>
                <w:color w:val="000000"/>
                <w:sz w:val="18"/>
                <w:szCs w:val="18"/>
              </w:rPr>
              <w:t>166,409</w:t>
            </w:r>
          </w:p>
        </w:tc>
        <w:tc>
          <w:tcPr>
            <w:tcW w:w="971"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0A1E70" w:rsidRPr="00097527" w:rsidRDefault="000A1E70" w:rsidP="00097527">
            <w:pPr>
              <w:spacing w:after="0" w:line="240" w:lineRule="auto"/>
              <w:jc w:val="right"/>
              <w:rPr>
                <w:rFonts w:asciiTheme="minorHAnsi" w:eastAsia="Times New Roman" w:hAnsiTheme="minorHAnsi" w:cs="Times New Roman"/>
                <w:sz w:val="18"/>
                <w:szCs w:val="18"/>
              </w:rPr>
            </w:pPr>
            <w:r>
              <w:rPr>
                <w:rFonts w:ascii="Calibri" w:hAnsi="Calibri"/>
                <w:color w:val="000000"/>
                <w:sz w:val="18"/>
                <w:szCs w:val="18"/>
              </w:rPr>
              <w:t>3.95%</w:t>
            </w:r>
          </w:p>
        </w:tc>
      </w:tr>
      <w:tr w:rsidR="000A1E70" w:rsidRPr="000F5A61" w:rsidTr="003B2049">
        <w:trPr>
          <w:trHeight w:val="238"/>
        </w:trPr>
        <w:tc>
          <w:tcPr>
            <w:tcW w:w="1930" w:type="dxa"/>
            <w:tcBorders>
              <w:top w:val="nil"/>
              <w:left w:val="single" w:sz="8" w:space="0" w:color="auto"/>
              <w:bottom w:val="nil"/>
              <w:right w:val="single" w:sz="8" w:space="0" w:color="auto"/>
            </w:tcBorders>
            <w:shd w:val="clear" w:color="000000" w:fill="F2F2F2"/>
            <w:hideMark/>
          </w:tcPr>
          <w:p w:rsidR="000A1E70" w:rsidRPr="00B1785B" w:rsidRDefault="000A1E70" w:rsidP="00097527">
            <w:pPr>
              <w:spacing w:after="0" w:line="240" w:lineRule="auto"/>
              <w:rPr>
                <w:rFonts w:ascii="Calibri" w:eastAsia="Times New Roman" w:hAnsi="Calibri" w:cs="Times New Roman"/>
                <w:sz w:val="18"/>
                <w:szCs w:val="18"/>
              </w:rPr>
            </w:pPr>
            <w:r w:rsidRPr="00B1785B">
              <w:rPr>
                <w:rFonts w:ascii="Calibri" w:eastAsia="Times New Roman" w:hAnsi="Calibri" w:cs="Times New Roman"/>
                <w:sz w:val="18"/>
                <w:szCs w:val="18"/>
              </w:rPr>
              <w:t> </w:t>
            </w:r>
          </w:p>
        </w:tc>
        <w:tc>
          <w:tcPr>
            <w:tcW w:w="4766" w:type="dxa"/>
            <w:tcBorders>
              <w:top w:val="single" w:sz="4" w:space="0" w:color="auto"/>
              <w:left w:val="single" w:sz="8" w:space="0" w:color="auto"/>
              <w:bottom w:val="single" w:sz="8" w:space="0" w:color="auto"/>
              <w:right w:val="single" w:sz="4" w:space="0" w:color="auto"/>
            </w:tcBorders>
            <w:shd w:val="clear" w:color="auto" w:fill="auto"/>
            <w:vAlign w:val="bottom"/>
            <w:hideMark/>
          </w:tcPr>
          <w:p w:rsidR="000A1E70" w:rsidRPr="00097527" w:rsidRDefault="000A1E70" w:rsidP="00097527">
            <w:pPr>
              <w:spacing w:after="0" w:line="240" w:lineRule="auto"/>
              <w:rPr>
                <w:rFonts w:asciiTheme="minorHAnsi" w:eastAsia="Times New Roman" w:hAnsiTheme="minorHAnsi" w:cs="Times New Roman"/>
                <w:sz w:val="18"/>
                <w:szCs w:val="18"/>
              </w:rPr>
            </w:pPr>
            <w:r w:rsidRPr="00097527">
              <w:rPr>
                <w:rFonts w:asciiTheme="minorHAnsi" w:hAnsiTheme="minorHAnsi" w:cs="Arial"/>
                <w:sz w:val="18"/>
                <w:szCs w:val="18"/>
              </w:rPr>
              <w:t>Long-lasting insecticidal nets (LLIN) - Continuous distribution</w:t>
            </w:r>
          </w:p>
        </w:tc>
        <w:tc>
          <w:tcPr>
            <w:tcW w:w="997" w:type="dxa"/>
            <w:tcBorders>
              <w:top w:val="single" w:sz="4" w:space="0" w:color="auto"/>
              <w:left w:val="nil"/>
              <w:bottom w:val="single" w:sz="8" w:space="0" w:color="auto"/>
              <w:right w:val="single" w:sz="4" w:space="0" w:color="auto"/>
            </w:tcBorders>
            <w:shd w:val="clear" w:color="auto" w:fill="auto"/>
            <w:noWrap/>
            <w:vAlign w:val="bottom"/>
            <w:hideMark/>
          </w:tcPr>
          <w:p w:rsidR="000A1E70" w:rsidRPr="00097527" w:rsidRDefault="000A1E70" w:rsidP="000A1E70">
            <w:pPr>
              <w:spacing w:after="0" w:line="240" w:lineRule="auto"/>
              <w:jc w:val="right"/>
              <w:rPr>
                <w:rFonts w:asciiTheme="minorHAnsi" w:eastAsia="Times New Roman" w:hAnsiTheme="minorHAnsi" w:cs="Times New Roman"/>
                <w:sz w:val="18"/>
                <w:szCs w:val="18"/>
              </w:rPr>
            </w:pPr>
            <w:r>
              <w:rPr>
                <w:rFonts w:asciiTheme="minorHAnsi" w:hAnsiTheme="minorHAnsi" w:cs="Arial"/>
                <w:color w:val="000000"/>
                <w:sz w:val="18"/>
                <w:szCs w:val="18"/>
              </w:rPr>
              <w:t>83</w:t>
            </w:r>
            <w:r w:rsidRPr="00097527">
              <w:rPr>
                <w:rFonts w:asciiTheme="minorHAnsi" w:hAnsiTheme="minorHAnsi" w:cs="Arial"/>
                <w:color w:val="000000"/>
                <w:sz w:val="18"/>
                <w:szCs w:val="18"/>
              </w:rPr>
              <w:t>,</w:t>
            </w:r>
            <w:r>
              <w:rPr>
                <w:rFonts w:asciiTheme="minorHAnsi" w:hAnsiTheme="minorHAnsi" w:cs="Arial"/>
                <w:color w:val="000000"/>
                <w:sz w:val="18"/>
                <w:szCs w:val="18"/>
              </w:rPr>
              <w:t>244</w:t>
            </w:r>
          </w:p>
        </w:tc>
        <w:tc>
          <w:tcPr>
            <w:tcW w:w="971"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rsidR="000A1E70" w:rsidRPr="00097527" w:rsidRDefault="000A1E70" w:rsidP="00097527">
            <w:pPr>
              <w:spacing w:after="0" w:line="240" w:lineRule="auto"/>
              <w:jc w:val="right"/>
              <w:rPr>
                <w:rFonts w:asciiTheme="minorHAnsi" w:eastAsia="Times New Roman" w:hAnsiTheme="minorHAnsi" w:cs="Times New Roman"/>
                <w:sz w:val="18"/>
                <w:szCs w:val="18"/>
              </w:rPr>
            </w:pPr>
            <w:r>
              <w:rPr>
                <w:rFonts w:ascii="Calibri" w:hAnsi="Calibri"/>
                <w:color w:val="000000"/>
                <w:sz w:val="18"/>
                <w:szCs w:val="18"/>
              </w:rPr>
              <w:t>1.98%</w:t>
            </w:r>
          </w:p>
        </w:tc>
      </w:tr>
      <w:tr w:rsidR="000A1E70" w:rsidRPr="000F5A61" w:rsidTr="003B2049">
        <w:trPr>
          <w:trHeight w:val="251"/>
        </w:trPr>
        <w:tc>
          <w:tcPr>
            <w:tcW w:w="1930" w:type="dxa"/>
            <w:tcBorders>
              <w:top w:val="nil"/>
              <w:left w:val="single" w:sz="8" w:space="0" w:color="auto"/>
              <w:bottom w:val="nil"/>
              <w:right w:val="single" w:sz="8" w:space="0" w:color="auto"/>
            </w:tcBorders>
            <w:shd w:val="clear" w:color="000000" w:fill="F2F2F2"/>
            <w:hideMark/>
          </w:tcPr>
          <w:p w:rsidR="000A1E70" w:rsidRPr="00B1785B" w:rsidRDefault="000A1E70" w:rsidP="00670258">
            <w:pPr>
              <w:spacing w:after="0" w:line="240" w:lineRule="auto"/>
              <w:rPr>
                <w:rFonts w:ascii="Calibri" w:eastAsia="Times New Roman" w:hAnsi="Calibri" w:cs="Times New Roman"/>
                <w:sz w:val="18"/>
                <w:szCs w:val="18"/>
              </w:rPr>
            </w:pPr>
            <w:r w:rsidRPr="00B1785B">
              <w:rPr>
                <w:rFonts w:ascii="Calibri" w:eastAsia="Times New Roman" w:hAnsi="Calibri" w:cs="Times New Roman"/>
                <w:sz w:val="18"/>
                <w:szCs w:val="18"/>
              </w:rPr>
              <w:t> </w:t>
            </w:r>
          </w:p>
        </w:tc>
        <w:tc>
          <w:tcPr>
            <w:tcW w:w="4766" w:type="dxa"/>
            <w:tcBorders>
              <w:top w:val="nil"/>
              <w:left w:val="nil"/>
              <w:bottom w:val="single" w:sz="8" w:space="0" w:color="auto"/>
              <w:right w:val="single" w:sz="8" w:space="0" w:color="auto"/>
            </w:tcBorders>
            <w:shd w:val="clear" w:color="auto" w:fill="auto"/>
            <w:noWrap/>
            <w:vAlign w:val="bottom"/>
            <w:hideMark/>
          </w:tcPr>
          <w:p w:rsidR="000A1E70" w:rsidRPr="00B1785B" w:rsidRDefault="000A1E70" w:rsidP="00670258">
            <w:pPr>
              <w:spacing w:after="0" w:line="240" w:lineRule="auto"/>
              <w:rPr>
                <w:rFonts w:ascii="Calibri" w:eastAsia="Times New Roman" w:hAnsi="Calibri" w:cs="Times New Roman"/>
                <w:sz w:val="18"/>
                <w:szCs w:val="18"/>
              </w:rPr>
            </w:pPr>
            <w:r w:rsidRPr="00B1785B">
              <w:rPr>
                <w:rFonts w:ascii="Calibri" w:eastAsia="Times New Roman" w:hAnsi="Calibri" w:cs="Times New Roman"/>
                <w:sz w:val="18"/>
                <w:szCs w:val="18"/>
              </w:rPr>
              <w:t>Entomological monitoring</w:t>
            </w:r>
          </w:p>
        </w:tc>
        <w:tc>
          <w:tcPr>
            <w:tcW w:w="997" w:type="dxa"/>
            <w:tcBorders>
              <w:top w:val="nil"/>
              <w:left w:val="nil"/>
              <w:bottom w:val="single" w:sz="4" w:space="0" w:color="auto"/>
              <w:right w:val="single" w:sz="8" w:space="0" w:color="auto"/>
            </w:tcBorders>
            <w:shd w:val="clear" w:color="auto" w:fill="auto"/>
            <w:noWrap/>
            <w:vAlign w:val="bottom"/>
            <w:hideMark/>
          </w:tcPr>
          <w:p w:rsidR="000A1E70" w:rsidRPr="00B1785B" w:rsidRDefault="000A1E70" w:rsidP="00670258">
            <w:pPr>
              <w:spacing w:after="0" w:line="240" w:lineRule="auto"/>
              <w:jc w:val="right"/>
              <w:rPr>
                <w:rFonts w:ascii="Calibri" w:eastAsia="Times New Roman" w:hAnsi="Calibri" w:cs="Times New Roman"/>
                <w:sz w:val="18"/>
                <w:szCs w:val="18"/>
              </w:rPr>
            </w:pPr>
            <w:r w:rsidRPr="00B1785B">
              <w:rPr>
                <w:rFonts w:ascii="Calibri" w:eastAsia="Times New Roman" w:hAnsi="Calibri" w:cs="Times New Roman"/>
                <w:sz w:val="18"/>
                <w:szCs w:val="18"/>
              </w:rPr>
              <w:t xml:space="preserve"> 41,634 </w:t>
            </w:r>
          </w:p>
        </w:tc>
        <w:tc>
          <w:tcPr>
            <w:tcW w:w="971" w:type="dxa"/>
            <w:tcBorders>
              <w:top w:val="nil"/>
              <w:left w:val="nil"/>
              <w:bottom w:val="single" w:sz="4" w:space="0" w:color="auto"/>
              <w:right w:val="single" w:sz="8" w:space="0" w:color="auto"/>
            </w:tcBorders>
            <w:shd w:val="clear" w:color="auto" w:fill="auto"/>
            <w:noWrap/>
            <w:vAlign w:val="center"/>
            <w:hideMark/>
          </w:tcPr>
          <w:p w:rsidR="000A1E70" w:rsidRPr="00B1785B" w:rsidRDefault="000A1E70" w:rsidP="00670258">
            <w:pPr>
              <w:spacing w:after="0" w:line="240" w:lineRule="auto"/>
              <w:jc w:val="right"/>
              <w:rPr>
                <w:rFonts w:ascii="Calibri" w:eastAsia="Times New Roman" w:hAnsi="Calibri" w:cs="Times New Roman"/>
                <w:sz w:val="18"/>
                <w:szCs w:val="18"/>
              </w:rPr>
            </w:pPr>
            <w:r>
              <w:rPr>
                <w:rFonts w:ascii="Calibri" w:hAnsi="Calibri"/>
                <w:color w:val="000000"/>
                <w:sz w:val="18"/>
                <w:szCs w:val="18"/>
              </w:rPr>
              <w:t>0.99%</w:t>
            </w:r>
          </w:p>
        </w:tc>
      </w:tr>
      <w:tr w:rsidR="000A1E70" w:rsidRPr="000F5A61" w:rsidTr="003B2049">
        <w:trPr>
          <w:trHeight w:val="251"/>
        </w:trPr>
        <w:tc>
          <w:tcPr>
            <w:tcW w:w="1930" w:type="dxa"/>
            <w:tcBorders>
              <w:top w:val="nil"/>
              <w:left w:val="single" w:sz="8" w:space="0" w:color="auto"/>
              <w:bottom w:val="nil"/>
              <w:right w:val="single" w:sz="8" w:space="0" w:color="auto"/>
            </w:tcBorders>
            <w:shd w:val="clear" w:color="000000" w:fill="F2F2F2"/>
          </w:tcPr>
          <w:p w:rsidR="000A1E70" w:rsidRPr="00B1785B" w:rsidRDefault="000A1E70" w:rsidP="00097527">
            <w:pPr>
              <w:spacing w:after="0" w:line="240" w:lineRule="auto"/>
              <w:rPr>
                <w:rFonts w:ascii="Calibri" w:eastAsia="Times New Roman" w:hAnsi="Calibri" w:cs="Times New Roman"/>
                <w:sz w:val="18"/>
                <w:szCs w:val="18"/>
              </w:rPr>
            </w:pPr>
          </w:p>
        </w:tc>
        <w:tc>
          <w:tcPr>
            <w:tcW w:w="4766" w:type="dxa"/>
            <w:tcBorders>
              <w:top w:val="single" w:sz="4" w:space="0" w:color="auto"/>
              <w:left w:val="single" w:sz="8" w:space="0" w:color="auto"/>
              <w:bottom w:val="single" w:sz="4" w:space="0" w:color="auto"/>
              <w:right w:val="single" w:sz="4" w:space="0" w:color="auto"/>
            </w:tcBorders>
            <w:shd w:val="clear" w:color="auto" w:fill="auto"/>
            <w:noWrap/>
            <w:vAlign w:val="bottom"/>
          </w:tcPr>
          <w:p w:rsidR="000A1E70" w:rsidRPr="00097527" w:rsidRDefault="000A1E70" w:rsidP="00097527">
            <w:pPr>
              <w:spacing w:after="0" w:line="240" w:lineRule="auto"/>
              <w:rPr>
                <w:rFonts w:asciiTheme="minorHAnsi" w:hAnsiTheme="minorHAnsi" w:cs="Arial"/>
                <w:sz w:val="18"/>
                <w:szCs w:val="18"/>
              </w:rPr>
            </w:pPr>
            <w:r w:rsidRPr="00097527">
              <w:rPr>
                <w:rFonts w:asciiTheme="minorHAnsi" w:hAnsiTheme="minorHAnsi" w:cs="Arial"/>
                <w:sz w:val="18"/>
                <w:szCs w:val="18"/>
              </w:rPr>
              <w:t>Other vector control measure(s)</w:t>
            </w:r>
          </w:p>
        </w:tc>
        <w:tc>
          <w:tcPr>
            <w:tcW w:w="997" w:type="dxa"/>
            <w:tcBorders>
              <w:top w:val="single" w:sz="4" w:space="0" w:color="auto"/>
              <w:left w:val="nil"/>
              <w:bottom w:val="single" w:sz="4" w:space="0" w:color="auto"/>
              <w:right w:val="single" w:sz="4" w:space="0" w:color="auto"/>
            </w:tcBorders>
            <w:shd w:val="clear" w:color="auto" w:fill="auto"/>
            <w:noWrap/>
            <w:vAlign w:val="bottom"/>
          </w:tcPr>
          <w:p w:rsidR="000A1E70" w:rsidRPr="00097527" w:rsidRDefault="000A1E70" w:rsidP="00097527">
            <w:pPr>
              <w:spacing w:after="0" w:line="240" w:lineRule="auto"/>
              <w:jc w:val="right"/>
              <w:rPr>
                <w:rFonts w:asciiTheme="minorHAnsi" w:eastAsia="Times New Roman" w:hAnsiTheme="minorHAnsi" w:cs="Times New Roman"/>
                <w:sz w:val="18"/>
                <w:szCs w:val="18"/>
              </w:rPr>
            </w:pPr>
            <w:r w:rsidRPr="00097527">
              <w:rPr>
                <w:rFonts w:asciiTheme="minorHAnsi" w:hAnsiTheme="minorHAnsi" w:cs="Arial"/>
                <w:color w:val="000000"/>
                <w:sz w:val="18"/>
                <w:szCs w:val="18"/>
              </w:rPr>
              <w:t>49,232</w:t>
            </w:r>
          </w:p>
        </w:tc>
        <w:tc>
          <w:tcPr>
            <w:tcW w:w="971" w:type="dxa"/>
            <w:tcBorders>
              <w:top w:val="single" w:sz="4" w:space="0" w:color="auto"/>
              <w:left w:val="single" w:sz="4" w:space="0" w:color="auto"/>
              <w:bottom w:val="single" w:sz="4" w:space="0" w:color="auto"/>
              <w:right w:val="single" w:sz="8" w:space="0" w:color="auto"/>
            </w:tcBorders>
            <w:shd w:val="clear" w:color="auto" w:fill="auto"/>
            <w:noWrap/>
            <w:vAlign w:val="center"/>
          </w:tcPr>
          <w:p w:rsidR="000A1E70" w:rsidRPr="00097527" w:rsidRDefault="000A1E70" w:rsidP="00097527">
            <w:pPr>
              <w:spacing w:after="0" w:line="240" w:lineRule="auto"/>
              <w:jc w:val="right"/>
              <w:rPr>
                <w:rFonts w:asciiTheme="minorHAnsi" w:eastAsia="Times New Roman" w:hAnsiTheme="minorHAnsi" w:cs="Times New Roman"/>
                <w:sz w:val="18"/>
                <w:szCs w:val="18"/>
              </w:rPr>
            </w:pPr>
            <w:r>
              <w:rPr>
                <w:rFonts w:ascii="Calibri" w:hAnsi="Calibri"/>
                <w:color w:val="000000"/>
                <w:sz w:val="18"/>
                <w:szCs w:val="18"/>
              </w:rPr>
              <w:t>1.17%</w:t>
            </w:r>
          </w:p>
        </w:tc>
      </w:tr>
      <w:tr w:rsidR="00097527" w:rsidRPr="000F5A61" w:rsidTr="00097527">
        <w:trPr>
          <w:trHeight w:val="251"/>
        </w:trPr>
        <w:tc>
          <w:tcPr>
            <w:tcW w:w="1930" w:type="dxa"/>
            <w:tcBorders>
              <w:top w:val="single" w:sz="8" w:space="0" w:color="auto"/>
              <w:left w:val="single" w:sz="8" w:space="0" w:color="auto"/>
              <w:bottom w:val="single" w:sz="8" w:space="0" w:color="auto"/>
              <w:right w:val="nil"/>
            </w:tcBorders>
            <w:shd w:val="clear" w:color="auto" w:fill="auto"/>
            <w:noWrap/>
            <w:vAlign w:val="bottom"/>
            <w:hideMark/>
          </w:tcPr>
          <w:p w:rsidR="00097527" w:rsidRPr="00B1785B" w:rsidRDefault="00097527" w:rsidP="00097527">
            <w:pPr>
              <w:spacing w:after="0" w:line="240" w:lineRule="auto"/>
              <w:rPr>
                <w:rFonts w:ascii="Calibri" w:eastAsia="Times New Roman" w:hAnsi="Calibri" w:cs="Times New Roman"/>
                <w:b/>
                <w:bCs/>
                <w:sz w:val="18"/>
                <w:szCs w:val="18"/>
              </w:rPr>
            </w:pPr>
            <w:r w:rsidRPr="00B1785B">
              <w:rPr>
                <w:rFonts w:ascii="Calibri" w:eastAsia="Times New Roman" w:hAnsi="Calibri" w:cs="Times New Roman"/>
                <w:b/>
                <w:bCs/>
                <w:sz w:val="18"/>
                <w:szCs w:val="18"/>
              </w:rPr>
              <w:t>Total</w:t>
            </w:r>
          </w:p>
        </w:tc>
        <w:tc>
          <w:tcPr>
            <w:tcW w:w="4766" w:type="dxa"/>
            <w:tcBorders>
              <w:top w:val="nil"/>
              <w:left w:val="nil"/>
              <w:bottom w:val="single" w:sz="8" w:space="0" w:color="auto"/>
              <w:right w:val="nil"/>
            </w:tcBorders>
            <w:shd w:val="clear" w:color="auto" w:fill="auto"/>
            <w:noWrap/>
            <w:vAlign w:val="bottom"/>
            <w:hideMark/>
          </w:tcPr>
          <w:p w:rsidR="00097527" w:rsidRPr="00B1785B" w:rsidRDefault="00097527" w:rsidP="00097527">
            <w:pPr>
              <w:spacing w:after="0" w:line="240" w:lineRule="auto"/>
              <w:rPr>
                <w:rFonts w:ascii="Calibri" w:eastAsia="Times New Roman" w:hAnsi="Calibri" w:cs="Times New Roman"/>
                <w:sz w:val="18"/>
                <w:szCs w:val="18"/>
              </w:rPr>
            </w:pPr>
            <w:r w:rsidRPr="00B1785B">
              <w:rPr>
                <w:rFonts w:ascii="Calibri" w:eastAsia="Times New Roman" w:hAnsi="Calibri" w:cs="Times New Roman"/>
                <w:sz w:val="18"/>
                <w:szCs w:val="18"/>
              </w:rPr>
              <w:t> </w:t>
            </w:r>
          </w:p>
        </w:tc>
        <w:tc>
          <w:tcPr>
            <w:tcW w:w="997"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097527" w:rsidRPr="00B1785B" w:rsidRDefault="00097527" w:rsidP="00097527">
            <w:pPr>
              <w:spacing w:after="0" w:line="240" w:lineRule="auto"/>
              <w:jc w:val="right"/>
              <w:rPr>
                <w:rFonts w:ascii="Calibri" w:eastAsia="Times New Roman" w:hAnsi="Calibri" w:cs="Times New Roman"/>
                <w:sz w:val="18"/>
                <w:szCs w:val="18"/>
              </w:rPr>
            </w:pPr>
            <w:r w:rsidRPr="00B1785B">
              <w:rPr>
                <w:rFonts w:ascii="Calibri" w:eastAsia="Times New Roman" w:hAnsi="Calibri" w:cs="Times New Roman"/>
                <w:sz w:val="18"/>
                <w:szCs w:val="18"/>
              </w:rPr>
              <w:t xml:space="preserve"> 4,208,547 </w:t>
            </w:r>
          </w:p>
        </w:tc>
        <w:tc>
          <w:tcPr>
            <w:tcW w:w="971" w:type="dxa"/>
            <w:tcBorders>
              <w:top w:val="single" w:sz="4" w:space="0" w:color="auto"/>
              <w:left w:val="nil"/>
              <w:bottom w:val="single" w:sz="8" w:space="0" w:color="auto"/>
              <w:right w:val="single" w:sz="8" w:space="0" w:color="auto"/>
            </w:tcBorders>
            <w:shd w:val="clear" w:color="auto" w:fill="auto"/>
            <w:noWrap/>
            <w:vAlign w:val="bottom"/>
            <w:hideMark/>
          </w:tcPr>
          <w:p w:rsidR="00097527" w:rsidRPr="00B1785B" w:rsidRDefault="00097527" w:rsidP="00097527">
            <w:pPr>
              <w:spacing w:after="0" w:line="240" w:lineRule="auto"/>
              <w:jc w:val="right"/>
              <w:rPr>
                <w:rFonts w:ascii="Calibri" w:eastAsia="Times New Roman" w:hAnsi="Calibri" w:cs="Times New Roman"/>
                <w:sz w:val="18"/>
                <w:szCs w:val="18"/>
              </w:rPr>
            </w:pPr>
            <w:r w:rsidRPr="00B1785B">
              <w:rPr>
                <w:rFonts w:ascii="Calibri" w:eastAsia="Times New Roman" w:hAnsi="Calibri" w:cs="Times New Roman"/>
                <w:sz w:val="18"/>
                <w:szCs w:val="18"/>
              </w:rPr>
              <w:t>100.00%</w:t>
            </w:r>
          </w:p>
        </w:tc>
      </w:tr>
    </w:tbl>
    <w:p w:rsidR="00670258" w:rsidRPr="000F5A61" w:rsidRDefault="00670258" w:rsidP="00C86062">
      <w:pPr>
        <w:spacing w:after="120" w:line="240" w:lineRule="auto"/>
        <w:rPr>
          <w:rFonts w:ascii="Arial" w:hAnsi="Arial" w:cs="Arial"/>
          <w:b/>
          <w:sz w:val="20"/>
          <w:szCs w:val="20"/>
        </w:rPr>
      </w:pPr>
    </w:p>
    <w:p w:rsidR="005A5808" w:rsidRPr="000F5A61" w:rsidRDefault="005A5808" w:rsidP="00C86062">
      <w:pPr>
        <w:spacing w:after="120" w:line="240" w:lineRule="auto"/>
        <w:rPr>
          <w:rFonts w:ascii="Arial" w:hAnsi="Arial" w:cs="Arial"/>
          <w:sz w:val="20"/>
          <w:szCs w:val="20"/>
        </w:rPr>
      </w:pPr>
      <w:r w:rsidRPr="000F5A61">
        <w:rPr>
          <w:rFonts w:ascii="Arial" w:hAnsi="Arial" w:cs="Arial"/>
          <w:sz w:val="20"/>
          <w:szCs w:val="20"/>
        </w:rPr>
        <w:t>Treatment will be in-line with WHO guidelines</w:t>
      </w:r>
      <w:r w:rsidR="00AA1FAB" w:rsidRPr="000F5A61">
        <w:rPr>
          <w:rFonts w:ascii="Arial" w:hAnsi="Arial" w:cs="Arial"/>
          <w:sz w:val="20"/>
          <w:szCs w:val="20"/>
        </w:rPr>
        <w:t xml:space="preserve"> and will</w:t>
      </w:r>
      <w:r w:rsidRPr="000F5A61">
        <w:rPr>
          <w:rFonts w:ascii="Arial" w:hAnsi="Arial" w:cs="Arial"/>
          <w:sz w:val="20"/>
          <w:szCs w:val="20"/>
        </w:rPr>
        <w:t xml:space="preserve"> include primaquine. Where possible, supervised treatment will be used to support patient adherence to radical treatment. This will entail </w:t>
      </w:r>
      <w:r w:rsidR="000B328B" w:rsidRPr="000F5A61">
        <w:rPr>
          <w:rFonts w:ascii="Arial" w:hAnsi="Arial" w:cs="Arial"/>
          <w:sz w:val="20"/>
          <w:szCs w:val="20"/>
        </w:rPr>
        <w:t>incentivised follow-up visits by patients to health facilities both for tracking compliance and for drug efficacy monitoring</w:t>
      </w:r>
      <w:r w:rsidRPr="000F5A61">
        <w:rPr>
          <w:rFonts w:ascii="Arial" w:hAnsi="Arial" w:cs="Arial"/>
          <w:sz w:val="20"/>
          <w:szCs w:val="20"/>
        </w:rPr>
        <w:t xml:space="preserve">. </w:t>
      </w:r>
      <w:r w:rsidR="00B57F41" w:rsidRPr="000F5A61">
        <w:rPr>
          <w:rFonts w:ascii="Arial" w:hAnsi="Arial" w:cs="Arial"/>
          <w:sz w:val="20"/>
          <w:szCs w:val="20"/>
        </w:rPr>
        <w:t>P</w:t>
      </w:r>
      <w:r w:rsidRPr="000F5A61">
        <w:rPr>
          <w:rFonts w:ascii="Arial" w:hAnsi="Arial" w:cs="Arial"/>
          <w:sz w:val="20"/>
          <w:szCs w:val="20"/>
        </w:rPr>
        <w:t xml:space="preserve">atients’ adherence </w:t>
      </w:r>
      <w:r w:rsidR="00B57F41" w:rsidRPr="000F5A61">
        <w:rPr>
          <w:rFonts w:ascii="Arial" w:hAnsi="Arial" w:cs="Arial"/>
          <w:sz w:val="20"/>
          <w:szCs w:val="20"/>
        </w:rPr>
        <w:t>will be maximized through</w:t>
      </w:r>
      <w:r w:rsidR="00AA1FAB" w:rsidRPr="000F5A61">
        <w:rPr>
          <w:rFonts w:ascii="Arial" w:hAnsi="Arial" w:cs="Arial"/>
          <w:sz w:val="20"/>
          <w:szCs w:val="20"/>
        </w:rPr>
        <w:t xml:space="preserve">inter-personal communication </w:t>
      </w:r>
      <w:r w:rsidRPr="000F5A61">
        <w:rPr>
          <w:rFonts w:ascii="Arial" w:hAnsi="Arial" w:cs="Arial"/>
          <w:sz w:val="20"/>
          <w:szCs w:val="20"/>
        </w:rPr>
        <w:t>by healthcare providers. The importance of this ‘adherence advocacy’ will be emphasized in all clinical training sessions</w:t>
      </w:r>
      <w:r w:rsidR="00AA1FAB" w:rsidRPr="000F5A61">
        <w:rPr>
          <w:rFonts w:ascii="Arial" w:hAnsi="Arial" w:cs="Arial"/>
          <w:sz w:val="20"/>
          <w:szCs w:val="20"/>
        </w:rPr>
        <w:t>.</w:t>
      </w:r>
    </w:p>
    <w:p w:rsidR="00B64A95" w:rsidRPr="000F5A61" w:rsidRDefault="005A5808" w:rsidP="00C86062">
      <w:pPr>
        <w:spacing w:after="120" w:line="240" w:lineRule="auto"/>
        <w:rPr>
          <w:rFonts w:ascii="Arial" w:hAnsi="Arial" w:cs="Arial"/>
          <w:sz w:val="20"/>
          <w:szCs w:val="20"/>
        </w:rPr>
      </w:pPr>
      <w:r w:rsidRPr="000F5A61">
        <w:rPr>
          <w:rFonts w:ascii="Arial" w:hAnsi="Arial" w:cs="Arial"/>
          <w:sz w:val="20"/>
          <w:szCs w:val="20"/>
        </w:rPr>
        <w:t xml:space="preserve">The Programme will maximize coverage through </w:t>
      </w:r>
      <w:r w:rsidR="00B57F41" w:rsidRPr="000F5A61">
        <w:rPr>
          <w:rFonts w:ascii="Arial" w:hAnsi="Arial" w:cs="Arial"/>
          <w:sz w:val="20"/>
          <w:szCs w:val="20"/>
        </w:rPr>
        <w:t xml:space="preserve">public, community-based and private </w:t>
      </w:r>
      <w:r w:rsidRPr="000F5A61">
        <w:rPr>
          <w:rFonts w:ascii="Arial" w:hAnsi="Arial" w:cs="Arial"/>
          <w:sz w:val="20"/>
          <w:szCs w:val="20"/>
        </w:rPr>
        <w:t>channels while making efforts to improve quality</w:t>
      </w:r>
      <w:r w:rsidR="00B57F41" w:rsidRPr="000F5A61">
        <w:rPr>
          <w:rFonts w:ascii="Arial" w:hAnsi="Arial" w:cs="Arial"/>
          <w:sz w:val="20"/>
          <w:szCs w:val="20"/>
        </w:rPr>
        <w:t xml:space="preserve">. </w:t>
      </w:r>
      <w:r w:rsidRPr="000F5A61">
        <w:rPr>
          <w:rFonts w:ascii="Arial" w:hAnsi="Arial" w:cs="Arial"/>
          <w:sz w:val="20"/>
          <w:szCs w:val="20"/>
        </w:rPr>
        <w:t xml:space="preserve">Community based diagnostic and </w:t>
      </w:r>
      <w:r w:rsidR="00AA1FAB" w:rsidRPr="000F5A61">
        <w:rPr>
          <w:rFonts w:ascii="Arial" w:hAnsi="Arial" w:cs="Arial"/>
          <w:sz w:val="20"/>
          <w:szCs w:val="20"/>
        </w:rPr>
        <w:t xml:space="preserve">treatment </w:t>
      </w:r>
      <w:r w:rsidRPr="000F5A61">
        <w:rPr>
          <w:rFonts w:ascii="Arial" w:hAnsi="Arial" w:cs="Arial"/>
          <w:sz w:val="20"/>
          <w:szCs w:val="20"/>
        </w:rPr>
        <w:t xml:space="preserve">services will be introduced in endemic </w:t>
      </w:r>
      <w:r w:rsidR="00AA1FAB" w:rsidRPr="000F5A61">
        <w:rPr>
          <w:rFonts w:ascii="Arial" w:hAnsi="Arial" w:cs="Arial"/>
          <w:sz w:val="20"/>
          <w:szCs w:val="20"/>
        </w:rPr>
        <w:t xml:space="preserve">areas </w:t>
      </w:r>
      <w:r w:rsidRPr="000F5A61">
        <w:rPr>
          <w:rFonts w:ascii="Arial" w:hAnsi="Arial" w:cs="Arial"/>
          <w:sz w:val="20"/>
          <w:szCs w:val="20"/>
        </w:rPr>
        <w:t>through the existing FCHV/AHW/</w:t>
      </w:r>
      <w:r w:rsidR="00F31D48" w:rsidRPr="000F5A61">
        <w:rPr>
          <w:rFonts w:ascii="Arial" w:hAnsi="Arial" w:cs="Arial"/>
          <w:sz w:val="20"/>
          <w:szCs w:val="20"/>
        </w:rPr>
        <w:t>ANM</w:t>
      </w:r>
      <w:r w:rsidRPr="000F5A61">
        <w:rPr>
          <w:rFonts w:ascii="Arial" w:hAnsi="Arial" w:cs="Arial"/>
          <w:sz w:val="20"/>
          <w:szCs w:val="20"/>
        </w:rPr>
        <w:t xml:space="preserve"> networks. </w:t>
      </w:r>
      <w:r w:rsidR="00AA1FAB" w:rsidRPr="000F5A61">
        <w:rPr>
          <w:rFonts w:ascii="Arial" w:hAnsi="Arial" w:cs="Arial"/>
          <w:sz w:val="20"/>
          <w:szCs w:val="20"/>
        </w:rPr>
        <w:t>R</w:t>
      </w:r>
      <w:r w:rsidRPr="000F5A61">
        <w:rPr>
          <w:rFonts w:ascii="Arial" w:hAnsi="Arial" w:cs="Arial"/>
          <w:sz w:val="20"/>
          <w:szCs w:val="20"/>
        </w:rPr>
        <w:t xml:space="preserve">egistered </w:t>
      </w:r>
      <w:r w:rsidR="00D17653" w:rsidRPr="000F5A61">
        <w:rPr>
          <w:rFonts w:ascii="Arial" w:hAnsi="Arial" w:cs="Arial"/>
          <w:sz w:val="20"/>
          <w:szCs w:val="20"/>
        </w:rPr>
        <w:t>PS</w:t>
      </w:r>
      <w:r w:rsidRPr="000F5A61">
        <w:rPr>
          <w:rFonts w:ascii="Arial" w:hAnsi="Arial" w:cs="Arial"/>
          <w:sz w:val="20"/>
          <w:szCs w:val="20"/>
        </w:rPr>
        <w:t xml:space="preserve"> providers will be required to test and treat patients according to the NMTP</w:t>
      </w:r>
      <w:r w:rsidR="00AA1FAB" w:rsidRPr="000F5A61">
        <w:rPr>
          <w:rFonts w:ascii="Arial" w:hAnsi="Arial" w:cs="Arial"/>
          <w:sz w:val="20"/>
          <w:szCs w:val="20"/>
        </w:rPr>
        <w:t xml:space="preserve">. Both will be expected to provide </w:t>
      </w:r>
      <w:r w:rsidR="00D61969" w:rsidRPr="000F5A61">
        <w:rPr>
          <w:rFonts w:ascii="Arial" w:hAnsi="Arial" w:cs="Arial"/>
          <w:sz w:val="20"/>
          <w:szCs w:val="20"/>
        </w:rPr>
        <w:t>G6PD testing and primaquine treatment</w:t>
      </w:r>
      <w:r w:rsidR="00AA1FAB" w:rsidRPr="000F5A61">
        <w:rPr>
          <w:rFonts w:ascii="Arial" w:hAnsi="Arial" w:cs="Arial"/>
          <w:sz w:val="20"/>
          <w:szCs w:val="20"/>
        </w:rPr>
        <w:t xml:space="preserve"> as appropriate. </w:t>
      </w:r>
      <w:r w:rsidRPr="000F5A61">
        <w:rPr>
          <w:rFonts w:ascii="Arial" w:hAnsi="Arial" w:cs="Arial"/>
          <w:sz w:val="20"/>
          <w:szCs w:val="20"/>
        </w:rPr>
        <w:t>RDTs</w:t>
      </w:r>
      <w:r w:rsidR="00AA1FAB" w:rsidRPr="000F5A61">
        <w:rPr>
          <w:rFonts w:ascii="Arial" w:hAnsi="Arial" w:cs="Arial"/>
          <w:sz w:val="20"/>
          <w:szCs w:val="20"/>
        </w:rPr>
        <w:t>, G6PD tests</w:t>
      </w:r>
      <w:r w:rsidRPr="000F5A61">
        <w:rPr>
          <w:rFonts w:ascii="Arial" w:hAnsi="Arial" w:cs="Arial"/>
          <w:sz w:val="20"/>
          <w:szCs w:val="20"/>
        </w:rPr>
        <w:t xml:space="preserve"> and antimalarials will be provided by the programme</w:t>
      </w:r>
      <w:r w:rsidR="00AA1FAB" w:rsidRPr="000F5A61">
        <w:rPr>
          <w:rFonts w:ascii="Arial" w:hAnsi="Arial" w:cs="Arial"/>
          <w:sz w:val="20"/>
          <w:szCs w:val="20"/>
        </w:rPr>
        <w:t>. All</w:t>
      </w:r>
      <w:r w:rsidRPr="000F5A61">
        <w:rPr>
          <w:rFonts w:ascii="Arial" w:hAnsi="Arial" w:cs="Arial"/>
          <w:sz w:val="20"/>
          <w:szCs w:val="20"/>
        </w:rPr>
        <w:t xml:space="preserve"> providers will be required to enter details of all positive cases into the MDIS by SMS (or inform the DPHO by phone) within 24 hours of diagnosis. Treatment by unregistered </w:t>
      </w:r>
      <w:r w:rsidR="00D17653" w:rsidRPr="000F5A61">
        <w:rPr>
          <w:rFonts w:ascii="Arial" w:hAnsi="Arial" w:cs="Arial"/>
          <w:sz w:val="20"/>
          <w:szCs w:val="20"/>
        </w:rPr>
        <w:t>PS</w:t>
      </w:r>
      <w:r w:rsidRPr="000F5A61">
        <w:rPr>
          <w:rFonts w:ascii="Arial" w:hAnsi="Arial" w:cs="Arial"/>
          <w:sz w:val="20"/>
          <w:szCs w:val="20"/>
        </w:rPr>
        <w:t xml:space="preserve"> providers will be strictly prohibited and enforced through the joint actions of the local administration and local public health authorities.</w:t>
      </w:r>
      <w:r w:rsidR="00DB28F0" w:rsidRPr="000F5A61">
        <w:rPr>
          <w:rFonts w:ascii="Arial" w:hAnsi="Arial" w:cs="Arial"/>
          <w:sz w:val="20"/>
          <w:szCs w:val="20"/>
        </w:rPr>
        <w:t xml:space="preserve">Supply and supervision of PS providers will be the responsibility of DPHO focal points (the Programme will be responsible for sensitization and </w:t>
      </w:r>
      <w:r w:rsidR="007B0144" w:rsidRPr="000F5A61">
        <w:rPr>
          <w:rFonts w:ascii="Arial" w:hAnsi="Arial" w:cs="Arial"/>
          <w:sz w:val="20"/>
          <w:szCs w:val="20"/>
        </w:rPr>
        <w:t xml:space="preserve">oversight </w:t>
      </w:r>
      <w:r w:rsidR="00DB28F0" w:rsidRPr="000F5A61">
        <w:rPr>
          <w:rFonts w:ascii="Arial" w:hAnsi="Arial" w:cs="Arial"/>
          <w:sz w:val="20"/>
          <w:szCs w:val="20"/>
        </w:rPr>
        <w:t>will be provided jointly by DPHOs and</w:t>
      </w:r>
      <w:r w:rsidR="007B0144" w:rsidRPr="000F5A61">
        <w:rPr>
          <w:rFonts w:ascii="Arial" w:hAnsi="Arial" w:cs="Arial"/>
          <w:sz w:val="20"/>
          <w:szCs w:val="20"/>
        </w:rPr>
        <w:t xml:space="preserve"> SCI </w:t>
      </w:r>
      <w:r w:rsidR="00DB28F0" w:rsidRPr="000F5A61">
        <w:rPr>
          <w:rFonts w:ascii="Arial" w:hAnsi="Arial" w:cs="Arial"/>
          <w:sz w:val="20"/>
          <w:szCs w:val="20"/>
        </w:rPr>
        <w:t>provincial staff</w:t>
      </w:r>
      <w:r w:rsidR="007B0144" w:rsidRPr="000F5A61">
        <w:rPr>
          <w:rFonts w:ascii="Arial" w:hAnsi="Arial" w:cs="Arial"/>
          <w:sz w:val="20"/>
          <w:szCs w:val="20"/>
        </w:rPr>
        <w:t>).</w:t>
      </w:r>
    </w:p>
    <w:p w:rsidR="00514C0F" w:rsidRPr="000F5A61" w:rsidRDefault="00514C0F" w:rsidP="00C86062">
      <w:pPr>
        <w:spacing w:after="120" w:line="240" w:lineRule="auto"/>
        <w:rPr>
          <w:rFonts w:ascii="Arial" w:hAnsi="Arial" w:cs="Arial"/>
          <w:sz w:val="20"/>
          <w:szCs w:val="20"/>
        </w:rPr>
      </w:pPr>
      <w:r w:rsidRPr="000F5A61">
        <w:rPr>
          <w:rFonts w:ascii="Arial" w:hAnsi="Arial" w:cs="Arial"/>
          <w:sz w:val="20"/>
          <w:szCs w:val="20"/>
        </w:rPr>
        <w:t xml:space="preserve">Robust supervision is key to QA of patient care, and will be applied for both public and PS with clear protocols. </w:t>
      </w:r>
    </w:p>
    <w:p w:rsidR="005A5808" w:rsidRPr="000F5A61" w:rsidRDefault="00A20727" w:rsidP="00C86062">
      <w:pPr>
        <w:spacing w:after="120" w:line="240" w:lineRule="auto"/>
        <w:rPr>
          <w:rFonts w:ascii="Arial" w:hAnsi="Arial" w:cs="Arial"/>
          <w:sz w:val="20"/>
          <w:szCs w:val="20"/>
        </w:rPr>
      </w:pPr>
      <w:r w:rsidRPr="00B1785B">
        <w:rPr>
          <w:rFonts w:ascii="Arial" w:hAnsi="Arial" w:cs="Arial"/>
          <w:i/>
          <w:sz w:val="20"/>
          <w:szCs w:val="20"/>
        </w:rPr>
        <w:t>Facility-based treatment</w:t>
      </w:r>
      <w:r w:rsidRPr="00B1785B">
        <w:rPr>
          <w:rFonts w:ascii="Arial" w:hAnsi="Arial" w:cs="Arial"/>
          <w:sz w:val="20"/>
          <w:szCs w:val="20"/>
        </w:rPr>
        <w:t>.</w:t>
      </w:r>
      <w:r w:rsidR="003F4BE6" w:rsidRPr="00B1785B">
        <w:rPr>
          <w:rFonts w:ascii="Arial" w:hAnsi="Arial" w:cs="Arial"/>
          <w:sz w:val="20"/>
          <w:szCs w:val="20"/>
        </w:rPr>
        <w:t>Requested funds will cover</w:t>
      </w:r>
      <w:r w:rsidR="00514C0F" w:rsidRPr="00B1785B">
        <w:rPr>
          <w:rFonts w:ascii="Arial" w:hAnsi="Arial" w:cs="Arial"/>
          <w:sz w:val="20"/>
          <w:szCs w:val="20"/>
        </w:rPr>
        <w:t>:</w:t>
      </w:r>
      <w:r w:rsidR="00846215" w:rsidRPr="00B1785B">
        <w:rPr>
          <w:rFonts w:ascii="Arial" w:hAnsi="Arial" w:cs="Arial"/>
          <w:sz w:val="20"/>
          <w:szCs w:val="20"/>
        </w:rPr>
        <w:t xml:space="preserve">Annual </w:t>
      </w:r>
      <w:r w:rsidR="003F4BE6" w:rsidRPr="00B1785B">
        <w:rPr>
          <w:rFonts w:ascii="Arial" w:hAnsi="Arial" w:cs="Arial"/>
          <w:sz w:val="20"/>
          <w:szCs w:val="20"/>
        </w:rPr>
        <w:t>s</w:t>
      </w:r>
      <w:r w:rsidR="00D74255" w:rsidRPr="00B1785B">
        <w:rPr>
          <w:rFonts w:ascii="Arial" w:hAnsi="Arial" w:cs="Arial"/>
          <w:sz w:val="20"/>
          <w:szCs w:val="20"/>
        </w:rPr>
        <w:t>uppl</w:t>
      </w:r>
      <w:r w:rsidR="003F4BE6" w:rsidRPr="00B1785B">
        <w:rPr>
          <w:rFonts w:ascii="Arial" w:hAnsi="Arial" w:cs="Arial"/>
          <w:sz w:val="20"/>
          <w:szCs w:val="20"/>
        </w:rPr>
        <w:t>y of</w:t>
      </w:r>
      <w:r w:rsidR="009757A2" w:rsidRPr="00B1785B">
        <w:rPr>
          <w:rFonts w:ascii="Arial" w:hAnsi="Arial" w:cs="Arial"/>
          <w:sz w:val="20"/>
          <w:szCs w:val="20"/>
        </w:rPr>
        <w:t xml:space="preserve">the </w:t>
      </w:r>
      <w:r w:rsidR="003F4BE6" w:rsidRPr="00B1785B">
        <w:rPr>
          <w:rFonts w:ascii="Arial" w:hAnsi="Arial" w:cs="Arial"/>
          <w:sz w:val="20"/>
          <w:szCs w:val="20"/>
        </w:rPr>
        <w:t xml:space="preserve">consumables required </w:t>
      </w:r>
      <w:r w:rsidR="00D74255" w:rsidRPr="00B1785B">
        <w:rPr>
          <w:rFonts w:ascii="Arial" w:hAnsi="Arial" w:cs="Arial"/>
          <w:sz w:val="20"/>
          <w:szCs w:val="20"/>
        </w:rPr>
        <w:t xml:space="preserve">for </w:t>
      </w:r>
      <w:r w:rsidR="003F4BE6" w:rsidRPr="00B1785B">
        <w:rPr>
          <w:rFonts w:ascii="Arial" w:hAnsi="Arial" w:cs="Arial"/>
          <w:sz w:val="20"/>
          <w:szCs w:val="20"/>
        </w:rPr>
        <w:t>m</w:t>
      </w:r>
      <w:r w:rsidR="00D74255" w:rsidRPr="00B1785B">
        <w:rPr>
          <w:rFonts w:ascii="Arial" w:hAnsi="Arial" w:cs="Arial"/>
          <w:sz w:val="20"/>
          <w:szCs w:val="20"/>
        </w:rPr>
        <w:t>icroscopy</w:t>
      </w:r>
      <w:r w:rsidRPr="00B1785B">
        <w:rPr>
          <w:rFonts w:ascii="Arial" w:hAnsi="Arial" w:cs="Arial"/>
          <w:sz w:val="20"/>
          <w:szCs w:val="20"/>
        </w:rPr>
        <w:t xml:space="preserve"> and the procurement, supply and maintenance of essential laboratory equipment</w:t>
      </w:r>
      <w:r w:rsidR="00846215" w:rsidRPr="00B1785B">
        <w:rPr>
          <w:rFonts w:ascii="Arial" w:hAnsi="Arial" w:cs="Arial"/>
          <w:sz w:val="20"/>
          <w:szCs w:val="20"/>
        </w:rPr>
        <w:t>; A w</w:t>
      </w:r>
      <w:r w:rsidR="00514C0F" w:rsidRPr="00B1785B">
        <w:rPr>
          <w:rFonts w:ascii="Arial" w:hAnsi="Arial" w:cs="Arial"/>
          <w:sz w:val="20"/>
          <w:szCs w:val="20"/>
        </w:rPr>
        <w:t xml:space="preserve">orkshop to improve </w:t>
      </w:r>
      <w:r w:rsidR="00846215" w:rsidRPr="00B1785B">
        <w:rPr>
          <w:rFonts w:ascii="Arial" w:hAnsi="Arial" w:cs="Arial"/>
          <w:sz w:val="20"/>
          <w:szCs w:val="20"/>
        </w:rPr>
        <w:t>i</w:t>
      </w:r>
      <w:r w:rsidR="00514C0F" w:rsidRPr="00B1785B">
        <w:rPr>
          <w:rFonts w:ascii="Arial" w:hAnsi="Arial" w:cs="Arial"/>
          <w:sz w:val="20"/>
          <w:szCs w:val="20"/>
        </w:rPr>
        <w:t>nte</w:t>
      </w:r>
      <w:r w:rsidR="00846215" w:rsidRPr="00B1785B">
        <w:rPr>
          <w:rFonts w:ascii="Arial" w:hAnsi="Arial" w:cs="Arial"/>
          <w:sz w:val="20"/>
          <w:szCs w:val="20"/>
        </w:rPr>
        <w:t>rnal QA/QC of malaria microscop</w:t>
      </w:r>
      <w:r w:rsidR="00E745EC" w:rsidRPr="00B1785B">
        <w:rPr>
          <w:rFonts w:ascii="Arial" w:hAnsi="Arial" w:cs="Arial"/>
          <w:sz w:val="20"/>
          <w:szCs w:val="20"/>
        </w:rPr>
        <w:t>y</w:t>
      </w:r>
      <w:r w:rsidR="00310012" w:rsidRPr="00B1785B">
        <w:rPr>
          <w:rFonts w:ascii="Arial" w:hAnsi="Arial" w:cs="Arial"/>
          <w:sz w:val="20"/>
          <w:szCs w:val="20"/>
        </w:rPr>
        <w:t xml:space="preserve"> (Y2)</w:t>
      </w:r>
      <w:r w:rsidR="00846215" w:rsidRPr="00B1785B">
        <w:rPr>
          <w:rFonts w:ascii="Arial" w:hAnsi="Arial" w:cs="Arial"/>
          <w:sz w:val="20"/>
          <w:szCs w:val="20"/>
        </w:rPr>
        <w:t>;</w:t>
      </w:r>
      <w:r w:rsidR="00310012" w:rsidRPr="00B1785B">
        <w:rPr>
          <w:rFonts w:ascii="Arial" w:hAnsi="Arial" w:cs="Arial"/>
          <w:sz w:val="20"/>
          <w:szCs w:val="20"/>
        </w:rPr>
        <w:t xml:space="preserve">Regular supervision </w:t>
      </w:r>
      <w:r w:rsidR="00514C0F" w:rsidRPr="00B1785B">
        <w:rPr>
          <w:rFonts w:ascii="Arial" w:hAnsi="Arial" w:cs="Arial"/>
          <w:sz w:val="20"/>
          <w:szCs w:val="20"/>
        </w:rPr>
        <w:t>visits of lab personal from central to district</w:t>
      </w:r>
      <w:r w:rsidR="00846215" w:rsidRPr="00B1785B">
        <w:rPr>
          <w:rFonts w:ascii="Arial" w:hAnsi="Arial" w:cs="Arial"/>
          <w:sz w:val="20"/>
          <w:szCs w:val="20"/>
        </w:rPr>
        <w:t xml:space="preserve"> level;</w:t>
      </w:r>
      <w:r w:rsidR="00514C0F" w:rsidRPr="00B1785B">
        <w:rPr>
          <w:rFonts w:ascii="Arial" w:hAnsi="Arial" w:cs="Arial"/>
          <w:sz w:val="20"/>
          <w:szCs w:val="20"/>
        </w:rPr>
        <w:t xml:space="preserve"> Establish</w:t>
      </w:r>
      <w:r w:rsidR="00846215" w:rsidRPr="00B1785B">
        <w:rPr>
          <w:rFonts w:ascii="Arial" w:hAnsi="Arial" w:cs="Arial"/>
          <w:sz w:val="20"/>
          <w:szCs w:val="20"/>
        </w:rPr>
        <w:t>ing a</w:t>
      </w:r>
      <w:r w:rsidR="00514C0F" w:rsidRPr="00B1785B">
        <w:rPr>
          <w:rFonts w:ascii="Arial" w:hAnsi="Arial" w:cs="Arial"/>
          <w:sz w:val="20"/>
          <w:szCs w:val="20"/>
        </w:rPr>
        <w:t xml:space="preserve"> microscopy quality database at central level</w:t>
      </w:r>
      <w:r w:rsidR="00310012" w:rsidRPr="00B1785B">
        <w:rPr>
          <w:rFonts w:ascii="Arial" w:hAnsi="Arial" w:cs="Arial"/>
          <w:sz w:val="20"/>
          <w:szCs w:val="20"/>
        </w:rPr>
        <w:t xml:space="preserve"> (Y1)</w:t>
      </w:r>
      <w:r w:rsidR="00846215" w:rsidRPr="00B1785B">
        <w:rPr>
          <w:rFonts w:ascii="Arial" w:hAnsi="Arial" w:cs="Arial"/>
          <w:sz w:val="20"/>
          <w:szCs w:val="20"/>
        </w:rPr>
        <w:t>;</w:t>
      </w:r>
      <w:r w:rsidR="00514C0F" w:rsidRPr="00B1785B">
        <w:rPr>
          <w:rFonts w:ascii="Arial" w:hAnsi="Arial" w:cs="Arial"/>
          <w:sz w:val="20"/>
          <w:szCs w:val="20"/>
        </w:rPr>
        <w:t xml:space="preserve"> Conduct</w:t>
      </w:r>
      <w:r w:rsidR="00846215" w:rsidRPr="00B1785B">
        <w:rPr>
          <w:rFonts w:ascii="Arial" w:hAnsi="Arial" w:cs="Arial"/>
          <w:sz w:val="20"/>
          <w:szCs w:val="20"/>
        </w:rPr>
        <w:t>ing annual</w:t>
      </w:r>
      <w:r w:rsidR="00514C0F" w:rsidRPr="00B1785B">
        <w:rPr>
          <w:rFonts w:ascii="Arial" w:hAnsi="Arial" w:cs="Arial"/>
          <w:sz w:val="20"/>
          <w:szCs w:val="20"/>
        </w:rPr>
        <w:t xml:space="preserve"> external malaria microscopy competency assessments</w:t>
      </w:r>
      <w:r w:rsidR="00846215" w:rsidRPr="00B1785B">
        <w:rPr>
          <w:rFonts w:ascii="Arial" w:hAnsi="Arial" w:cs="Arial"/>
          <w:sz w:val="20"/>
          <w:szCs w:val="20"/>
        </w:rPr>
        <w:t>;</w:t>
      </w:r>
      <w:r w:rsidR="00514C0F" w:rsidRPr="00B1785B">
        <w:rPr>
          <w:rFonts w:ascii="Arial" w:hAnsi="Arial" w:cs="Arial"/>
          <w:sz w:val="20"/>
          <w:szCs w:val="20"/>
        </w:rPr>
        <w:t xml:space="preserve"> Training of trainers on treatment gui</w:t>
      </w:r>
      <w:r w:rsidR="00846215" w:rsidRPr="00B1785B">
        <w:rPr>
          <w:rFonts w:ascii="Arial" w:hAnsi="Arial" w:cs="Arial"/>
          <w:sz w:val="20"/>
          <w:szCs w:val="20"/>
        </w:rPr>
        <w:t>delines including management of</w:t>
      </w:r>
      <w:r w:rsidR="00514C0F" w:rsidRPr="00B1785B">
        <w:rPr>
          <w:rFonts w:ascii="Arial" w:hAnsi="Arial" w:cs="Arial"/>
          <w:sz w:val="20"/>
          <w:szCs w:val="20"/>
        </w:rPr>
        <w:t xml:space="preserve"> severe malaria</w:t>
      </w:r>
      <w:r w:rsidR="00846215" w:rsidRPr="00B1785B">
        <w:rPr>
          <w:rFonts w:ascii="Arial" w:hAnsi="Arial" w:cs="Arial"/>
          <w:sz w:val="20"/>
          <w:szCs w:val="20"/>
        </w:rPr>
        <w:t xml:space="preserve"> (Y</w:t>
      </w:r>
      <w:r w:rsidR="00565E5F" w:rsidRPr="00B1785B">
        <w:rPr>
          <w:rFonts w:ascii="Arial" w:hAnsi="Arial" w:cs="Arial"/>
          <w:sz w:val="20"/>
          <w:szCs w:val="20"/>
        </w:rPr>
        <w:t>1&amp;</w:t>
      </w:r>
      <w:r w:rsidR="00C34C91" w:rsidRPr="00B1785B">
        <w:rPr>
          <w:rFonts w:ascii="Arial" w:hAnsi="Arial" w:cs="Arial"/>
          <w:sz w:val="20"/>
          <w:szCs w:val="20"/>
        </w:rPr>
        <w:t>3</w:t>
      </w:r>
      <w:r w:rsidR="00565E5F" w:rsidRPr="00B1785B">
        <w:rPr>
          <w:rFonts w:ascii="Arial" w:hAnsi="Arial" w:cs="Arial"/>
          <w:sz w:val="20"/>
          <w:szCs w:val="20"/>
        </w:rPr>
        <w:t>);</w:t>
      </w:r>
      <w:r w:rsidR="00514C0F" w:rsidRPr="00B1785B">
        <w:rPr>
          <w:rFonts w:ascii="Arial" w:hAnsi="Arial" w:cs="Arial"/>
          <w:sz w:val="20"/>
          <w:szCs w:val="20"/>
        </w:rPr>
        <w:t xml:space="preserve"> Training and refresher training </w:t>
      </w:r>
      <w:r w:rsidR="00514C0F" w:rsidRPr="00B1785B">
        <w:rPr>
          <w:rFonts w:ascii="Arial" w:hAnsi="Arial" w:cs="Arial"/>
          <w:sz w:val="20"/>
          <w:szCs w:val="20"/>
        </w:rPr>
        <w:lastRenderedPageBreak/>
        <w:t>of medical doctors on treatment guidelines including management of severe malaria</w:t>
      </w:r>
      <w:r w:rsidR="00565E5F" w:rsidRPr="00B1785B">
        <w:rPr>
          <w:rFonts w:ascii="Arial" w:hAnsi="Arial" w:cs="Arial"/>
          <w:sz w:val="20"/>
          <w:szCs w:val="20"/>
        </w:rPr>
        <w:t xml:space="preserve"> (Y1);</w:t>
      </w:r>
      <w:r w:rsidR="00310012" w:rsidRPr="00B1785B">
        <w:rPr>
          <w:rFonts w:ascii="Arial" w:hAnsi="Arial" w:cs="Arial"/>
          <w:sz w:val="20"/>
          <w:szCs w:val="20"/>
        </w:rPr>
        <w:t xml:space="preserve">Temporarily Intensified case detection by 8 MMC teams covering 7 higher burden Districts (pending roll-out of community based services) (Y1&amp;2); </w:t>
      </w:r>
      <w:r w:rsidR="00514C0F" w:rsidRPr="00B1785B">
        <w:rPr>
          <w:rFonts w:ascii="Arial" w:hAnsi="Arial" w:cs="Arial"/>
          <w:sz w:val="20"/>
          <w:szCs w:val="20"/>
        </w:rPr>
        <w:t>Clinical reviews of death cases by central and district level staff (field visits)</w:t>
      </w:r>
      <w:r w:rsidR="00565E5F" w:rsidRPr="00B1785B">
        <w:rPr>
          <w:rFonts w:ascii="Arial" w:hAnsi="Arial" w:cs="Arial"/>
          <w:sz w:val="20"/>
          <w:szCs w:val="20"/>
        </w:rPr>
        <w:t xml:space="preserve"> (Y</w:t>
      </w:r>
      <w:r w:rsidR="00E745EC" w:rsidRPr="00B1785B">
        <w:rPr>
          <w:rFonts w:ascii="Arial" w:hAnsi="Arial" w:cs="Arial"/>
          <w:sz w:val="20"/>
          <w:szCs w:val="20"/>
        </w:rPr>
        <w:t>1</w:t>
      </w:r>
      <w:r w:rsidR="00A14D39" w:rsidRPr="00B1785B">
        <w:rPr>
          <w:rFonts w:ascii="Arial" w:hAnsi="Arial" w:cs="Arial"/>
          <w:sz w:val="20"/>
          <w:szCs w:val="20"/>
        </w:rPr>
        <w:t>-3</w:t>
      </w:r>
      <w:r w:rsidR="00565E5F" w:rsidRPr="00B1785B">
        <w:rPr>
          <w:rFonts w:ascii="Arial" w:hAnsi="Arial" w:cs="Arial"/>
          <w:sz w:val="20"/>
          <w:szCs w:val="20"/>
        </w:rPr>
        <w:t xml:space="preserve">); </w:t>
      </w:r>
      <w:r w:rsidR="00BF7556" w:rsidRPr="00B1785B">
        <w:rPr>
          <w:rFonts w:ascii="Arial" w:hAnsi="Arial" w:cs="Arial"/>
          <w:sz w:val="20"/>
          <w:szCs w:val="20"/>
        </w:rPr>
        <w:t>and,t</w:t>
      </w:r>
      <w:r w:rsidR="00846215" w:rsidRPr="00B1785B">
        <w:rPr>
          <w:rFonts w:ascii="Arial" w:hAnsi="Arial" w:cs="Arial"/>
          <w:sz w:val="20"/>
          <w:szCs w:val="20"/>
        </w:rPr>
        <w:t>he procurement of RDTs and antimalarials</w:t>
      </w:r>
      <w:r w:rsidR="00BF7556" w:rsidRPr="00B1785B">
        <w:rPr>
          <w:rFonts w:ascii="Arial" w:hAnsi="Arial" w:cs="Arial"/>
          <w:sz w:val="20"/>
          <w:szCs w:val="20"/>
        </w:rPr>
        <w:t xml:space="preserve"> (see programmatic gap table)</w:t>
      </w:r>
      <w:r w:rsidR="00846215" w:rsidRPr="00B1785B">
        <w:rPr>
          <w:rFonts w:ascii="Arial" w:hAnsi="Arial" w:cs="Arial"/>
          <w:sz w:val="20"/>
          <w:szCs w:val="20"/>
        </w:rPr>
        <w:t>.</w:t>
      </w:r>
    </w:p>
    <w:p w:rsidR="00D74255" w:rsidRPr="000F5A61" w:rsidRDefault="00BF7556" w:rsidP="00C86062">
      <w:pPr>
        <w:spacing w:after="120" w:line="240" w:lineRule="auto"/>
        <w:rPr>
          <w:rFonts w:ascii="Arial" w:hAnsi="Arial" w:cs="Arial"/>
          <w:sz w:val="20"/>
          <w:szCs w:val="20"/>
        </w:rPr>
      </w:pPr>
      <w:r w:rsidRPr="00B1785B">
        <w:rPr>
          <w:rFonts w:ascii="Arial" w:hAnsi="Arial" w:cs="Arial"/>
          <w:i/>
          <w:sz w:val="20"/>
          <w:szCs w:val="20"/>
        </w:rPr>
        <w:t>Community-based treatment</w:t>
      </w:r>
      <w:r w:rsidRPr="00B1785B">
        <w:rPr>
          <w:rFonts w:ascii="Arial" w:hAnsi="Arial" w:cs="Arial"/>
          <w:sz w:val="20"/>
          <w:szCs w:val="20"/>
        </w:rPr>
        <w:t>.</w:t>
      </w:r>
      <w:r w:rsidR="00D74255" w:rsidRPr="000F5A61">
        <w:rPr>
          <w:rFonts w:ascii="Arial" w:hAnsi="Arial" w:cs="Arial"/>
          <w:sz w:val="20"/>
          <w:szCs w:val="20"/>
        </w:rPr>
        <w:t xml:space="preserve">During 2018 the Programme will introduce community-based </w:t>
      </w:r>
      <w:r w:rsidR="009D70B9" w:rsidRPr="000F5A61">
        <w:rPr>
          <w:rFonts w:ascii="Arial" w:hAnsi="Arial" w:cs="Arial"/>
          <w:sz w:val="20"/>
          <w:szCs w:val="20"/>
        </w:rPr>
        <w:t xml:space="preserve">RDT </w:t>
      </w:r>
      <w:r w:rsidR="00D74255" w:rsidRPr="00B1785B">
        <w:rPr>
          <w:rFonts w:ascii="Arial" w:hAnsi="Arial" w:cs="Arial"/>
          <w:sz w:val="20"/>
          <w:szCs w:val="20"/>
        </w:rPr>
        <w:t>testing</w:t>
      </w:r>
      <w:r w:rsidR="009D70B9" w:rsidRPr="00B1785B">
        <w:rPr>
          <w:rFonts w:ascii="Arial" w:hAnsi="Arial" w:cs="Arial"/>
          <w:sz w:val="20"/>
          <w:szCs w:val="20"/>
        </w:rPr>
        <w:t xml:space="preserve">,G6PD testing and </w:t>
      </w:r>
      <w:r w:rsidR="009D70B9" w:rsidRPr="000F5A61">
        <w:rPr>
          <w:rFonts w:ascii="Arial" w:hAnsi="Arial" w:cs="Arial"/>
          <w:sz w:val="20"/>
          <w:szCs w:val="20"/>
        </w:rPr>
        <w:t xml:space="preserve">treatment </w:t>
      </w:r>
      <w:r w:rsidR="00D74255" w:rsidRPr="000F5A61">
        <w:rPr>
          <w:rFonts w:ascii="Arial" w:hAnsi="Arial" w:cs="Arial"/>
          <w:sz w:val="20"/>
          <w:szCs w:val="20"/>
        </w:rPr>
        <w:t>by FCHVs/AHWs/ANMs</w:t>
      </w:r>
      <w:r w:rsidR="00FC71D4" w:rsidRPr="000F5A61">
        <w:rPr>
          <w:rFonts w:ascii="Arial" w:hAnsi="Arial" w:cs="Arial"/>
          <w:sz w:val="20"/>
          <w:szCs w:val="20"/>
        </w:rPr>
        <w:t xml:space="preserve">; </w:t>
      </w:r>
      <w:r w:rsidR="003F4BE6" w:rsidRPr="00B1785B">
        <w:rPr>
          <w:rFonts w:ascii="Arial" w:hAnsi="Arial" w:cs="Arial"/>
          <w:sz w:val="20"/>
          <w:szCs w:val="20"/>
        </w:rPr>
        <w:t>Requested funds will cover</w:t>
      </w:r>
      <w:r w:rsidR="00FC71D4" w:rsidRPr="00B1785B">
        <w:rPr>
          <w:rFonts w:ascii="Arial" w:hAnsi="Arial" w:cs="Arial"/>
          <w:sz w:val="20"/>
          <w:szCs w:val="20"/>
        </w:rPr>
        <w:t>:</w:t>
      </w:r>
      <w:r w:rsidR="004B427C" w:rsidRPr="00B1785B">
        <w:rPr>
          <w:rFonts w:ascii="Arial" w:hAnsi="Arial" w:cs="Arial"/>
          <w:sz w:val="20"/>
          <w:szCs w:val="20"/>
        </w:rPr>
        <w:t>T</w:t>
      </w:r>
      <w:r w:rsidR="00D74255" w:rsidRPr="00B1785B">
        <w:rPr>
          <w:rFonts w:ascii="Arial" w:hAnsi="Arial" w:cs="Arial"/>
          <w:sz w:val="20"/>
          <w:szCs w:val="20"/>
        </w:rPr>
        <w:t xml:space="preserve">raining </w:t>
      </w:r>
      <w:r w:rsidR="00A14D39" w:rsidRPr="00B1785B">
        <w:rPr>
          <w:rFonts w:ascii="Arial" w:hAnsi="Arial" w:cs="Arial"/>
          <w:sz w:val="20"/>
          <w:szCs w:val="20"/>
        </w:rPr>
        <w:t xml:space="preserve">for </w:t>
      </w:r>
      <w:r w:rsidR="00E04467" w:rsidRPr="00B1785B">
        <w:rPr>
          <w:rFonts w:ascii="Arial" w:hAnsi="Arial" w:cs="Arial"/>
          <w:sz w:val="20"/>
          <w:szCs w:val="20"/>
        </w:rPr>
        <w:t>at least 6,692</w:t>
      </w:r>
      <w:r w:rsidR="00D74255" w:rsidRPr="00B1785B">
        <w:rPr>
          <w:rFonts w:ascii="Arial" w:hAnsi="Arial" w:cs="Arial"/>
          <w:sz w:val="20"/>
          <w:szCs w:val="20"/>
        </w:rPr>
        <w:t>FCHVs/AHW/ANM</w:t>
      </w:r>
      <w:r w:rsidR="00E04467" w:rsidRPr="00B1785B">
        <w:rPr>
          <w:rFonts w:ascii="Arial" w:hAnsi="Arial" w:cs="Arial"/>
          <w:sz w:val="20"/>
          <w:szCs w:val="20"/>
        </w:rPr>
        <w:t>in 550 endemic VDCs identified during the 2017 stratification</w:t>
      </w:r>
      <w:r w:rsidR="00FC71D4" w:rsidRPr="00B1785B">
        <w:rPr>
          <w:rFonts w:ascii="Arial" w:hAnsi="Arial" w:cs="Arial"/>
          <w:sz w:val="20"/>
          <w:szCs w:val="20"/>
        </w:rPr>
        <w:t>; and, the procurement of RDTs and antimalarials (see programmatic gap table)</w:t>
      </w:r>
      <w:r w:rsidR="00A21565" w:rsidRPr="00B1785B">
        <w:rPr>
          <w:rFonts w:ascii="Arial" w:hAnsi="Arial" w:cs="Arial"/>
          <w:sz w:val="20"/>
          <w:szCs w:val="20"/>
        </w:rPr>
        <w:t xml:space="preserve"> in 54 Wards</w:t>
      </w:r>
      <w:r w:rsidR="00FC71D4" w:rsidRPr="00B1785B">
        <w:rPr>
          <w:rFonts w:ascii="Arial" w:hAnsi="Arial" w:cs="Arial"/>
          <w:sz w:val="20"/>
          <w:szCs w:val="20"/>
        </w:rPr>
        <w:t xml:space="preserve">. </w:t>
      </w:r>
      <w:r w:rsidR="009757A2" w:rsidRPr="00B1785B">
        <w:rPr>
          <w:rFonts w:ascii="Arial" w:hAnsi="Arial" w:cs="Arial"/>
          <w:sz w:val="20"/>
          <w:szCs w:val="20"/>
        </w:rPr>
        <w:t>GoN will support monitoring by supervisors who will provide additional on-the-job training as required.</w:t>
      </w:r>
    </w:p>
    <w:p w:rsidR="007F492F" w:rsidRPr="00B1785B" w:rsidRDefault="00FC71D4" w:rsidP="00C86062">
      <w:pPr>
        <w:spacing w:after="120" w:line="240" w:lineRule="auto"/>
        <w:rPr>
          <w:rFonts w:ascii="Arial" w:hAnsi="Arial" w:cs="Arial"/>
          <w:sz w:val="20"/>
          <w:szCs w:val="20"/>
        </w:rPr>
      </w:pPr>
      <w:r w:rsidRPr="00B1785B">
        <w:rPr>
          <w:rFonts w:ascii="Arial" w:hAnsi="Arial" w:cs="Arial"/>
          <w:i/>
          <w:sz w:val="20"/>
          <w:szCs w:val="20"/>
        </w:rPr>
        <w:t>Private sector case management.</w:t>
      </w:r>
      <w:r w:rsidRPr="000F5A61">
        <w:rPr>
          <w:rFonts w:ascii="Arial" w:hAnsi="Arial" w:cs="Arial"/>
          <w:sz w:val="20"/>
          <w:szCs w:val="20"/>
        </w:rPr>
        <w:t>During 2018-2</w:t>
      </w:r>
      <w:r w:rsidR="00E745EC" w:rsidRPr="000F5A61">
        <w:rPr>
          <w:rFonts w:ascii="Arial" w:hAnsi="Arial" w:cs="Arial"/>
          <w:sz w:val="20"/>
          <w:szCs w:val="20"/>
        </w:rPr>
        <w:t>0</w:t>
      </w:r>
      <w:r w:rsidRPr="000F5A61">
        <w:rPr>
          <w:rFonts w:ascii="Arial" w:hAnsi="Arial" w:cs="Arial"/>
          <w:sz w:val="20"/>
          <w:szCs w:val="20"/>
        </w:rPr>
        <w:t xml:space="preserve"> the Programme will roll-out its PS engagement strategy. </w:t>
      </w:r>
      <w:r w:rsidRPr="00B1785B">
        <w:rPr>
          <w:rFonts w:ascii="Arial" w:hAnsi="Arial" w:cs="Arial"/>
          <w:sz w:val="20"/>
          <w:szCs w:val="20"/>
        </w:rPr>
        <w:t xml:space="preserve">Requested funds will cover: Orientation on elimination and training on the NMTP for </w:t>
      </w:r>
      <w:r w:rsidR="00A2546B" w:rsidRPr="00B1785B">
        <w:rPr>
          <w:rFonts w:ascii="Arial" w:hAnsi="Arial" w:cs="Arial"/>
          <w:sz w:val="20"/>
          <w:szCs w:val="20"/>
        </w:rPr>
        <w:t>270</w:t>
      </w:r>
      <w:r w:rsidR="007F492F" w:rsidRPr="00B1785B">
        <w:rPr>
          <w:rFonts w:ascii="Arial" w:hAnsi="Arial" w:cs="Arial"/>
          <w:sz w:val="20"/>
          <w:szCs w:val="20"/>
        </w:rPr>
        <w:t xml:space="preserve">PS </w:t>
      </w:r>
      <w:r w:rsidRPr="00B1785B">
        <w:rPr>
          <w:rFonts w:ascii="Arial" w:hAnsi="Arial" w:cs="Arial"/>
          <w:sz w:val="20"/>
          <w:szCs w:val="20"/>
        </w:rPr>
        <w:t>healthcare providers</w:t>
      </w:r>
      <w:r w:rsidR="00A2546B" w:rsidRPr="00B1785B">
        <w:rPr>
          <w:rFonts w:ascii="Arial" w:hAnsi="Arial" w:cs="Arial"/>
          <w:sz w:val="20"/>
          <w:szCs w:val="20"/>
        </w:rPr>
        <w:t xml:space="preserve"> in 27 Districts</w:t>
      </w:r>
      <w:r w:rsidRPr="00B1785B">
        <w:rPr>
          <w:rFonts w:ascii="Arial" w:hAnsi="Arial" w:cs="Arial"/>
          <w:sz w:val="20"/>
          <w:szCs w:val="20"/>
        </w:rPr>
        <w:t xml:space="preserve">; </w:t>
      </w:r>
      <w:r w:rsidR="00A56767" w:rsidRPr="00B1785B">
        <w:rPr>
          <w:rFonts w:ascii="Arial" w:hAnsi="Arial" w:cs="Arial"/>
          <w:sz w:val="20"/>
          <w:szCs w:val="20"/>
        </w:rPr>
        <w:t xml:space="preserve">Annual </w:t>
      </w:r>
      <w:r w:rsidR="00A1513E" w:rsidRPr="00B1785B">
        <w:rPr>
          <w:rFonts w:ascii="Arial" w:hAnsi="Arial" w:cs="Arial"/>
          <w:i/>
          <w:sz w:val="20"/>
          <w:szCs w:val="20"/>
        </w:rPr>
        <w:t>per diem</w:t>
      </w:r>
      <w:r w:rsidR="00A1513E" w:rsidRPr="00B1785B">
        <w:rPr>
          <w:rFonts w:ascii="Arial" w:hAnsi="Arial" w:cs="Arial"/>
          <w:sz w:val="20"/>
          <w:szCs w:val="20"/>
        </w:rPr>
        <w:t xml:space="preserve"> and </w:t>
      </w:r>
      <w:r w:rsidR="00A56767" w:rsidRPr="00B1785B">
        <w:rPr>
          <w:rFonts w:ascii="Arial" w:hAnsi="Arial" w:cs="Arial"/>
          <w:sz w:val="20"/>
          <w:szCs w:val="20"/>
        </w:rPr>
        <w:t xml:space="preserve">travel costs for the DPHO focal person to engage with </w:t>
      </w:r>
      <w:r w:rsidR="007F492F" w:rsidRPr="00B1785B">
        <w:rPr>
          <w:rFonts w:ascii="Arial" w:hAnsi="Arial" w:cs="Arial"/>
          <w:sz w:val="20"/>
          <w:szCs w:val="20"/>
        </w:rPr>
        <w:t xml:space="preserve">PS </w:t>
      </w:r>
      <w:r w:rsidR="006F60C8" w:rsidRPr="00B1785B">
        <w:rPr>
          <w:rFonts w:ascii="Arial" w:hAnsi="Arial" w:cs="Arial"/>
          <w:sz w:val="20"/>
          <w:szCs w:val="20"/>
        </w:rPr>
        <w:t>provider</w:t>
      </w:r>
      <w:r w:rsidR="00A2546B" w:rsidRPr="00B1785B">
        <w:rPr>
          <w:rFonts w:ascii="Arial" w:hAnsi="Arial" w:cs="Arial"/>
          <w:sz w:val="20"/>
          <w:szCs w:val="20"/>
        </w:rPr>
        <w:t>s</w:t>
      </w:r>
      <w:r w:rsidR="00A1513E" w:rsidRPr="00B1785B">
        <w:rPr>
          <w:rFonts w:ascii="Arial" w:hAnsi="Arial" w:cs="Arial"/>
          <w:sz w:val="20"/>
          <w:szCs w:val="20"/>
        </w:rPr>
        <w:t xml:space="preserve"> (</w:t>
      </w:r>
      <w:r w:rsidR="004B427C" w:rsidRPr="00B1785B">
        <w:rPr>
          <w:rFonts w:ascii="Arial" w:hAnsi="Arial" w:cs="Arial"/>
          <w:sz w:val="20"/>
          <w:szCs w:val="20"/>
        </w:rPr>
        <w:t xml:space="preserve">administered </w:t>
      </w:r>
      <w:r w:rsidR="00A1513E" w:rsidRPr="00B1785B">
        <w:rPr>
          <w:rFonts w:ascii="Arial" w:hAnsi="Arial" w:cs="Arial"/>
          <w:sz w:val="20"/>
          <w:szCs w:val="20"/>
        </w:rPr>
        <w:t>by SCI)</w:t>
      </w:r>
      <w:r w:rsidR="007F492F" w:rsidRPr="00B1785B">
        <w:rPr>
          <w:rFonts w:ascii="Arial" w:hAnsi="Arial" w:cs="Arial"/>
          <w:sz w:val="20"/>
          <w:szCs w:val="20"/>
        </w:rPr>
        <w:t xml:space="preserve">; </w:t>
      </w:r>
      <w:r w:rsidR="004B427C" w:rsidRPr="00B1785B">
        <w:rPr>
          <w:rFonts w:ascii="Arial" w:hAnsi="Arial" w:cs="Arial"/>
          <w:sz w:val="20"/>
          <w:szCs w:val="20"/>
        </w:rPr>
        <w:t xml:space="preserve">Training of private sector medical doctors on treatment guidelines including management of severe malaria; </w:t>
      </w:r>
      <w:r w:rsidR="007F492F" w:rsidRPr="00B1785B">
        <w:rPr>
          <w:rFonts w:ascii="Arial" w:hAnsi="Arial" w:cs="Arial"/>
          <w:i/>
          <w:sz w:val="20"/>
          <w:szCs w:val="20"/>
        </w:rPr>
        <w:t>Ad hoc</w:t>
      </w:r>
      <w:r w:rsidR="007F492F" w:rsidRPr="00B1785B">
        <w:rPr>
          <w:rFonts w:ascii="Arial" w:hAnsi="Arial" w:cs="Arial"/>
          <w:sz w:val="20"/>
          <w:szCs w:val="20"/>
        </w:rPr>
        <w:t xml:space="preserve"> supervision of non</w:t>
      </w:r>
      <w:r w:rsidR="00A2546B" w:rsidRPr="00B1785B">
        <w:rPr>
          <w:rFonts w:ascii="Arial" w:hAnsi="Arial" w:cs="Arial"/>
          <w:sz w:val="20"/>
          <w:szCs w:val="20"/>
        </w:rPr>
        <w:t>-</w:t>
      </w:r>
      <w:r w:rsidR="007F492F" w:rsidRPr="00B1785B">
        <w:rPr>
          <w:rFonts w:ascii="Arial" w:hAnsi="Arial" w:cs="Arial"/>
          <w:sz w:val="20"/>
          <w:szCs w:val="20"/>
        </w:rPr>
        <w:t xml:space="preserve">compliant </w:t>
      </w:r>
      <w:r w:rsidR="00A2546B" w:rsidRPr="00B1785B">
        <w:rPr>
          <w:rFonts w:ascii="Arial" w:hAnsi="Arial" w:cs="Arial"/>
          <w:sz w:val="20"/>
          <w:szCs w:val="20"/>
        </w:rPr>
        <w:t>PS health</w:t>
      </w:r>
      <w:r w:rsidR="007F492F" w:rsidRPr="00B1785B">
        <w:rPr>
          <w:rFonts w:ascii="Arial" w:hAnsi="Arial" w:cs="Arial"/>
          <w:sz w:val="20"/>
          <w:szCs w:val="20"/>
        </w:rPr>
        <w:t xml:space="preserve">care providers through </w:t>
      </w:r>
      <w:r w:rsidR="00A2546B" w:rsidRPr="00B1785B">
        <w:rPr>
          <w:rFonts w:ascii="Arial" w:hAnsi="Arial" w:cs="Arial"/>
          <w:sz w:val="20"/>
          <w:szCs w:val="20"/>
        </w:rPr>
        <w:t>DPHO, EDCD and DDA;</w:t>
      </w:r>
      <w:r w:rsidR="007F492F" w:rsidRPr="00B1785B">
        <w:rPr>
          <w:rFonts w:ascii="Arial" w:hAnsi="Arial" w:cs="Arial"/>
          <w:sz w:val="20"/>
          <w:szCs w:val="20"/>
        </w:rPr>
        <w:t xml:space="preserve"> and, </w:t>
      </w:r>
      <w:r w:rsidR="00A2546B" w:rsidRPr="00B1785B">
        <w:rPr>
          <w:rFonts w:ascii="Arial" w:hAnsi="Arial" w:cs="Arial"/>
          <w:sz w:val="20"/>
          <w:szCs w:val="20"/>
        </w:rPr>
        <w:t>P</w:t>
      </w:r>
      <w:r w:rsidR="007F492F" w:rsidRPr="00B1785B">
        <w:rPr>
          <w:rFonts w:ascii="Arial" w:hAnsi="Arial" w:cs="Arial"/>
          <w:sz w:val="20"/>
          <w:szCs w:val="20"/>
        </w:rPr>
        <w:t xml:space="preserve">rocurement of RDTs and antimalarials (see programmatic gap table). </w:t>
      </w:r>
    </w:p>
    <w:p w:rsidR="009639CC" w:rsidRPr="000F5A61" w:rsidRDefault="00456AD1" w:rsidP="009639CC">
      <w:pPr>
        <w:spacing w:after="120"/>
        <w:rPr>
          <w:rFonts w:ascii="Arial" w:hAnsi="Arial" w:cs="Arial"/>
          <w:sz w:val="20"/>
          <w:szCs w:val="20"/>
        </w:rPr>
      </w:pPr>
      <w:r w:rsidRPr="00B1785B">
        <w:rPr>
          <w:rFonts w:ascii="Arial" w:hAnsi="Arial" w:cs="Arial"/>
          <w:i/>
          <w:sz w:val="20"/>
          <w:szCs w:val="20"/>
        </w:rPr>
        <w:t>Active case detection and investigation</w:t>
      </w:r>
      <w:r w:rsidRPr="00B1785B">
        <w:rPr>
          <w:rFonts w:ascii="Arial" w:hAnsi="Arial" w:cs="Arial"/>
          <w:sz w:val="20"/>
          <w:szCs w:val="20"/>
        </w:rPr>
        <w:t xml:space="preserve">. </w:t>
      </w:r>
      <w:r w:rsidR="009639CC" w:rsidRPr="000F5A61">
        <w:rPr>
          <w:rFonts w:ascii="Arial" w:hAnsi="Arial" w:cs="Arial"/>
          <w:sz w:val="20"/>
          <w:szCs w:val="20"/>
        </w:rPr>
        <w:t>The timeliness of the response to confirmed foci is key to effective control</w:t>
      </w:r>
      <w:r w:rsidR="0068519E" w:rsidRPr="000F5A61">
        <w:rPr>
          <w:rFonts w:ascii="Arial" w:hAnsi="Arial" w:cs="Arial"/>
          <w:sz w:val="20"/>
          <w:szCs w:val="20"/>
        </w:rPr>
        <w:t>.</w:t>
      </w:r>
      <w:r w:rsidR="009639CC" w:rsidRPr="000F5A61">
        <w:rPr>
          <w:rFonts w:ascii="Arial" w:hAnsi="Arial" w:cs="Arial"/>
          <w:sz w:val="20"/>
          <w:szCs w:val="20"/>
        </w:rPr>
        <w:t xml:space="preserve"> Nepal will adopt a ‘1-3-7 approach, whereby: cases must be notified on the day of detection; case investigation must be conducted within three days of detection; and investigation of suspected foci and response actions must be implemented within seven days of detection. Performance will be monitored against this 1-3-7 benchmark. </w:t>
      </w:r>
    </w:p>
    <w:p w:rsidR="009639CC" w:rsidRPr="000F5A61" w:rsidRDefault="009639CC" w:rsidP="009639CC">
      <w:pPr>
        <w:spacing w:after="120"/>
        <w:rPr>
          <w:rFonts w:ascii="Arial" w:hAnsi="Arial" w:cs="Arial"/>
          <w:sz w:val="20"/>
          <w:szCs w:val="20"/>
        </w:rPr>
      </w:pPr>
      <w:r w:rsidRPr="000F5A61">
        <w:rPr>
          <w:rFonts w:ascii="Arial" w:hAnsi="Arial" w:cs="Arial"/>
          <w:sz w:val="20"/>
          <w:szCs w:val="20"/>
        </w:rPr>
        <w:t>If a confirmed case is detected, the service provider will immediately submit a ‘case notification report' to MDIS via SMS. If they are unable to do so they will immediately inform their DPHO malaria focal point by phone, and the focal point will enter the details themselves to ensure every case is MDIS registered in a timely way.</w:t>
      </w:r>
    </w:p>
    <w:p w:rsidR="009639CC" w:rsidRPr="000F5A61" w:rsidRDefault="009639CC" w:rsidP="009639CC">
      <w:pPr>
        <w:spacing w:after="120" w:line="240" w:lineRule="auto"/>
        <w:rPr>
          <w:rFonts w:ascii="Arial" w:hAnsi="Arial" w:cs="Arial"/>
          <w:sz w:val="20"/>
          <w:szCs w:val="20"/>
        </w:rPr>
      </w:pPr>
      <w:r w:rsidRPr="000F5A61">
        <w:rPr>
          <w:rFonts w:ascii="Arial" w:hAnsi="Arial" w:cs="Arial"/>
          <w:sz w:val="20"/>
          <w:szCs w:val="20"/>
        </w:rPr>
        <w:t>Public sector facility staff in endemic/receptive districts will be trained to review and assess every malaria case identified to the MDIS using detailed case investigation forms (currently under revision). The resulting ‘case investigation reports’, covering travel history, ecological factors, recent epidemiological data and an assessment of likely site of transmission, will be submittedto DPHO malaria focal points within 3 days of case detection.</w:t>
      </w:r>
    </w:p>
    <w:p w:rsidR="00115BBB" w:rsidRPr="000F5A61" w:rsidRDefault="00115BBB" w:rsidP="009639CC">
      <w:pPr>
        <w:spacing w:after="120" w:line="240" w:lineRule="auto"/>
        <w:rPr>
          <w:rFonts w:ascii="Arial" w:hAnsi="Arial" w:cs="Arial"/>
          <w:sz w:val="20"/>
          <w:szCs w:val="20"/>
        </w:rPr>
      </w:pPr>
      <w:r w:rsidRPr="000F5A61">
        <w:rPr>
          <w:rFonts w:ascii="Arial" w:hAnsi="Arial" w:cs="Arial"/>
          <w:sz w:val="20"/>
          <w:szCs w:val="20"/>
        </w:rPr>
        <w:t>Prompt investigations will be carried out in response to any suspected transmission foci. The investigations will be centred on the suspected site of transmission</w:t>
      </w:r>
      <w:r w:rsidR="00A2546B" w:rsidRPr="000F5A61">
        <w:rPr>
          <w:rFonts w:ascii="Arial" w:hAnsi="Arial" w:cs="Arial"/>
          <w:sz w:val="20"/>
          <w:szCs w:val="20"/>
        </w:rPr>
        <w:t xml:space="preserve"> (home and/or workplace)</w:t>
      </w:r>
      <w:r w:rsidRPr="000F5A61">
        <w:rPr>
          <w:rFonts w:ascii="Arial" w:hAnsi="Arial" w:cs="Arial"/>
          <w:sz w:val="20"/>
          <w:szCs w:val="20"/>
        </w:rPr>
        <w:t>. A team of health staff from District and health facility level will complete an investigation within 7 days of the original case detection. The investigation will include ecological and entomological assessments, group discussions and interviews and active case detection (ACD). The scale of the ACD will be tailored to fit the local situation (based on SOPs). Volunteers will assist as necessary. The investigation team will submit an investigation report to DPHO and Regional</w:t>
      </w:r>
      <w:r w:rsidR="0068519E" w:rsidRPr="000F5A61">
        <w:rPr>
          <w:rFonts w:ascii="Arial" w:hAnsi="Arial" w:cs="Arial"/>
          <w:sz w:val="20"/>
          <w:szCs w:val="20"/>
        </w:rPr>
        <w:t>/</w:t>
      </w:r>
      <w:r w:rsidRPr="000F5A61">
        <w:rPr>
          <w:rFonts w:ascii="Arial" w:hAnsi="Arial" w:cs="Arial"/>
          <w:sz w:val="20"/>
          <w:szCs w:val="20"/>
        </w:rPr>
        <w:t xml:space="preserve">Central level within 24 hours of completing their one-day investigation. The report findings will be entered into the MDIS. </w:t>
      </w:r>
    </w:p>
    <w:p w:rsidR="00115BBB" w:rsidRPr="000F5A61" w:rsidRDefault="00115BBB" w:rsidP="00115BBB">
      <w:pPr>
        <w:spacing w:after="120" w:line="240" w:lineRule="auto"/>
        <w:rPr>
          <w:rFonts w:ascii="Arial" w:hAnsi="Arial" w:cs="Arial"/>
          <w:sz w:val="20"/>
          <w:szCs w:val="20"/>
        </w:rPr>
      </w:pPr>
      <w:r w:rsidRPr="000F5A61">
        <w:rPr>
          <w:rFonts w:ascii="Arial" w:hAnsi="Arial" w:cs="Arial"/>
          <w:sz w:val="20"/>
          <w:szCs w:val="20"/>
        </w:rPr>
        <w:t>The investigation report will be reviewed by the DPHO in consultation with Regional/Central staff and if a focus/outbreak is confirmed, its intensity and likely scale will be assessed and an emergency plan will be developed</w:t>
      </w:r>
      <w:r w:rsidR="00540EB1" w:rsidRPr="000F5A61">
        <w:rPr>
          <w:rFonts w:ascii="Arial" w:hAnsi="Arial" w:cs="Arial"/>
          <w:sz w:val="20"/>
          <w:szCs w:val="20"/>
        </w:rPr>
        <w:t xml:space="preserve"> based on SOPs</w:t>
      </w:r>
      <w:r w:rsidRPr="000F5A61">
        <w:rPr>
          <w:rFonts w:ascii="Arial" w:hAnsi="Arial" w:cs="Arial"/>
          <w:sz w:val="20"/>
          <w:szCs w:val="20"/>
        </w:rPr>
        <w:t xml:space="preserve">. The scale of the response will be tailored to suit each specific situation. DPHO focus response teams and District RRTs will be responsible for implementing the response to foci and outbreaks respectively. Within 7 days of </w:t>
      </w:r>
      <w:r w:rsidR="00540EB1" w:rsidRPr="000F5A61">
        <w:rPr>
          <w:rFonts w:ascii="Arial" w:hAnsi="Arial" w:cs="Arial"/>
          <w:sz w:val="20"/>
          <w:szCs w:val="20"/>
        </w:rPr>
        <w:t xml:space="preserve">original </w:t>
      </w:r>
      <w:r w:rsidRPr="000F5A61">
        <w:rPr>
          <w:rFonts w:ascii="Arial" w:hAnsi="Arial" w:cs="Arial"/>
          <w:sz w:val="20"/>
          <w:szCs w:val="20"/>
        </w:rPr>
        <w:t xml:space="preserve">case detection ACD will be instigated in the surrounding area and, depending on the findings of the entomological and ecological assessments, either </w:t>
      </w:r>
      <w:r w:rsidR="00540EB1" w:rsidRPr="000F5A61">
        <w:rPr>
          <w:rFonts w:ascii="Arial" w:hAnsi="Arial" w:cs="Arial"/>
          <w:sz w:val="20"/>
          <w:szCs w:val="20"/>
        </w:rPr>
        <w:t xml:space="preserve">focal responsive IRS will be applied or </w:t>
      </w:r>
      <w:r w:rsidRPr="000F5A61">
        <w:rPr>
          <w:rFonts w:ascii="Arial" w:hAnsi="Arial" w:cs="Arial"/>
          <w:sz w:val="20"/>
          <w:szCs w:val="20"/>
        </w:rPr>
        <w:t xml:space="preserve">LLINs will be given to those in need. </w:t>
      </w:r>
      <w:r w:rsidR="001565D1" w:rsidRPr="000F5A61">
        <w:rPr>
          <w:rFonts w:ascii="Arial" w:hAnsi="Arial" w:cs="Arial"/>
          <w:sz w:val="20"/>
          <w:szCs w:val="20"/>
        </w:rPr>
        <w:t>ACD visits will continue monthly</w:t>
      </w:r>
      <w:r w:rsidR="0068519E" w:rsidRPr="000F5A61">
        <w:rPr>
          <w:rFonts w:ascii="Arial" w:hAnsi="Arial" w:cs="Arial"/>
          <w:sz w:val="20"/>
          <w:szCs w:val="20"/>
        </w:rPr>
        <w:t>/quarterly</w:t>
      </w:r>
      <w:r w:rsidR="001565D1" w:rsidRPr="000F5A61">
        <w:rPr>
          <w:rFonts w:ascii="Arial" w:hAnsi="Arial" w:cs="Arial"/>
          <w:sz w:val="20"/>
          <w:szCs w:val="20"/>
        </w:rPr>
        <w:t xml:space="preserve"> until caseload falls to zero and the focus is cleared. </w:t>
      </w:r>
    </w:p>
    <w:p w:rsidR="00BD2DAE" w:rsidRPr="000F5A61" w:rsidRDefault="00BD2DAE" w:rsidP="00115BBB">
      <w:pPr>
        <w:spacing w:after="120" w:line="240" w:lineRule="auto"/>
        <w:rPr>
          <w:rFonts w:ascii="Arial" w:hAnsi="Arial" w:cs="Arial"/>
          <w:sz w:val="20"/>
          <w:szCs w:val="20"/>
        </w:rPr>
      </w:pPr>
      <w:r w:rsidRPr="000F5A61">
        <w:rPr>
          <w:rFonts w:ascii="Arial" w:hAnsi="Arial" w:cs="Arial"/>
          <w:sz w:val="20"/>
          <w:szCs w:val="20"/>
        </w:rPr>
        <w:t>To date, the reorientation of staff, to put them on an elimination footing rather than a control footing, has only been carried-out for workers at district level</w:t>
      </w:r>
      <w:r w:rsidR="00540EB1" w:rsidRPr="000F5A61">
        <w:rPr>
          <w:rFonts w:ascii="Arial" w:hAnsi="Arial" w:cs="Arial"/>
          <w:sz w:val="20"/>
          <w:szCs w:val="20"/>
        </w:rPr>
        <w:t xml:space="preserve"> in 25/75 Districts (but this training needs to be updated based on the Operational Framework)</w:t>
      </w:r>
      <w:r w:rsidRPr="000F5A61">
        <w:rPr>
          <w:rFonts w:ascii="Arial" w:hAnsi="Arial" w:cs="Arial"/>
          <w:sz w:val="20"/>
          <w:szCs w:val="20"/>
        </w:rPr>
        <w:t xml:space="preserve">. It is imperative that all staff receive this critical reorientation as soon as possible. This will be addressed as a priority in 2017 but continued reorientation will be needed </w:t>
      </w:r>
      <w:r w:rsidR="00CA3AF7" w:rsidRPr="000F5A61">
        <w:rPr>
          <w:rFonts w:ascii="Arial" w:hAnsi="Arial" w:cs="Arial"/>
          <w:sz w:val="20"/>
          <w:szCs w:val="20"/>
        </w:rPr>
        <w:t>in 2018 (GoN funded).</w:t>
      </w:r>
    </w:p>
    <w:p w:rsidR="00456AD1" w:rsidRPr="00B1785B" w:rsidRDefault="00456AD1" w:rsidP="00C86062">
      <w:pPr>
        <w:spacing w:after="120" w:line="240" w:lineRule="auto"/>
        <w:rPr>
          <w:rFonts w:ascii="Arial" w:hAnsi="Arial" w:cs="Arial"/>
          <w:i/>
          <w:sz w:val="20"/>
          <w:szCs w:val="20"/>
        </w:rPr>
      </w:pPr>
      <w:r w:rsidRPr="00B1785B">
        <w:rPr>
          <w:rFonts w:ascii="Arial" w:hAnsi="Arial" w:cs="Arial"/>
          <w:sz w:val="20"/>
          <w:szCs w:val="20"/>
        </w:rPr>
        <w:t xml:space="preserve">Requested funds will cover: </w:t>
      </w:r>
      <w:r w:rsidR="00DB22FD" w:rsidRPr="000F5A61">
        <w:rPr>
          <w:rFonts w:ascii="Arial" w:hAnsi="Arial" w:cs="Arial"/>
          <w:sz w:val="20"/>
          <w:szCs w:val="20"/>
        </w:rPr>
        <w:t xml:space="preserve">TA to </w:t>
      </w:r>
      <w:r w:rsidR="00D529A8" w:rsidRPr="000F5A61">
        <w:rPr>
          <w:rFonts w:ascii="Arial" w:hAnsi="Arial" w:cs="Arial"/>
          <w:sz w:val="20"/>
          <w:szCs w:val="20"/>
        </w:rPr>
        <w:t>strengthensurveillance</w:t>
      </w:r>
      <w:r w:rsidR="00DB22FD" w:rsidRPr="000F5A61">
        <w:rPr>
          <w:rFonts w:ascii="Arial" w:hAnsi="Arial" w:cs="Arial"/>
          <w:sz w:val="20"/>
          <w:szCs w:val="20"/>
        </w:rPr>
        <w:t xml:space="preserve"> activities (Y1-3); </w:t>
      </w:r>
      <w:r w:rsidRPr="00B1785B">
        <w:rPr>
          <w:rFonts w:ascii="Arial" w:hAnsi="Arial" w:cs="Arial"/>
          <w:sz w:val="20"/>
          <w:szCs w:val="20"/>
        </w:rPr>
        <w:t>Capacity</w:t>
      </w:r>
      <w:r w:rsidR="00A56767" w:rsidRPr="00B1785B">
        <w:rPr>
          <w:rFonts w:ascii="Arial" w:hAnsi="Arial" w:cs="Arial"/>
          <w:sz w:val="20"/>
          <w:szCs w:val="20"/>
        </w:rPr>
        <w:t>-</w:t>
      </w:r>
      <w:r w:rsidRPr="00B1785B">
        <w:rPr>
          <w:rFonts w:ascii="Arial" w:hAnsi="Arial" w:cs="Arial"/>
          <w:sz w:val="20"/>
          <w:szCs w:val="20"/>
        </w:rPr>
        <w:t xml:space="preserve">building training for field staff and volunteers on case detection, case investigation, transmission focus investigation </w:t>
      </w:r>
      <w:r w:rsidRPr="00B1785B">
        <w:rPr>
          <w:rFonts w:ascii="Arial" w:hAnsi="Arial" w:cs="Arial"/>
          <w:sz w:val="20"/>
          <w:szCs w:val="20"/>
        </w:rPr>
        <w:lastRenderedPageBreak/>
        <w:t>and tran</w:t>
      </w:r>
      <w:r w:rsidR="00372E03" w:rsidRPr="00B1785B">
        <w:rPr>
          <w:rFonts w:ascii="Arial" w:hAnsi="Arial" w:cs="Arial"/>
          <w:sz w:val="20"/>
          <w:szCs w:val="20"/>
        </w:rPr>
        <w:t>smission focus response system to Health Post level in 38 districts and to DPHO level in 10 Districts</w:t>
      </w:r>
      <w:r w:rsidR="00372E03" w:rsidRPr="00B1785B">
        <w:rPr>
          <w:rStyle w:val="FootnoteReference"/>
          <w:rFonts w:ascii="Arial" w:hAnsi="Arial" w:cs="Arial"/>
          <w:sz w:val="20"/>
          <w:szCs w:val="20"/>
        </w:rPr>
        <w:footnoteReference w:id="15"/>
      </w:r>
      <w:r w:rsidRPr="00B1785B">
        <w:rPr>
          <w:rFonts w:ascii="Arial" w:hAnsi="Arial" w:cs="Arial"/>
          <w:sz w:val="20"/>
          <w:szCs w:val="20"/>
        </w:rPr>
        <w:t>(ToT &amp; multipliers)</w:t>
      </w:r>
      <w:r w:rsidRPr="00B1785B">
        <w:rPr>
          <w:rFonts w:ascii="Arial" w:hAnsi="Arial" w:cs="Arial"/>
          <w:i/>
          <w:sz w:val="20"/>
          <w:szCs w:val="20"/>
        </w:rPr>
        <w:t xml:space="preserve">; </w:t>
      </w:r>
      <w:r w:rsidR="003176A9" w:rsidRPr="00B1785B">
        <w:rPr>
          <w:rFonts w:ascii="Arial" w:hAnsi="Arial" w:cs="Arial"/>
          <w:sz w:val="20"/>
          <w:szCs w:val="20"/>
        </w:rPr>
        <w:t>Case investigations (costs for field visits –</w:t>
      </w:r>
      <w:r w:rsidR="00372E03" w:rsidRPr="00B1785B">
        <w:rPr>
          <w:rFonts w:ascii="Arial" w:hAnsi="Arial" w:cs="Arial"/>
          <w:sz w:val="20"/>
          <w:szCs w:val="20"/>
        </w:rPr>
        <w:t xml:space="preserve"> 807in Y1 (85% of 1,009)</w:t>
      </w:r>
      <w:r w:rsidR="003176A9" w:rsidRPr="00B1785B">
        <w:rPr>
          <w:rFonts w:ascii="Arial" w:hAnsi="Arial" w:cs="Arial"/>
          <w:sz w:val="20"/>
          <w:szCs w:val="20"/>
        </w:rPr>
        <w:t xml:space="preserve">, </w:t>
      </w:r>
      <w:r w:rsidR="00372E03" w:rsidRPr="00B1785B">
        <w:rPr>
          <w:rFonts w:ascii="Arial" w:hAnsi="Arial" w:cs="Arial"/>
          <w:sz w:val="20"/>
          <w:szCs w:val="20"/>
        </w:rPr>
        <w:t xml:space="preserve">783 </w:t>
      </w:r>
      <w:r w:rsidR="003176A9" w:rsidRPr="00B1785B">
        <w:rPr>
          <w:rFonts w:ascii="Arial" w:hAnsi="Arial" w:cs="Arial"/>
          <w:sz w:val="20"/>
          <w:szCs w:val="20"/>
        </w:rPr>
        <w:t xml:space="preserve">in Y2 </w:t>
      </w:r>
      <w:r w:rsidR="006302B4" w:rsidRPr="00B1785B">
        <w:rPr>
          <w:rFonts w:ascii="Arial" w:hAnsi="Arial" w:cs="Arial"/>
          <w:sz w:val="20"/>
          <w:szCs w:val="20"/>
        </w:rPr>
        <w:t xml:space="preserve">(95% of 824) </w:t>
      </w:r>
      <w:r w:rsidR="003176A9" w:rsidRPr="00B1785B">
        <w:rPr>
          <w:rFonts w:ascii="Arial" w:hAnsi="Arial" w:cs="Arial"/>
          <w:sz w:val="20"/>
          <w:szCs w:val="20"/>
        </w:rPr>
        <w:t xml:space="preserve">and </w:t>
      </w:r>
      <w:r w:rsidR="00372E03" w:rsidRPr="00B1785B">
        <w:rPr>
          <w:rFonts w:ascii="Arial" w:hAnsi="Arial" w:cs="Arial"/>
          <w:sz w:val="20"/>
          <w:szCs w:val="20"/>
        </w:rPr>
        <w:t>667</w:t>
      </w:r>
      <w:r w:rsidR="003176A9" w:rsidRPr="00B1785B">
        <w:rPr>
          <w:rFonts w:ascii="Arial" w:hAnsi="Arial" w:cs="Arial"/>
          <w:sz w:val="20"/>
          <w:szCs w:val="20"/>
        </w:rPr>
        <w:t xml:space="preserve"> in Y</w:t>
      </w:r>
      <w:r w:rsidR="00D51B85" w:rsidRPr="00B1785B">
        <w:rPr>
          <w:rFonts w:ascii="Arial" w:hAnsi="Arial" w:cs="Arial"/>
          <w:sz w:val="20"/>
          <w:szCs w:val="20"/>
        </w:rPr>
        <w:t>3</w:t>
      </w:r>
      <w:r w:rsidR="00372E03" w:rsidRPr="00B1785B">
        <w:rPr>
          <w:rFonts w:ascii="Arial" w:hAnsi="Arial" w:cs="Arial"/>
          <w:sz w:val="20"/>
          <w:szCs w:val="20"/>
        </w:rPr>
        <w:t xml:space="preserve"> (100% of cases)</w:t>
      </w:r>
      <w:r w:rsidR="003176A9" w:rsidRPr="00B1785B">
        <w:rPr>
          <w:rFonts w:ascii="Arial" w:hAnsi="Arial" w:cs="Arial"/>
          <w:sz w:val="20"/>
          <w:szCs w:val="20"/>
        </w:rPr>
        <w:t>); Travel cost for follow-up to confirm treatment compliance</w:t>
      </w:r>
      <w:r w:rsidR="00100659" w:rsidRPr="00B1785B">
        <w:rPr>
          <w:rFonts w:ascii="Arial" w:hAnsi="Arial" w:cs="Arial"/>
          <w:sz w:val="20"/>
          <w:szCs w:val="20"/>
        </w:rPr>
        <w:t xml:space="preserve"> (costs for field visits – </w:t>
      </w:r>
      <w:r w:rsidR="00D51B85" w:rsidRPr="00B1785B">
        <w:rPr>
          <w:rFonts w:ascii="Arial" w:hAnsi="Arial" w:cs="Arial"/>
          <w:sz w:val="20"/>
          <w:szCs w:val="20"/>
        </w:rPr>
        <w:t>807</w:t>
      </w:r>
      <w:r w:rsidR="00100659" w:rsidRPr="00B1785B">
        <w:rPr>
          <w:rFonts w:ascii="Arial" w:hAnsi="Arial" w:cs="Arial"/>
          <w:sz w:val="20"/>
          <w:szCs w:val="20"/>
        </w:rPr>
        <w:t xml:space="preserve"> in Y1, </w:t>
      </w:r>
      <w:r w:rsidR="00312068" w:rsidRPr="00B1785B">
        <w:rPr>
          <w:rFonts w:ascii="Arial" w:hAnsi="Arial" w:cs="Arial"/>
          <w:sz w:val="20"/>
          <w:szCs w:val="20"/>
        </w:rPr>
        <w:t>783</w:t>
      </w:r>
      <w:r w:rsidR="00100659" w:rsidRPr="00B1785B">
        <w:rPr>
          <w:rFonts w:ascii="Arial" w:hAnsi="Arial" w:cs="Arial"/>
          <w:sz w:val="20"/>
          <w:szCs w:val="20"/>
        </w:rPr>
        <w:t xml:space="preserve"> in Y2 and </w:t>
      </w:r>
      <w:r w:rsidR="00312068" w:rsidRPr="00B1785B">
        <w:rPr>
          <w:rFonts w:ascii="Arial" w:hAnsi="Arial" w:cs="Arial"/>
          <w:sz w:val="20"/>
          <w:szCs w:val="20"/>
        </w:rPr>
        <w:t>667</w:t>
      </w:r>
      <w:r w:rsidR="00100659" w:rsidRPr="00B1785B">
        <w:rPr>
          <w:rFonts w:ascii="Arial" w:hAnsi="Arial" w:cs="Arial"/>
          <w:sz w:val="20"/>
          <w:szCs w:val="20"/>
        </w:rPr>
        <w:t xml:space="preserve"> in Y</w:t>
      </w:r>
      <w:r w:rsidR="00D51B85" w:rsidRPr="00B1785B">
        <w:rPr>
          <w:rFonts w:ascii="Arial" w:hAnsi="Arial" w:cs="Arial"/>
          <w:sz w:val="20"/>
          <w:szCs w:val="20"/>
        </w:rPr>
        <w:t>3</w:t>
      </w:r>
      <w:r w:rsidR="00100659" w:rsidRPr="00B1785B">
        <w:rPr>
          <w:rFonts w:ascii="Arial" w:hAnsi="Arial" w:cs="Arial"/>
          <w:sz w:val="20"/>
          <w:szCs w:val="20"/>
        </w:rPr>
        <w:t>)</w:t>
      </w:r>
      <w:r w:rsidR="003176A9" w:rsidRPr="00B1785B">
        <w:rPr>
          <w:rFonts w:ascii="Arial" w:hAnsi="Arial" w:cs="Arial"/>
          <w:sz w:val="20"/>
          <w:szCs w:val="20"/>
        </w:rPr>
        <w:t xml:space="preserve">; Focus investigations (costs for field visits – </w:t>
      </w:r>
      <w:r w:rsidR="006302B4" w:rsidRPr="00B1785B">
        <w:rPr>
          <w:rFonts w:ascii="Arial" w:hAnsi="Arial" w:cs="Arial"/>
          <w:sz w:val="20"/>
          <w:szCs w:val="20"/>
        </w:rPr>
        <w:t xml:space="preserve">127in Y1 </w:t>
      </w:r>
      <w:r w:rsidR="00312068" w:rsidRPr="00B1785B">
        <w:rPr>
          <w:rFonts w:ascii="Arial" w:hAnsi="Arial" w:cs="Arial"/>
          <w:sz w:val="20"/>
          <w:szCs w:val="20"/>
        </w:rPr>
        <w:t>(</w:t>
      </w:r>
      <w:r w:rsidR="006302B4" w:rsidRPr="00B1785B">
        <w:rPr>
          <w:rFonts w:ascii="Arial" w:hAnsi="Arial" w:cs="Arial"/>
          <w:sz w:val="20"/>
          <w:szCs w:val="20"/>
        </w:rPr>
        <w:t>8</w:t>
      </w:r>
      <w:r w:rsidR="00312068" w:rsidRPr="00B1785B">
        <w:rPr>
          <w:rFonts w:ascii="Arial" w:hAnsi="Arial" w:cs="Arial"/>
          <w:sz w:val="20"/>
          <w:szCs w:val="20"/>
        </w:rPr>
        <w:t>0% of 1</w:t>
      </w:r>
      <w:r w:rsidR="006302B4" w:rsidRPr="00B1785B">
        <w:rPr>
          <w:rFonts w:ascii="Arial" w:hAnsi="Arial" w:cs="Arial"/>
          <w:sz w:val="20"/>
          <w:szCs w:val="20"/>
        </w:rPr>
        <w:t>58</w:t>
      </w:r>
      <w:r w:rsidR="00103E84" w:rsidRPr="00B1785B">
        <w:rPr>
          <w:rFonts w:ascii="Arial" w:hAnsi="Arial" w:cs="Arial"/>
          <w:sz w:val="20"/>
          <w:szCs w:val="20"/>
        </w:rPr>
        <w:t xml:space="preserve"> foci</w:t>
      </w:r>
      <w:r w:rsidR="00312068" w:rsidRPr="00B1785B">
        <w:rPr>
          <w:rFonts w:ascii="Arial" w:hAnsi="Arial" w:cs="Arial"/>
          <w:sz w:val="20"/>
          <w:szCs w:val="20"/>
        </w:rPr>
        <w:t>)</w:t>
      </w:r>
      <w:r w:rsidR="003176A9" w:rsidRPr="00B1785B">
        <w:rPr>
          <w:rFonts w:ascii="Arial" w:hAnsi="Arial" w:cs="Arial"/>
          <w:sz w:val="20"/>
          <w:szCs w:val="20"/>
        </w:rPr>
        <w:t xml:space="preserve">, </w:t>
      </w:r>
      <w:r w:rsidR="006302B4" w:rsidRPr="00B1785B">
        <w:rPr>
          <w:rFonts w:ascii="Arial" w:hAnsi="Arial" w:cs="Arial"/>
          <w:sz w:val="20"/>
          <w:szCs w:val="20"/>
        </w:rPr>
        <w:t>12</w:t>
      </w:r>
      <w:r w:rsidR="003176A9" w:rsidRPr="00B1785B">
        <w:rPr>
          <w:rFonts w:ascii="Arial" w:hAnsi="Arial" w:cs="Arial"/>
          <w:sz w:val="20"/>
          <w:szCs w:val="20"/>
        </w:rPr>
        <w:t>0 in Y2</w:t>
      </w:r>
      <w:r w:rsidR="006302B4" w:rsidRPr="00B1785B">
        <w:rPr>
          <w:rFonts w:ascii="Arial" w:hAnsi="Arial" w:cs="Arial"/>
          <w:sz w:val="20"/>
          <w:szCs w:val="20"/>
        </w:rPr>
        <w:t xml:space="preserve"> (100% of </w:t>
      </w:r>
      <w:r w:rsidR="00103E84" w:rsidRPr="00B1785B">
        <w:rPr>
          <w:rFonts w:ascii="Arial" w:hAnsi="Arial" w:cs="Arial"/>
          <w:sz w:val="20"/>
          <w:szCs w:val="20"/>
        </w:rPr>
        <w:t>foci</w:t>
      </w:r>
      <w:r w:rsidR="006302B4" w:rsidRPr="00B1785B">
        <w:rPr>
          <w:rFonts w:ascii="Arial" w:hAnsi="Arial" w:cs="Arial"/>
          <w:sz w:val="20"/>
          <w:szCs w:val="20"/>
        </w:rPr>
        <w:t>)</w:t>
      </w:r>
      <w:r w:rsidR="003176A9" w:rsidRPr="00B1785B">
        <w:rPr>
          <w:rFonts w:ascii="Arial" w:hAnsi="Arial" w:cs="Arial"/>
          <w:sz w:val="20"/>
          <w:szCs w:val="20"/>
        </w:rPr>
        <w:t xml:space="preserve"> and </w:t>
      </w:r>
      <w:r w:rsidR="006302B4" w:rsidRPr="00B1785B">
        <w:rPr>
          <w:rFonts w:ascii="Arial" w:hAnsi="Arial" w:cs="Arial"/>
          <w:sz w:val="20"/>
          <w:szCs w:val="20"/>
        </w:rPr>
        <w:t>85</w:t>
      </w:r>
      <w:r w:rsidR="003176A9" w:rsidRPr="00B1785B">
        <w:rPr>
          <w:rFonts w:ascii="Arial" w:hAnsi="Arial" w:cs="Arial"/>
          <w:sz w:val="20"/>
          <w:szCs w:val="20"/>
        </w:rPr>
        <w:t xml:space="preserve"> in Y</w:t>
      </w:r>
      <w:r w:rsidR="006302B4" w:rsidRPr="00B1785B">
        <w:rPr>
          <w:rFonts w:ascii="Arial" w:hAnsi="Arial" w:cs="Arial"/>
          <w:sz w:val="20"/>
          <w:szCs w:val="20"/>
        </w:rPr>
        <w:t xml:space="preserve">3 (100% of </w:t>
      </w:r>
      <w:r w:rsidR="00103E84" w:rsidRPr="00B1785B">
        <w:rPr>
          <w:rFonts w:ascii="Arial" w:hAnsi="Arial" w:cs="Arial"/>
          <w:sz w:val="20"/>
          <w:szCs w:val="20"/>
        </w:rPr>
        <w:t>foci</w:t>
      </w:r>
      <w:r w:rsidR="00DB22FD" w:rsidRPr="00B1785B">
        <w:rPr>
          <w:rFonts w:ascii="Arial" w:hAnsi="Arial" w:cs="Arial"/>
          <w:sz w:val="20"/>
          <w:szCs w:val="20"/>
        </w:rPr>
        <w:t>)</w:t>
      </w:r>
      <w:r w:rsidR="001F1FC9" w:rsidRPr="00B1785B">
        <w:rPr>
          <w:rFonts w:ascii="Arial" w:hAnsi="Arial" w:cs="Arial"/>
          <w:sz w:val="20"/>
          <w:szCs w:val="20"/>
        </w:rPr>
        <w:t xml:space="preserve"> – including the entomological component of focus investigations and operational costs associated with responsive IRS in active foci (costed under the ‘Vector control’ module)</w:t>
      </w:r>
      <w:r w:rsidR="00DB22FD" w:rsidRPr="00B1785B">
        <w:rPr>
          <w:rFonts w:ascii="Arial" w:hAnsi="Arial" w:cs="Arial"/>
          <w:sz w:val="20"/>
          <w:szCs w:val="20"/>
        </w:rPr>
        <w:t xml:space="preserve">; </w:t>
      </w:r>
      <w:r w:rsidR="00584864" w:rsidRPr="00B1785B">
        <w:rPr>
          <w:rFonts w:ascii="Arial" w:hAnsi="Arial" w:cs="Arial"/>
          <w:sz w:val="20"/>
          <w:szCs w:val="20"/>
        </w:rPr>
        <w:t xml:space="preserve">and, procurement of equipment for </w:t>
      </w:r>
      <w:r w:rsidR="001F1FC9" w:rsidRPr="00B1785B">
        <w:rPr>
          <w:rFonts w:ascii="Arial" w:hAnsi="Arial" w:cs="Arial"/>
          <w:sz w:val="20"/>
          <w:szCs w:val="20"/>
        </w:rPr>
        <w:t>Rapid Response Teams.</w:t>
      </w:r>
    </w:p>
    <w:p w:rsidR="00B97B96" w:rsidRPr="00B1785B" w:rsidRDefault="0052088E" w:rsidP="00C86062">
      <w:pPr>
        <w:spacing w:after="120" w:line="240" w:lineRule="auto"/>
        <w:rPr>
          <w:rFonts w:ascii="Arial" w:hAnsi="Arial" w:cs="Arial"/>
          <w:sz w:val="20"/>
          <w:szCs w:val="20"/>
        </w:rPr>
      </w:pPr>
      <w:r w:rsidRPr="000F5A61">
        <w:rPr>
          <w:rFonts w:ascii="Arial" w:hAnsi="Arial" w:cs="Arial"/>
          <w:i/>
          <w:sz w:val="20"/>
          <w:szCs w:val="20"/>
        </w:rPr>
        <w:t xml:space="preserve">IEC/BCC: </w:t>
      </w:r>
      <w:r w:rsidR="0006300D" w:rsidRPr="000F5A61">
        <w:rPr>
          <w:rFonts w:ascii="Arial" w:hAnsi="Arial" w:cs="Arial"/>
          <w:sz w:val="20"/>
          <w:szCs w:val="20"/>
        </w:rPr>
        <w:t xml:space="preserve">The Programme </w:t>
      </w:r>
      <w:r w:rsidR="00103E84" w:rsidRPr="000F5A61">
        <w:rPr>
          <w:rFonts w:ascii="Arial" w:hAnsi="Arial" w:cs="Arial"/>
          <w:sz w:val="20"/>
          <w:szCs w:val="20"/>
        </w:rPr>
        <w:t xml:space="preserve">in collaboration with NHEICC and WHO </w:t>
      </w:r>
      <w:r w:rsidR="0006300D" w:rsidRPr="000F5A61">
        <w:rPr>
          <w:rFonts w:ascii="Arial" w:hAnsi="Arial" w:cs="Arial"/>
          <w:sz w:val="20"/>
          <w:szCs w:val="20"/>
        </w:rPr>
        <w:t>will develop and produce target-group-specific and locally appropriate BCC materials</w:t>
      </w:r>
      <w:r w:rsidR="00517B65" w:rsidRPr="000F5A61">
        <w:rPr>
          <w:rStyle w:val="FootnoteReference"/>
          <w:rFonts w:ascii="Arial" w:hAnsi="Arial" w:cs="Arial"/>
          <w:sz w:val="20"/>
          <w:szCs w:val="20"/>
        </w:rPr>
        <w:footnoteReference w:id="16"/>
      </w:r>
      <w:r w:rsidR="0006300D" w:rsidRPr="000F5A61">
        <w:rPr>
          <w:rFonts w:ascii="Arial" w:hAnsi="Arial" w:cs="Arial"/>
          <w:sz w:val="20"/>
          <w:szCs w:val="20"/>
        </w:rPr>
        <w:t xml:space="preserve"> and methodologies for all high-risk groups, as well as for communities approaching elimination. The approach </w:t>
      </w:r>
      <w:r w:rsidR="00517B65" w:rsidRPr="000F5A61">
        <w:rPr>
          <w:rFonts w:ascii="Arial" w:hAnsi="Arial" w:cs="Arial"/>
          <w:sz w:val="20"/>
          <w:szCs w:val="20"/>
        </w:rPr>
        <w:t>and key messages</w:t>
      </w:r>
      <w:r w:rsidR="00517B65" w:rsidRPr="000F5A61">
        <w:rPr>
          <w:rStyle w:val="FootnoteReference"/>
          <w:rFonts w:ascii="Arial" w:hAnsi="Arial" w:cs="Arial"/>
          <w:sz w:val="20"/>
          <w:szCs w:val="20"/>
        </w:rPr>
        <w:footnoteReference w:id="17"/>
      </w:r>
      <w:r w:rsidR="0006300D" w:rsidRPr="000F5A61">
        <w:rPr>
          <w:rFonts w:ascii="Arial" w:hAnsi="Arial" w:cs="Arial"/>
          <w:sz w:val="20"/>
          <w:szCs w:val="20"/>
        </w:rPr>
        <w:t xml:space="preserve">will be tailored to the specific requirements of the target groups and to the specific requirements of elimination. Products will be multilingual wherever appropriate. </w:t>
      </w:r>
      <w:r w:rsidR="0006300D" w:rsidRPr="00B1785B">
        <w:rPr>
          <w:rFonts w:ascii="Arial" w:hAnsi="Arial" w:cs="Arial"/>
          <w:sz w:val="20"/>
          <w:szCs w:val="20"/>
        </w:rPr>
        <w:t>Requested funds will cover</w:t>
      </w:r>
      <w:r w:rsidRPr="00B1785B">
        <w:rPr>
          <w:rFonts w:ascii="Arial" w:hAnsi="Arial" w:cs="Arial"/>
          <w:sz w:val="20"/>
          <w:szCs w:val="20"/>
        </w:rPr>
        <w:t>:</w:t>
      </w:r>
      <w:r w:rsidR="00E968C7" w:rsidRPr="00B1785B">
        <w:rPr>
          <w:rFonts w:ascii="Arial" w:hAnsi="Arial" w:cs="Arial"/>
          <w:sz w:val="20"/>
          <w:szCs w:val="20"/>
        </w:rPr>
        <w:t>Regular public service announcements</w:t>
      </w:r>
      <w:r w:rsidR="000C6594" w:rsidRPr="00B1785B">
        <w:rPr>
          <w:rFonts w:ascii="Arial" w:hAnsi="Arial" w:cs="Arial"/>
          <w:sz w:val="20"/>
          <w:szCs w:val="20"/>
        </w:rPr>
        <w:t xml:space="preserve"> including airing of key messages through local </w:t>
      </w:r>
      <w:r w:rsidR="00AC4095" w:rsidRPr="00B1785B">
        <w:rPr>
          <w:rFonts w:ascii="Arial" w:hAnsi="Arial" w:cs="Arial"/>
          <w:sz w:val="20"/>
          <w:szCs w:val="20"/>
        </w:rPr>
        <w:t xml:space="preserve">radio </w:t>
      </w:r>
      <w:r w:rsidR="000C6594" w:rsidRPr="00B1785B">
        <w:rPr>
          <w:rFonts w:ascii="Arial" w:hAnsi="Arial" w:cs="Arial"/>
          <w:sz w:val="20"/>
          <w:szCs w:val="20"/>
        </w:rPr>
        <w:t>stations</w:t>
      </w:r>
      <w:r w:rsidR="00E968C7" w:rsidRPr="00B1785B">
        <w:rPr>
          <w:rFonts w:ascii="Arial" w:hAnsi="Arial" w:cs="Arial"/>
          <w:sz w:val="20"/>
          <w:szCs w:val="20"/>
        </w:rPr>
        <w:t>.</w:t>
      </w:r>
    </w:p>
    <w:p w:rsidR="00EF7C56" w:rsidRPr="000F5A61" w:rsidRDefault="00B97B96" w:rsidP="00C86062">
      <w:pPr>
        <w:spacing w:after="120" w:line="240" w:lineRule="auto"/>
        <w:rPr>
          <w:rFonts w:ascii="Arial" w:hAnsi="Arial" w:cs="Arial"/>
          <w:sz w:val="20"/>
          <w:szCs w:val="20"/>
        </w:rPr>
      </w:pPr>
      <w:r w:rsidRPr="000F5A61">
        <w:rPr>
          <w:rFonts w:ascii="Arial" w:hAnsi="Arial" w:cs="Arial"/>
          <w:b/>
          <w:sz w:val="20"/>
          <w:szCs w:val="20"/>
        </w:rPr>
        <w:t xml:space="preserve">Module 2. </w:t>
      </w:r>
      <w:r w:rsidR="005F50E1" w:rsidRPr="000F5A61">
        <w:rPr>
          <w:rFonts w:ascii="Arial" w:hAnsi="Arial" w:cs="Arial"/>
          <w:b/>
          <w:sz w:val="20"/>
          <w:szCs w:val="20"/>
        </w:rPr>
        <w:t>Vector control</w:t>
      </w:r>
      <w:r w:rsidR="001F17DE" w:rsidRPr="000F5A61">
        <w:rPr>
          <w:rFonts w:ascii="Arial" w:hAnsi="Arial" w:cs="Arial"/>
          <w:b/>
          <w:sz w:val="20"/>
          <w:szCs w:val="20"/>
        </w:rPr>
        <w:t xml:space="preserve">. </w:t>
      </w:r>
      <w:r w:rsidR="006E3789" w:rsidRPr="000F5A61">
        <w:rPr>
          <w:rFonts w:ascii="Arial" w:hAnsi="Arial" w:cs="Arial"/>
          <w:i/>
          <w:sz w:val="20"/>
          <w:szCs w:val="20"/>
        </w:rPr>
        <w:t>[Please note this request for funding covers LLIN delivery costs only</w:t>
      </w:r>
      <w:r w:rsidR="002763F9" w:rsidRPr="000F5A61">
        <w:rPr>
          <w:rFonts w:ascii="Arial" w:hAnsi="Arial" w:cs="Arial"/>
          <w:i/>
          <w:sz w:val="20"/>
          <w:szCs w:val="20"/>
        </w:rPr>
        <w:t xml:space="preserve"> in </w:t>
      </w:r>
      <w:r w:rsidR="009A63F8" w:rsidRPr="000F5A61">
        <w:rPr>
          <w:rFonts w:ascii="Arial" w:hAnsi="Arial" w:cs="Arial"/>
          <w:i/>
          <w:sz w:val="20"/>
          <w:szCs w:val="20"/>
        </w:rPr>
        <w:t>Y1-</w:t>
      </w:r>
      <w:r w:rsidR="002763F9" w:rsidRPr="000F5A61">
        <w:rPr>
          <w:rFonts w:ascii="Arial" w:hAnsi="Arial" w:cs="Arial"/>
          <w:i/>
          <w:sz w:val="20"/>
          <w:szCs w:val="20"/>
        </w:rPr>
        <w:t>2</w:t>
      </w:r>
      <w:r w:rsidR="00D3725A" w:rsidRPr="000F5A61">
        <w:rPr>
          <w:rFonts w:ascii="Arial" w:hAnsi="Arial" w:cs="Arial"/>
          <w:i/>
          <w:sz w:val="20"/>
          <w:szCs w:val="20"/>
        </w:rPr>
        <w:t xml:space="preserve">, </w:t>
      </w:r>
      <w:r w:rsidR="009A63F8" w:rsidRPr="000F5A61">
        <w:rPr>
          <w:rFonts w:ascii="Arial" w:hAnsi="Arial" w:cs="Arial"/>
          <w:i/>
          <w:sz w:val="20"/>
          <w:szCs w:val="20"/>
        </w:rPr>
        <w:t xml:space="preserve">all </w:t>
      </w:r>
      <w:r w:rsidR="00D3725A" w:rsidRPr="000F5A61">
        <w:rPr>
          <w:rFonts w:ascii="Arial" w:hAnsi="Arial" w:cs="Arial"/>
          <w:i/>
          <w:sz w:val="20"/>
          <w:szCs w:val="20"/>
        </w:rPr>
        <w:t>procurement</w:t>
      </w:r>
      <w:r w:rsidR="009A63F8" w:rsidRPr="000F5A61">
        <w:rPr>
          <w:rFonts w:ascii="Arial" w:hAnsi="Arial" w:cs="Arial"/>
          <w:i/>
          <w:sz w:val="20"/>
          <w:szCs w:val="20"/>
        </w:rPr>
        <w:t xml:space="preserve"> and Y3 distribution costs will be covered by</w:t>
      </w:r>
      <w:r w:rsidR="00D3725A" w:rsidRPr="000F5A61">
        <w:rPr>
          <w:rFonts w:ascii="Arial" w:hAnsi="Arial" w:cs="Arial"/>
          <w:i/>
          <w:sz w:val="20"/>
          <w:szCs w:val="20"/>
        </w:rPr>
        <w:t xml:space="preserve"> GoN</w:t>
      </w:r>
      <w:r w:rsidR="006E3789" w:rsidRPr="000F5A61">
        <w:rPr>
          <w:rFonts w:ascii="Arial" w:hAnsi="Arial" w:cs="Arial"/>
          <w:i/>
          <w:sz w:val="20"/>
          <w:szCs w:val="20"/>
        </w:rPr>
        <w:t xml:space="preserve">]. </w:t>
      </w:r>
      <w:r w:rsidR="00723ACC" w:rsidRPr="000F5A61">
        <w:rPr>
          <w:rFonts w:ascii="Arial" w:hAnsi="Arial" w:cs="Arial"/>
          <w:sz w:val="20"/>
          <w:szCs w:val="20"/>
        </w:rPr>
        <w:t>LLINs are a core malaria prevention measure in Nepal</w:t>
      </w:r>
      <w:r w:rsidR="00A17716" w:rsidRPr="000F5A61">
        <w:rPr>
          <w:rFonts w:ascii="Arial" w:hAnsi="Arial" w:cs="Arial"/>
          <w:sz w:val="20"/>
          <w:szCs w:val="20"/>
        </w:rPr>
        <w:t xml:space="preserve">. </w:t>
      </w:r>
      <w:r w:rsidR="00723ACC" w:rsidRPr="000F5A61">
        <w:rPr>
          <w:rFonts w:ascii="Arial" w:hAnsi="Arial" w:cs="Arial"/>
          <w:sz w:val="20"/>
          <w:szCs w:val="20"/>
        </w:rPr>
        <w:t xml:space="preserve">The programme will use multiple delivery strategies to maximize coverage of </w:t>
      </w:r>
      <w:r w:rsidR="001F17DE" w:rsidRPr="000F5A61">
        <w:rPr>
          <w:rFonts w:ascii="Arial" w:hAnsi="Arial" w:cs="Arial"/>
          <w:sz w:val="20"/>
          <w:szCs w:val="20"/>
        </w:rPr>
        <w:t xml:space="preserve">LLINs </w:t>
      </w:r>
      <w:r w:rsidR="00723ACC" w:rsidRPr="000F5A61">
        <w:rPr>
          <w:rFonts w:ascii="Arial" w:hAnsi="Arial" w:cs="Arial"/>
          <w:sz w:val="20"/>
          <w:szCs w:val="20"/>
        </w:rPr>
        <w:t xml:space="preserve">in </w:t>
      </w:r>
      <w:r w:rsidR="001F17DE" w:rsidRPr="000F5A61">
        <w:rPr>
          <w:rFonts w:ascii="Arial" w:hAnsi="Arial" w:cs="Arial"/>
          <w:sz w:val="20"/>
          <w:szCs w:val="20"/>
        </w:rPr>
        <w:t>populations</w:t>
      </w:r>
      <w:r w:rsidR="00DD4232" w:rsidRPr="000F5A61">
        <w:rPr>
          <w:rFonts w:ascii="Arial" w:hAnsi="Arial" w:cs="Arial"/>
          <w:sz w:val="20"/>
          <w:szCs w:val="20"/>
        </w:rPr>
        <w:t xml:space="preserve"> at-risk</w:t>
      </w:r>
      <w:r w:rsidR="00723ACC" w:rsidRPr="000F5A61">
        <w:rPr>
          <w:rFonts w:ascii="Arial" w:hAnsi="Arial" w:cs="Arial"/>
          <w:sz w:val="20"/>
          <w:szCs w:val="20"/>
        </w:rPr>
        <w:t xml:space="preserve">. </w:t>
      </w:r>
      <w:r w:rsidR="00074D5D" w:rsidRPr="000F5A61">
        <w:rPr>
          <w:rFonts w:ascii="Arial" w:hAnsi="Arial" w:cs="Arial"/>
          <w:sz w:val="20"/>
          <w:szCs w:val="20"/>
        </w:rPr>
        <w:t>All LLINs will be given</w:t>
      </w:r>
      <w:r w:rsidR="00074D5D" w:rsidRPr="000F5A61">
        <w:rPr>
          <w:rStyle w:val="FootnoteReference"/>
          <w:rFonts w:ascii="Arial" w:hAnsi="Arial" w:cs="Arial"/>
          <w:sz w:val="20"/>
          <w:szCs w:val="20"/>
        </w:rPr>
        <w:footnoteReference w:id="18"/>
      </w:r>
      <w:r w:rsidR="00074D5D" w:rsidRPr="000F5A61">
        <w:rPr>
          <w:rFonts w:ascii="Arial" w:hAnsi="Arial" w:cs="Arial"/>
          <w:sz w:val="20"/>
          <w:szCs w:val="20"/>
        </w:rPr>
        <w:t xml:space="preserve"> free of charge. </w:t>
      </w:r>
      <w:r w:rsidR="00723ACC" w:rsidRPr="000F5A61">
        <w:rPr>
          <w:rFonts w:ascii="Arial" w:hAnsi="Arial" w:cs="Arial"/>
          <w:sz w:val="20"/>
          <w:szCs w:val="20"/>
        </w:rPr>
        <w:t xml:space="preserve">The target coverage rate for </w:t>
      </w:r>
      <w:r w:rsidR="009A49FD" w:rsidRPr="000F5A61">
        <w:rPr>
          <w:rFonts w:ascii="Arial" w:hAnsi="Arial" w:cs="Arial"/>
          <w:sz w:val="20"/>
          <w:szCs w:val="20"/>
        </w:rPr>
        <w:t xml:space="preserve">mass distributions of </w:t>
      </w:r>
      <w:r w:rsidR="00723ACC" w:rsidRPr="000F5A61">
        <w:rPr>
          <w:rFonts w:ascii="Arial" w:hAnsi="Arial" w:cs="Arial"/>
          <w:sz w:val="20"/>
          <w:szCs w:val="20"/>
        </w:rPr>
        <w:t xml:space="preserve">large sized LLINs </w:t>
      </w:r>
      <w:r w:rsidR="00DD4232" w:rsidRPr="000F5A61">
        <w:rPr>
          <w:rFonts w:ascii="Arial" w:hAnsi="Arial" w:cs="Arial"/>
          <w:sz w:val="20"/>
          <w:szCs w:val="20"/>
        </w:rPr>
        <w:t>is</w:t>
      </w:r>
      <w:r w:rsidR="00723ACC" w:rsidRPr="000F5A61">
        <w:rPr>
          <w:rFonts w:ascii="Arial" w:hAnsi="Arial" w:cs="Arial"/>
          <w:sz w:val="20"/>
          <w:szCs w:val="20"/>
        </w:rPr>
        <w:t xml:space="preserve"> 1.</w:t>
      </w:r>
      <w:r w:rsidR="009A49FD" w:rsidRPr="000F5A61">
        <w:rPr>
          <w:rFonts w:ascii="Arial" w:hAnsi="Arial" w:cs="Arial"/>
          <w:sz w:val="20"/>
          <w:szCs w:val="20"/>
        </w:rPr>
        <w:t xml:space="preserve">8 </w:t>
      </w:r>
      <w:r w:rsidR="00723ACC" w:rsidRPr="000F5A61">
        <w:rPr>
          <w:rFonts w:ascii="Arial" w:hAnsi="Arial" w:cs="Arial"/>
          <w:sz w:val="20"/>
          <w:szCs w:val="20"/>
        </w:rPr>
        <w:t>people per net</w:t>
      </w:r>
      <w:r w:rsidR="005737FD" w:rsidRPr="000F5A61">
        <w:rPr>
          <w:rFonts w:ascii="Arial" w:hAnsi="Arial" w:cs="Arial"/>
          <w:sz w:val="20"/>
          <w:szCs w:val="20"/>
        </w:rPr>
        <w:t xml:space="preserve">. </w:t>
      </w:r>
      <w:r w:rsidR="00DD4232" w:rsidRPr="000F5A61">
        <w:rPr>
          <w:rFonts w:ascii="Arial" w:hAnsi="Arial" w:cs="Arial"/>
          <w:sz w:val="20"/>
          <w:szCs w:val="20"/>
        </w:rPr>
        <w:t xml:space="preserve">Targeting will be revised annually </w:t>
      </w:r>
      <w:r w:rsidR="00C10A56" w:rsidRPr="000F5A61">
        <w:rPr>
          <w:rFonts w:ascii="Arial" w:hAnsi="Arial" w:cs="Arial"/>
          <w:sz w:val="20"/>
          <w:szCs w:val="20"/>
        </w:rPr>
        <w:t>and</w:t>
      </w:r>
      <w:r w:rsidR="00DD4232" w:rsidRPr="000F5A61">
        <w:rPr>
          <w:rFonts w:ascii="Arial" w:hAnsi="Arial" w:cs="Arial"/>
          <w:sz w:val="20"/>
          <w:szCs w:val="20"/>
        </w:rPr>
        <w:t xml:space="preserve"> all</w:t>
      </w:r>
      <w:r w:rsidR="008528E2" w:rsidRPr="000F5A61">
        <w:rPr>
          <w:rFonts w:ascii="Arial" w:hAnsi="Arial" w:cs="Arial"/>
          <w:sz w:val="20"/>
          <w:szCs w:val="20"/>
        </w:rPr>
        <w:t>W</w:t>
      </w:r>
      <w:r w:rsidR="00091C47" w:rsidRPr="000F5A61">
        <w:rPr>
          <w:rFonts w:ascii="Arial" w:hAnsi="Arial" w:cs="Arial"/>
          <w:sz w:val="20"/>
          <w:szCs w:val="20"/>
        </w:rPr>
        <w:t xml:space="preserve">ards </w:t>
      </w:r>
      <w:r w:rsidR="00C10A56" w:rsidRPr="000F5A61">
        <w:rPr>
          <w:rFonts w:ascii="Arial" w:hAnsi="Arial" w:cs="Arial"/>
          <w:sz w:val="20"/>
          <w:szCs w:val="20"/>
        </w:rPr>
        <w:t>without viable</w:t>
      </w:r>
      <w:r w:rsidR="00C10A56" w:rsidRPr="000F5A61">
        <w:rPr>
          <w:rStyle w:val="FootnoteReference"/>
          <w:rFonts w:ascii="Arial" w:hAnsi="Arial" w:cs="Arial"/>
          <w:sz w:val="20"/>
          <w:szCs w:val="20"/>
        </w:rPr>
        <w:footnoteReference w:id="19"/>
      </w:r>
      <w:r w:rsidR="00C10A56" w:rsidRPr="000F5A61">
        <w:rPr>
          <w:rFonts w:ascii="Arial" w:hAnsi="Arial" w:cs="Arial"/>
          <w:sz w:val="20"/>
          <w:szCs w:val="20"/>
        </w:rPr>
        <w:t xml:space="preserve"> LLINs but </w:t>
      </w:r>
      <w:r w:rsidR="00091C47" w:rsidRPr="000F5A61">
        <w:rPr>
          <w:rFonts w:ascii="Arial" w:hAnsi="Arial" w:cs="Arial"/>
          <w:sz w:val="20"/>
          <w:szCs w:val="20"/>
        </w:rPr>
        <w:t xml:space="preserve">with </w:t>
      </w:r>
      <w:r w:rsidR="00DD4232" w:rsidRPr="000F5A61">
        <w:rPr>
          <w:rFonts w:ascii="Arial" w:hAnsi="Arial" w:cs="Arial"/>
          <w:sz w:val="20"/>
          <w:szCs w:val="20"/>
        </w:rPr>
        <w:t>indigenous</w:t>
      </w:r>
      <w:r w:rsidR="00DD4232" w:rsidRPr="000F5A61">
        <w:rPr>
          <w:rStyle w:val="FootnoteReference"/>
          <w:rFonts w:ascii="Arial" w:hAnsi="Arial" w:cs="Arial"/>
          <w:sz w:val="20"/>
          <w:szCs w:val="20"/>
        </w:rPr>
        <w:footnoteReference w:id="20"/>
      </w:r>
      <w:r w:rsidR="00091C47" w:rsidRPr="000F5A61">
        <w:rPr>
          <w:rFonts w:ascii="Arial" w:hAnsi="Arial" w:cs="Arial"/>
          <w:sz w:val="20"/>
          <w:szCs w:val="20"/>
        </w:rPr>
        <w:t xml:space="preserve"> case(s) during the previous 3 years will be targeted. </w:t>
      </w:r>
      <w:r w:rsidR="00C10A56" w:rsidRPr="000F5A61">
        <w:rPr>
          <w:rFonts w:ascii="Arial" w:hAnsi="Arial" w:cs="Arial"/>
          <w:sz w:val="20"/>
          <w:szCs w:val="20"/>
        </w:rPr>
        <w:t xml:space="preserve">As in recent years, LLIN distribution will be implemented by a local NGO. </w:t>
      </w:r>
      <w:r w:rsidR="005737FD" w:rsidRPr="000F5A61">
        <w:rPr>
          <w:rFonts w:ascii="Arial" w:hAnsi="Arial" w:cs="Arial"/>
          <w:sz w:val="20"/>
          <w:szCs w:val="20"/>
        </w:rPr>
        <w:t xml:space="preserve">Micro-level planning will take into consideration which </w:t>
      </w:r>
      <w:r w:rsidR="00C10A56" w:rsidRPr="000F5A61">
        <w:rPr>
          <w:rFonts w:ascii="Arial" w:hAnsi="Arial" w:cs="Arial"/>
          <w:sz w:val="20"/>
          <w:szCs w:val="20"/>
        </w:rPr>
        <w:t xml:space="preserve">household </w:t>
      </w:r>
      <w:r w:rsidR="005737FD" w:rsidRPr="000F5A61">
        <w:rPr>
          <w:rFonts w:ascii="Arial" w:hAnsi="Arial" w:cs="Arial"/>
          <w:sz w:val="20"/>
          <w:szCs w:val="20"/>
        </w:rPr>
        <w:t xml:space="preserve">members share a sleeping space in order to ensure 100% coverage without wastage. </w:t>
      </w:r>
      <w:r w:rsidR="00C10A56" w:rsidRPr="000F5A61">
        <w:rPr>
          <w:rFonts w:ascii="Arial" w:hAnsi="Arial" w:cs="Arial"/>
          <w:sz w:val="20"/>
          <w:szCs w:val="20"/>
        </w:rPr>
        <w:t xml:space="preserve">QA will be provided by </w:t>
      </w:r>
      <w:r w:rsidR="00D3725A" w:rsidRPr="000F5A61">
        <w:rPr>
          <w:rFonts w:ascii="Arial" w:hAnsi="Arial" w:cs="Arial"/>
          <w:sz w:val="20"/>
          <w:szCs w:val="20"/>
        </w:rPr>
        <w:t xml:space="preserve">EDCD and </w:t>
      </w:r>
      <w:r w:rsidR="00C10A56" w:rsidRPr="000F5A61">
        <w:rPr>
          <w:rFonts w:ascii="Arial" w:hAnsi="Arial" w:cs="Arial"/>
          <w:sz w:val="20"/>
          <w:szCs w:val="20"/>
        </w:rPr>
        <w:t xml:space="preserve">SCI. </w:t>
      </w:r>
      <w:r w:rsidR="00786248" w:rsidRPr="000F5A61">
        <w:rPr>
          <w:rFonts w:ascii="Arial" w:hAnsi="Arial" w:cs="Arial"/>
          <w:sz w:val="20"/>
          <w:szCs w:val="20"/>
        </w:rPr>
        <w:t xml:space="preserve">Continuous distribution of LLINs </w:t>
      </w:r>
      <w:r w:rsidR="00DD4232" w:rsidRPr="000F5A61">
        <w:rPr>
          <w:rFonts w:ascii="Arial" w:hAnsi="Arial" w:cs="Arial"/>
          <w:sz w:val="20"/>
          <w:szCs w:val="20"/>
        </w:rPr>
        <w:t xml:space="preserve">in target communities </w:t>
      </w:r>
      <w:r w:rsidR="00786248" w:rsidRPr="000F5A61">
        <w:rPr>
          <w:rFonts w:ascii="Arial" w:hAnsi="Arial" w:cs="Arial"/>
          <w:sz w:val="20"/>
          <w:szCs w:val="20"/>
        </w:rPr>
        <w:t>will be provided through community-based healthcare providers in order to address any LLIN attrition in-between mass distributions. LLIN stores will be held at health facilities and at District level.</w:t>
      </w:r>
    </w:p>
    <w:p w:rsidR="00EF7C56" w:rsidRPr="000F5A61" w:rsidRDefault="00E61920" w:rsidP="00C86062">
      <w:pPr>
        <w:spacing w:after="120" w:line="240" w:lineRule="auto"/>
        <w:rPr>
          <w:rFonts w:ascii="Arial" w:hAnsi="Arial" w:cs="Arial"/>
          <w:sz w:val="20"/>
          <w:szCs w:val="20"/>
        </w:rPr>
      </w:pPr>
      <w:r w:rsidRPr="000F5A61">
        <w:rPr>
          <w:rFonts w:ascii="Arial" w:hAnsi="Arial" w:cs="Arial"/>
          <w:sz w:val="20"/>
          <w:szCs w:val="20"/>
        </w:rPr>
        <w:t>Further</w:t>
      </w:r>
      <w:r w:rsidR="005737FD" w:rsidRPr="000F5A61">
        <w:rPr>
          <w:rFonts w:ascii="Arial" w:hAnsi="Arial" w:cs="Arial"/>
          <w:sz w:val="20"/>
          <w:szCs w:val="20"/>
        </w:rPr>
        <w:t xml:space="preserve"> to the 3-yearly </w:t>
      </w:r>
      <w:r w:rsidR="00723ACC" w:rsidRPr="000F5A61">
        <w:rPr>
          <w:rFonts w:ascii="Arial" w:hAnsi="Arial" w:cs="Arial"/>
          <w:sz w:val="20"/>
          <w:szCs w:val="20"/>
        </w:rPr>
        <w:t>mass distributions</w:t>
      </w:r>
      <w:r w:rsidR="005737FD" w:rsidRPr="000F5A61">
        <w:rPr>
          <w:rFonts w:ascii="Arial" w:hAnsi="Arial" w:cs="Arial"/>
          <w:sz w:val="20"/>
          <w:szCs w:val="20"/>
        </w:rPr>
        <w:t xml:space="preserve">, </w:t>
      </w:r>
      <w:r w:rsidR="00FE70F0" w:rsidRPr="000F5A61">
        <w:rPr>
          <w:rFonts w:ascii="Arial" w:hAnsi="Arial" w:cs="Arial"/>
          <w:sz w:val="20"/>
          <w:szCs w:val="20"/>
        </w:rPr>
        <w:t xml:space="preserve">additional </w:t>
      </w:r>
      <w:r w:rsidR="005737FD" w:rsidRPr="000F5A61">
        <w:rPr>
          <w:rFonts w:ascii="Arial" w:hAnsi="Arial" w:cs="Arial"/>
          <w:sz w:val="20"/>
          <w:szCs w:val="20"/>
        </w:rPr>
        <w:t>LLINs will</w:t>
      </w:r>
      <w:r w:rsidR="00723ACC" w:rsidRPr="000F5A61">
        <w:rPr>
          <w:rFonts w:ascii="Arial" w:hAnsi="Arial" w:cs="Arial"/>
          <w:sz w:val="20"/>
          <w:szCs w:val="20"/>
        </w:rPr>
        <w:t xml:space="preserve"> be provided </w:t>
      </w:r>
      <w:r w:rsidR="009A49FD" w:rsidRPr="000F5A61">
        <w:rPr>
          <w:rFonts w:ascii="Arial" w:hAnsi="Arial" w:cs="Arial"/>
          <w:sz w:val="20"/>
          <w:szCs w:val="20"/>
        </w:rPr>
        <w:t xml:space="preserve">to target </w:t>
      </w:r>
      <w:r w:rsidR="00FE70F0" w:rsidRPr="000F5A61">
        <w:rPr>
          <w:rFonts w:ascii="Arial" w:hAnsi="Arial" w:cs="Arial"/>
          <w:sz w:val="20"/>
          <w:szCs w:val="20"/>
        </w:rPr>
        <w:t>key risk populations</w:t>
      </w:r>
      <w:r w:rsidR="009A49FD" w:rsidRPr="000F5A61">
        <w:rPr>
          <w:rFonts w:ascii="Arial" w:hAnsi="Arial" w:cs="Arial"/>
          <w:sz w:val="20"/>
          <w:szCs w:val="20"/>
        </w:rPr>
        <w:t xml:space="preserve"> that would otherwise be underserved:</w:t>
      </w:r>
    </w:p>
    <w:p w:rsidR="00DD4232" w:rsidRPr="000F5A61" w:rsidRDefault="008D6845" w:rsidP="00C86062">
      <w:pPr>
        <w:pStyle w:val="ListParagraph"/>
        <w:numPr>
          <w:ilvl w:val="0"/>
          <w:numId w:val="19"/>
        </w:numPr>
        <w:spacing w:after="120" w:line="240" w:lineRule="auto"/>
        <w:ind w:left="357" w:hanging="357"/>
        <w:rPr>
          <w:rFonts w:ascii="Arial" w:hAnsi="Arial" w:cs="Arial"/>
          <w:sz w:val="20"/>
          <w:szCs w:val="20"/>
        </w:rPr>
      </w:pPr>
      <w:r w:rsidRPr="000F5A61">
        <w:rPr>
          <w:rFonts w:ascii="Arial" w:hAnsi="Arial" w:cs="Arial"/>
          <w:sz w:val="20"/>
          <w:szCs w:val="20"/>
        </w:rPr>
        <w:t>Supplementary</w:t>
      </w:r>
      <w:r w:rsidR="00FE70F0" w:rsidRPr="000F5A61">
        <w:rPr>
          <w:rFonts w:ascii="Arial" w:hAnsi="Arial" w:cs="Arial"/>
          <w:sz w:val="20"/>
          <w:szCs w:val="20"/>
        </w:rPr>
        <w:t xml:space="preserve">LLINs will be provided </w:t>
      </w:r>
      <w:r w:rsidR="009A49FD" w:rsidRPr="000F5A61">
        <w:rPr>
          <w:rFonts w:ascii="Arial" w:hAnsi="Arial" w:cs="Arial"/>
          <w:sz w:val="20"/>
          <w:szCs w:val="20"/>
        </w:rPr>
        <w:t xml:space="preserve">during periodic mass distributions </w:t>
      </w:r>
      <w:r w:rsidR="00FE70F0" w:rsidRPr="000F5A61">
        <w:rPr>
          <w:rFonts w:ascii="Arial" w:hAnsi="Arial" w:cs="Arial"/>
          <w:sz w:val="20"/>
          <w:szCs w:val="20"/>
        </w:rPr>
        <w:t xml:space="preserve">for </w:t>
      </w:r>
      <w:r w:rsidR="00723ACC" w:rsidRPr="000F5A61">
        <w:rPr>
          <w:rFonts w:ascii="Arial" w:hAnsi="Arial" w:cs="Arial"/>
          <w:sz w:val="20"/>
          <w:szCs w:val="20"/>
        </w:rPr>
        <w:t>use in forest/forest farms (targeting traditional forest cultivators</w:t>
      </w:r>
      <w:r w:rsidR="00FE70F0" w:rsidRPr="000F5A61">
        <w:rPr>
          <w:rFonts w:ascii="Arial" w:hAnsi="Arial" w:cs="Arial"/>
          <w:sz w:val="20"/>
          <w:szCs w:val="20"/>
        </w:rPr>
        <w:t>, herders</w:t>
      </w:r>
      <w:r w:rsidR="00723ACC" w:rsidRPr="000F5A61">
        <w:rPr>
          <w:rFonts w:ascii="Arial" w:hAnsi="Arial" w:cs="Arial"/>
          <w:sz w:val="20"/>
          <w:szCs w:val="20"/>
        </w:rPr>
        <w:t xml:space="preserve"> and informal sector forest workers</w:t>
      </w:r>
      <w:r w:rsidR="00DD4232" w:rsidRPr="000F5A61">
        <w:rPr>
          <w:rFonts w:ascii="Arial" w:hAnsi="Arial" w:cs="Arial"/>
          <w:sz w:val="20"/>
          <w:szCs w:val="20"/>
        </w:rPr>
        <w:t>)</w:t>
      </w:r>
      <w:r w:rsidR="00C10A56" w:rsidRPr="000F5A61">
        <w:rPr>
          <w:rFonts w:ascii="Arial" w:hAnsi="Arial" w:cs="Arial"/>
          <w:sz w:val="20"/>
          <w:szCs w:val="20"/>
        </w:rPr>
        <w:t xml:space="preserve"> and </w:t>
      </w:r>
      <w:r w:rsidR="00DD4232" w:rsidRPr="000F5A61">
        <w:rPr>
          <w:rFonts w:ascii="Arial" w:hAnsi="Arial" w:cs="Arial"/>
          <w:sz w:val="20"/>
          <w:szCs w:val="20"/>
        </w:rPr>
        <w:t>for use in chhaupadi huts (see 1.2 above).</w:t>
      </w:r>
    </w:p>
    <w:p w:rsidR="00EF7C56" w:rsidRPr="000F5A61" w:rsidRDefault="009A49FD" w:rsidP="00C86062">
      <w:pPr>
        <w:pStyle w:val="ListParagraph"/>
        <w:numPr>
          <w:ilvl w:val="0"/>
          <w:numId w:val="19"/>
        </w:numPr>
        <w:spacing w:after="120" w:line="240" w:lineRule="auto"/>
        <w:rPr>
          <w:rFonts w:ascii="Arial" w:hAnsi="Arial" w:cs="Arial"/>
          <w:i/>
          <w:sz w:val="20"/>
          <w:szCs w:val="20"/>
        </w:rPr>
      </w:pPr>
      <w:r w:rsidRPr="000F5A61">
        <w:rPr>
          <w:rFonts w:ascii="Arial" w:hAnsi="Arial" w:cs="Arial"/>
          <w:sz w:val="20"/>
          <w:szCs w:val="20"/>
        </w:rPr>
        <w:t>A</w:t>
      </w:r>
      <w:r w:rsidR="00723ACC" w:rsidRPr="000F5A61">
        <w:rPr>
          <w:rFonts w:ascii="Arial" w:hAnsi="Arial" w:cs="Arial"/>
          <w:sz w:val="20"/>
          <w:szCs w:val="20"/>
        </w:rPr>
        <w:t xml:space="preserve">dditional LLINs </w:t>
      </w:r>
      <w:r w:rsidRPr="000F5A61">
        <w:rPr>
          <w:rFonts w:ascii="Arial" w:hAnsi="Arial" w:cs="Arial"/>
          <w:sz w:val="20"/>
          <w:szCs w:val="20"/>
        </w:rPr>
        <w:t xml:space="preserve">will be given </w:t>
      </w:r>
      <w:r w:rsidR="00723ACC" w:rsidRPr="000F5A61">
        <w:rPr>
          <w:rFonts w:ascii="Arial" w:hAnsi="Arial" w:cs="Arial"/>
          <w:sz w:val="20"/>
          <w:szCs w:val="20"/>
        </w:rPr>
        <w:t xml:space="preserve">to pregnant women </w:t>
      </w:r>
      <w:r w:rsidRPr="000F5A61">
        <w:rPr>
          <w:rFonts w:ascii="Arial" w:hAnsi="Arial" w:cs="Arial"/>
          <w:sz w:val="20"/>
          <w:szCs w:val="20"/>
        </w:rPr>
        <w:t xml:space="preserve">in </w:t>
      </w:r>
      <w:r w:rsidR="00C10A56" w:rsidRPr="000F5A61">
        <w:rPr>
          <w:rFonts w:ascii="Arial" w:hAnsi="Arial" w:cs="Arial"/>
          <w:sz w:val="20"/>
          <w:szCs w:val="20"/>
        </w:rPr>
        <w:t>endemic Wards</w:t>
      </w:r>
      <w:r w:rsidRPr="000F5A61">
        <w:rPr>
          <w:rFonts w:ascii="Arial" w:hAnsi="Arial" w:cs="Arial"/>
          <w:sz w:val="20"/>
          <w:szCs w:val="20"/>
        </w:rPr>
        <w:t xml:space="preserve"> through ANC services</w:t>
      </w:r>
      <w:r w:rsidR="00C10A56" w:rsidRPr="000F5A61">
        <w:rPr>
          <w:rFonts w:ascii="Arial" w:hAnsi="Arial" w:cs="Arial"/>
          <w:sz w:val="20"/>
          <w:szCs w:val="20"/>
        </w:rPr>
        <w:t>.</w:t>
      </w:r>
    </w:p>
    <w:p w:rsidR="00EF7C56" w:rsidRPr="000F5A61" w:rsidRDefault="00723ACC" w:rsidP="00C86062">
      <w:pPr>
        <w:pStyle w:val="ListParagraph"/>
        <w:numPr>
          <w:ilvl w:val="0"/>
          <w:numId w:val="19"/>
        </w:numPr>
        <w:spacing w:after="120" w:line="240" w:lineRule="auto"/>
        <w:rPr>
          <w:rFonts w:ascii="Arial" w:hAnsi="Arial" w:cs="Arial"/>
          <w:sz w:val="20"/>
          <w:szCs w:val="20"/>
        </w:rPr>
      </w:pPr>
      <w:r w:rsidRPr="000F5A61">
        <w:rPr>
          <w:rFonts w:ascii="Arial" w:hAnsi="Arial" w:cs="Arial"/>
          <w:sz w:val="20"/>
          <w:szCs w:val="20"/>
        </w:rPr>
        <w:t>In the event of disasters, outbreaks</w:t>
      </w:r>
      <w:r w:rsidR="00DD4232" w:rsidRPr="000F5A61">
        <w:rPr>
          <w:rFonts w:ascii="Arial" w:hAnsi="Arial" w:cs="Arial"/>
          <w:sz w:val="20"/>
          <w:szCs w:val="20"/>
        </w:rPr>
        <w:t xml:space="preserve">, </w:t>
      </w:r>
      <w:r w:rsidRPr="000F5A61">
        <w:rPr>
          <w:rFonts w:ascii="Arial" w:hAnsi="Arial" w:cs="Arial"/>
          <w:sz w:val="20"/>
          <w:szCs w:val="20"/>
        </w:rPr>
        <w:t>confirmed transmission foci</w:t>
      </w:r>
      <w:r w:rsidR="00DD4232" w:rsidRPr="000F5A61">
        <w:rPr>
          <w:rFonts w:ascii="Arial" w:hAnsi="Arial" w:cs="Arial"/>
          <w:sz w:val="20"/>
          <w:szCs w:val="20"/>
        </w:rPr>
        <w:t xml:space="preserve"> and imported cases</w:t>
      </w:r>
      <w:r w:rsidR="00786248" w:rsidRPr="000F5A61">
        <w:rPr>
          <w:rFonts w:ascii="Arial" w:hAnsi="Arial" w:cs="Arial"/>
          <w:sz w:val="20"/>
          <w:szCs w:val="20"/>
        </w:rPr>
        <w:t xml:space="preserve">, </w:t>
      </w:r>
      <w:r w:rsidR="002C5CDB" w:rsidRPr="000F5A61">
        <w:rPr>
          <w:rFonts w:ascii="Arial" w:hAnsi="Arial" w:cs="Arial"/>
          <w:sz w:val="20"/>
          <w:szCs w:val="20"/>
        </w:rPr>
        <w:t xml:space="preserve">DPHOs in endemic and receptive Wards </w:t>
      </w:r>
      <w:r w:rsidRPr="000F5A61">
        <w:rPr>
          <w:rFonts w:ascii="Arial" w:hAnsi="Arial" w:cs="Arial"/>
          <w:sz w:val="20"/>
          <w:szCs w:val="20"/>
        </w:rPr>
        <w:t xml:space="preserve">will provide </w:t>
      </w:r>
      <w:r w:rsidR="002C5CDB" w:rsidRPr="000F5A61">
        <w:rPr>
          <w:rFonts w:ascii="Arial" w:hAnsi="Arial" w:cs="Arial"/>
          <w:sz w:val="20"/>
          <w:szCs w:val="20"/>
        </w:rPr>
        <w:t xml:space="preserve">LLINs </w:t>
      </w:r>
      <w:r w:rsidRPr="000F5A61">
        <w:rPr>
          <w:rFonts w:ascii="Arial" w:hAnsi="Arial" w:cs="Arial"/>
          <w:sz w:val="20"/>
          <w:szCs w:val="20"/>
        </w:rPr>
        <w:t>to anyone who has not already been covered</w:t>
      </w:r>
      <w:r w:rsidR="009A49FD" w:rsidRPr="000F5A61">
        <w:rPr>
          <w:rFonts w:ascii="Arial" w:hAnsi="Arial" w:cs="Arial"/>
          <w:sz w:val="20"/>
          <w:szCs w:val="20"/>
        </w:rPr>
        <w:t xml:space="preserve">; </w:t>
      </w:r>
    </w:p>
    <w:p w:rsidR="00EF7C56" w:rsidRPr="000F5A61" w:rsidRDefault="00723ACC" w:rsidP="00C86062">
      <w:pPr>
        <w:pStyle w:val="ListParagraph"/>
        <w:numPr>
          <w:ilvl w:val="0"/>
          <w:numId w:val="19"/>
        </w:numPr>
        <w:spacing w:after="120" w:line="240" w:lineRule="auto"/>
        <w:rPr>
          <w:rFonts w:ascii="Arial" w:hAnsi="Arial" w:cs="Arial"/>
          <w:i/>
          <w:sz w:val="20"/>
          <w:szCs w:val="20"/>
        </w:rPr>
      </w:pPr>
      <w:r w:rsidRPr="000F5A61">
        <w:rPr>
          <w:rFonts w:ascii="Arial" w:hAnsi="Arial" w:cs="Arial"/>
          <w:sz w:val="20"/>
          <w:szCs w:val="20"/>
        </w:rPr>
        <w:t xml:space="preserve">LLINs </w:t>
      </w:r>
      <w:r w:rsidR="009A49FD" w:rsidRPr="000F5A61">
        <w:rPr>
          <w:rFonts w:ascii="Arial" w:hAnsi="Arial" w:cs="Arial"/>
          <w:sz w:val="20"/>
          <w:szCs w:val="20"/>
        </w:rPr>
        <w:t xml:space="preserve">will be provided </w:t>
      </w:r>
      <w:r w:rsidRPr="000F5A61">
        <w:rPr>
          <w:rFonts w:ascii="Arial" w:hAnsi="Arial" w:cs="Arial"/>
          <w:sz w:val="20"/>
          <w:szCs w:val="20"/>
        </w:rPr>
        <w:t xml:space="preserve">for security personnel stationed in endemic </w:t>
      </w:r>
      <w:r w:rsidR="00C10A56" w:rsidRPr="000F5A61">
        <w:rPr>
          <w:rFonts w:ascii="Arial" w:hAnsi="Arial" w:cs="Arial"/>
          <w:sz w:val="20"/>
          <w:szCs w:val="20"/>
        </w:rPr>
        <w:t>Wards</w:t>
      </w:r>
      <w:r w:rsidR="009A49FD" w:rsidRPr="000F5A61">
        <w:rPr>
          <w:rFonts w:ascii="Arial" w:hAnsi="Arial" w:cs="Arial"/>
          <w:sz w:val="20"/>
          <w:szCs w:val="20"/>
        </w:rPr>
        <w:t xml:space="preserve"> (</w:t>
      </w:r>
      <w:r w:rsidRPr="000F5A61">
        <w:rPr>
          <w:rFonts w:ascii="Arial" w:hAnsi="Arial" w:cs="Arial"/>
          <w:sz w:val="20"/>
          <w:szCs w:val="20"/>
        </w:rPr>
        <w:t>distribution will be performed by the security services on an as needed basis</w:t>
      </w:r>
      <w:r w:rsidR="009A49FD" w:rsidRPr="000F5A61">
        <w:rPr>
          <w:rFonts w:ascii="Arial" w:hAnsi="Arial" w:cs="Arial"/>
          <w:sz w:val="20"/>
          <w:szCs w:val="20"/>
        </w:rPr>
        <w:t xml:space="preserve"> and o</w:t>
      </w:r>
      <w:r w:rsidRPr="000F5A61">
        <w:rPr>
          <w:rFonts w:ascii="Arial" w:hAnsi="Arial" w:cs="Arial"/>
          <w:sz w:val="20"/>
          <w:szCs w:val="20"/>
        </w:rPr>
        <w:t>versight and technical assistance will be provided by the Programme as required</w:t>
      </w:r>
      <w:r w:rsidR="009A49FD" w:rsidRPr="000F5A61">
        <w:rPr>
          <w:rFonts w:ascii="Arial" w:hAnsi="Arial" w:cs="Arial"/>
          <w:sz w:val="20"/>
          <w:szCs w:val="20"/>
        </w:rPr>
        <w:t>);</w:t>
      </w:r>
    </w:p>
    <w:p w:rsidR="00EF7C56" w:rsidRPr="000F5A61" w:rsidRDefault="002C5CDB" w:rsidP="00C86062">
      <w:pPr>
        <w:pStyle w:val="ListParagraph"/>
        <w:numPr>
          <w:ilvl w:val="0"/>
          <w:numId w:val="19"/>
        </w:numPr>
        <w:spacing w:after="120" w:line="240" w:lineRule="auto"/>
        <w:rPr>
          <w:rFonts w:ascii="Arial" w:hAnsi="Arial" w:cs="Arial"/>
          <w:i/>
          <w:sz w:val="20"/>
          <w:szCs w:val="20"/>
        </w:rPr>
      </w:pPr>
      <w:r w:rsidRPr="000F5A61">
        <w:rPr>
          <w:rFonts w:ascii="Arial" w:hAnsi="Arial" w:cs="Arial"/>
          <w:sz w:val="20"/>
          <w:szCs w:val="20"/>
        </w:rPr>
        <w:t xml:space="preserve">Each year DPHOs in endemic Wards </w:t>
      </w:r>
      <w:r w:rsidR="00723ACC" w:rsidRPr="000F5A61">
        <w:rPr>
          <w:rFonts w:ascii="Arial" w:hAnsi="Arial" w:cs="Arial"/>
          <w:sz w:val="20"/>
          <w:szCs w:val="20"/>
        </w:rPr>
        <w:t xml:space="preserve">will provide </w:t>
      </w:r>
      <w:r w:rsidRPr="000F5A61">
        <w:rPr>
          <w:rFonts w:ascii="Arial" w:hAnsi="Arial" w:cs="Arial"/>
          <w:sz w:val="20"/>
          <w:szCs w:val="20"/>
        </w:rPr>
        <w:t xml:space="preserve">LLINs </w:t>
      </w:r>
      <w:r w:rsidR="00723ACC" w:rsidRPr="000F5A61">
        <w:rPr>
          <w:rFonts w:ascii="Arial" w:hAnsi="Arial" w:cs="Arial"/>
          <w:sz w:val="20"/>
          <w:szCs w:val="20"/>
        </w:rPr>
        <w:t xml:space="preserve">to employers to </w:t>
      </w:r>
      <w:r w:rsidR="00F4628E" w:rsidRPr="000F5A61">
        <w:rPr>
          <w:rFonts w:ascii="Arial" w:hAnsi="Arial" w:cs="Arial"/>
          <w:sz w:val="20"/>
          <w:szCs w:val="20"/>
        </w:rPr>
        <w:t xml:space="preserve">give </w:t>
      </w:r>
      <w:r w:rsidR="00723ACC" w:rsidRPr="000F5A61">
        <w:rPr>
          <w:rFonts w:ascii="Arial" w:hAnsi="Arial" w:cs="Arial"/>
          <w:sz w:val="20"/>
          <w:szCs w:val="20"/>
        </w:rPr>
        <w:t>to their workers</w:t>
      </w:r>
      <w:r w:rsidR="00EF7C56" w:rsidRPr="000F5A61">
        <w:rPr>
          <w:rFonts w:ascii="Arial" w:hAnsi="Arial" w:cs="Arial"/>
          <w:sz w:val="20"/>
          <w:szCs w:val="20"/>
        </w:rPr>
        <w:t xml:space="preserve"> (targetinginfrastructure and </w:t>
      </w:r>
      <w:r w:rsidR="00723ACC" w:rsidRPr="000F5A61">
        <w:rPr>
          <w:rFonts w:ascii="Arial" w:hAnsi="Arial" w:cs="Arial"/>
          <w:sz w:val="20"/>
          <w:szCs w:val="20"/>
        </w:rPr>
        <w:t>construction project settlements</w:t>
      </w:r>
      <w:r w:rsidR="00EF7C56" w:rsidRPr="000F5A61">
        <w:rPr>
          <w:rFonts w:ascii="Arial" w:hAnsi="Arial" w:cs="Arial"/>
          <w:sz w:val="20"/>
          <w:szCs w:val="20"/>
        </w:rPr>
        <w:t xml:space="preserve">/camps, </w:t>
      </w:r>
      <w:r w:rsidR="00723ACC" w:rsidRPr="000F5A61">
        <w:rPr>
          <w:rFonts w:ascii="Arial" w:hAnsi="Arial" w:cs="Arial"/>
          <w:sz w:val="20"/>
          <w:szCs w:val="20"/>
        </w:rPr>
        <w:t>cement/brick factories, plantations</w:t>
      </w:r>
      <w:r w:rsidR="00786248" w:rsidRPr="000F5A61">
        <w:rPr>
          <w:rFonts w:ascii="Arial" w:hAnsi="Arial" w:cs="Arial"/>
          <w:sz w:val="20"/>
          <w:szCs w:val="20"/>
        </w:rPr>
        <w:t xml:space="preserve">, and </w:t>
      </w:r>
      <w:r w:rsidR="00723ACC" w:rsidRPr="000F5A61">
        <w:rPr>
          <w:rFonts w:ascii="Arial" w:hAnsi="Arial" w:cs="Arial"/>
          <w:sz w:val="20"/>
          <w:szCs w:val="20"/>
        </w:rPr>
        <w:t>forest</w:t>
      </w:r>
      <w:r w:rsidR="00786248" w:rsidRPr="000F5A61">
        <w:rPr>
          <w:rFonts w:ascii="Arial" w:hAnsi="Arial" w:cs="Arial"/>
          <w:sz w:val="20"/>
          <w:szCs w:val="20"/>
        </w:rPr>
        <w:t xml:space="preserve">/wildlife </w:t>
      </w:r>
      <w:r w:rsidR="00EF7C56" w:rsidRPr="000F5A61">
        <w:rPr>
          <w:rFonts w:ascii="Arial" w:hAnsi="Arial" w:cs="Arial"/>
          <w:sz w:val="20"/>
          <w:szCs w:val="20"/>
        </w:rPr>
        <w:t xml:space="preserve">protection </w:t>
      </w:r>
      <w:r w:rsidR="00723ACC" w:rsidRPr="000F5A61">
        <w:rPr>
          <w:rFonts w:ascii="Arial" w:hAnsi="Arial" w:cs="Arial"/>
          <w:sz w:val="20"/>
          <w:szCs w:val="20"/>
        </w:rPr>
        <w:t>workers</w:t>
      </w:r>
      <w:r w:rsidR="00EF7C56" w:rsidRPr="000F5A61">
        <w:rPr>
          <w:rFonts w:ascii="Arial" w:hAnsi="Arial" w:cs="Arial"/>
          <w:sz w:val="20"/>
          <w:szCs w:val="20"/>
        </w:rPr>
        <w:t>);</w:t>
      </w:r>
    </w:p>
    <w:p w:rsidR="00786248" w:rsidRPr="000F5A61" w:rsidRDefault="002C5CDB" w:rsidP="00C86062">
      <w:pPr>
        <w:pStyle w:val="ListParagraph"/>
        <w:numPr>
          <w:ilvl w:val="0"/>
          <w:numId w:val="19"/>
        </w:numPr>
        <w:spacing w:after="120" w:line="240" w:lineRule="auto"/>
        <w:rPr>
          <w:rFonts w:ascii="Arial" w:hAnsi="Arial" w:cs="Arial"/>
          <w:i/>
          <w:sz w:val="20"/>
          <w:szCs w:val="20"/>
        </w:rPr>
      </w:pPr>
      <w:r w:rsidRPr="000F5A61">
        <w:rPr>
          <w:rFonts w:ascii="Arial" w:hAnsi="Arial" w:cs="Arial"/>
          <w:sz w:val="20"/>
          <w:szCs w:val="20"/>
        </w:rPr>
        <w:t xml:space="preserve">Each year DPHOs in endemic Wards will provide LLINs </w:t>
      </w:r>
      <w:r w:rsidR="00723ACC" w:rsidRPr="000F5A61">
        <w:rPr>
          <w:rFonts w:ascii="Arial" w:hAnsi="Arial" w:cs="Arial"/>
          <w:sz w:val="20"/>
          <w:szCs w:val="20"/>
        </w:rPr>
        <w:t>to managers of farms to give to their seasonal agricultural workers when they arrive</w:t>
      </w:r>
      <w:r w:rsidR="00EF7C56" w:rsidRPr="000F5A61">
        <w:rPr>
          <w:rFonts w:ascii="Arial" w:hAnsi="Arial" w:cs="Arial"/>
          <w:sz w:val="20"/>
          <w:szCs w:val="20"/>
        </w:rPr>
        <w:t>;</w:t>
      </w:r>
    </w:p>
    <w:p w:rsidR="00786248" w:rsidRPr="000F5A61" w:rsidRDefault="002C5CDB" w:rsidP="00C86062">
      <w:pPr>
        <w:pStyle w:val="ListParagraph"/>
        <w:numPr>
          <w:ilvl w:val="0"/>
          <w:numId w:val="19"/>
        </w:numPr>
        <w:spacing w:after="120" w:line="240" w:lineRule="auto"/>
        <w:rPr>
          <w:rFonts w:ascii="Arial" w:hAnsi="Arial" w:cs="Arial"/>
          <w:sz w:val="20"/>
          <w:szCs w:val="20"/>
        </w:rPr>
      </w:pPr>
      <w:r w:rsidRPr="000F5A61">
        <w:rPr>
          <w:rFonts w:ascii="Arial" w:hAnsi="Arial" w:cs="Arial"/>
          <w:sz w:val="20"/>
          <w:szCs w:val="20"/>
        </w:rPr>
        <w:lastRenderedPageBreak/>
        <w:t xml:space="preserve">DPHOs </w:t>
      </w:r>
      <w:r w:rsidR="006E3789" w:rsidRPr="000F5A61">
        <w:rPr>
          <w:rFonts w:ascii="Arial" w:hAnsi="Arial" w:cs="Arial"/>
          <w:sz w:val="20"/>
          <w:szCs w:val="20"/>
        </w:rPr>
        <w:t xml:space="preserve">in endemic Wards will monitor the establishment of new settlements (displaced populations, roadside economic migrants, settlements adjacent to construction projects, etc.) and </w:t>
      </w:r>
      <w:r w:rsidRPr="000F5A61">
        <w:rPr>
          <w:rFonts w:ascii="Arial" w:hAnsi="Arial" w:cs="Arial"/>
          <w:sz w:val="20"/>
          <w:szCs w:val="20"/>
        </w:rPr>
        <w:t xml:space="preserve">provide </w:t>
      </w:r>
      <w:r w:rsidR="00723ACC" w:rsidRPr="000F5A61">
        <w:rPr>
          <w:rFonts w:ascii="Arial" w:hAnsi="Arial" w:cs="Arial"/>
          <w:sz w:val="20"/>
          <w:szCs w:val="20"/>
        </w:rPr>
        <w:t>LLINs</w:t>
      </w:r>
      <w:r w:rsidR="006E3789" w:rsidRPr="000F5A61">
        <w:rPr>
          <w:rFonts w:ascii="Arial" w:hAnsi="Arial" w:cs="Arial"/>
          <w:sz w:val="20"/>
          <w:szCs w:val="20"/>
        </w:rPr>
        <w:t xml:space="preserve"> on a monthly basis as required</w:t>
      </w:r>
      <w:r w:rsidR="00786248" w:rsidRPr="000F5A61">
        <w:rPr>
          <w:rFonts w:ascii="Arial" w:hAnsi="Arial" w:cs="Arial"/>
          <w:sz w:val="20"/>
          <w:szCs w:val="20"/>
        </w:rPr>
        <w:t>.</w:t>
      </w:r>
    </w:p>
    <w:p w:rsidR="00786248" w:rsidRPr="000F5A61" w:rsidRDefault="00FE70F0" w:rsidP="00C86062">
      <w:pPr>
        <w:spacing w:after="120" w:line="240" w:lineRule="auto"/>
        <w:rPr>
          <w:rFonts w:ascii="Arial" w:hAnsi="Arial" w:cs="Arial"/>
          <w:sz w:val="20"/>
          <w:szCs w:val="20"/>
        </w:rPr>
      </w:pPr>
      <w:r w:rsidRPr="000F5A61">
        <w:rPr>
          <w:rFonts w:ascii="Arial" w:hAnsi="Arial" w:cs="Arial"/>
          <w:sz w:val="20"/>
          <w:szCs w:val="20"/>
        </w:rPr>
        <w:t xml:space="preserve">Special measures will be put in place to </w:t>
      </w:r>
      <w:r w:rsidR="00441C05" w:rsidRPr="000F5A61">
        <w:rPr>
          <w:rFonts w:ascii="Arial" w:hAnsi="Arial" w:cs="Arial"/>
          <w:sz w:val="20"/>
          <w:szCs w:val="20"/>
        </w:rPr>
        <w:t>p</w:t>
      </w:r>
      <w:r w:rsidR="00723ACC" w:rsidRPr="000F5A61">
        <w:rPr>
          <w:rFonts w:ascii="Arial" w:hAnsi="Arial" w:cs="Arial"/>
          <w:sz w:val="20"/>
          <w:szCs w:val="20"/>
        </w:rPr>
        <w:t xml:space="preserve">rovide LLINs to Nepalese migrants traveling to endemic States in India. LLIN micro-stratification teams/TRACK survey teams/FCHVs will conduct annual pre-festival season surveys to identify all households in endemic or receptive wards with overseas family members. These households will be provided with one LLIN coupon per migrant. When the migrants return they will be able to redeem their coupons at their nearest health facility for a free LLIN. All migrants presenting in this way will be screened for malaria and provided with migrant specific BCC </w:t>
      </w:r>
      <w:r w:rsidR="00786248" w:rsidRPr="000F5A61">
        <w:rPr>
          <w:rFonts w:ascii="Arial" w:hAnsi="Arial" w:cs="Arial"/>
          <w:sz w:val="20"/>
          <w:szCs w:val="20"/>
        </w:rPr>
        <w:t>(</w:t>
      </w:r>
      <w:r w:rsidR="00723ACC" w:rsidRPr="000F5A61">
        <w:rPr>
          <w:rFonts w:ascii="Arial" w:hAnsi="Arial" w:cs="Arial"/>
          <w:sz w:val="20"/>
          <w:szCs w:val="20"/>
        </w:rPr>
        <w:t xml:space="preserve">through IPC </w:t>
      </w:r>
      <w:r w:rsidR="00786248" w:rsidRPr="000F5A61">
        <w:rPr>
          <w:rFonts w:ascii="Arial" w:hAnsi="Arial" w:cs="Arial"/>
          <w:sz w:val="20"/>
          <w:szCs w:val="20"/>
        </w:rPr>
        <w:t xml:space="preserve">and </w:t>
      </w:r>
      <w:r w:rsidR="00723ACC" w:rsidRPr="000F5A61">
        <w:rPr>
          <w:rFonts w:ascii="Arial" w:hAnsi="Arial" w:cs="Arial"/>
          <w:sz w:val="20"/>
          <w:szCs w:val="20"/>
        </w:rPr>
        <w:t>leaflet</w:t>
      </w:r>
      <w:r w:rsidR="00786248" w:rsidRPr="000F5A61">
        <w:rPr>
          <w:rFonts w:ascii="Arial" w:hAnsi="Arial" w:cs="Arial"/>
          <w:sz w:val="20"/>
          <w:szCs w:val="20"/>
        </w:rPr>
        <w:t>s)</w:t>
      </w:r>
      <w:r w:rsidR="00723ACC" w:rsidRPr="000F5A61">
        <w:rPr>
          <w:rFonts w:ascii="Arial" w:hAnsi="Arial" w:cs="Arial"/>
          <w:sz w:val="20"/>
          <w:szCs w:val="20"/>
        </w:rPr>
        <w:t xml:space="preserve">.   </w:t>
      </w:r>
    </w:p>
    <w:p w:rsidR="00D955B6" w:rsidRPr="000F5A61" w:rsidRDefault="00D955B6" w:rsidP="00C86062">
      <w:pPr>
        <w:spacing w:after="120" w:line="240" w:lineRule="auto"/>
        <w:rPr>
          <w:rFonts w:ascii="Arial" w:hAnsi="Arial" w:cs="Arial"/>
          <w:sz w:val="20"/>
          <w:szCs w:val="20"/>
        </w:rPr>
      </w:pPr>
      <w:r w:rsidRPr="000F5A61">
        <w:rPr>
          <w:rFonts w:ascii="Arial" w:hAnsi="Arial" w:cs="Arial"/>
          <w:sz w:val="20"/>
          <w:szCs w:val="20"/>
        </w:rPr>
        <w:t xml:space="preserve">Current estimates of </w:t>
      </w:r>
      <w:r w:rsidR="00E61920" w:rsidRPr="000F5A61">
        <w:rPr>
          <w:rFonts w:ascii="Arial" w:hAnsi="Arial" w:cs="Arial"/>
          <w:sz w:val="20"/>
          <w:szCs w:val="20"/>
        </w:rPr>
        <w:t xml:space="preserve">LLIN </w:t>
      </w:r>
      <w:r w:rsidRPr="000F5A61">
        <w:rPr>
          <w:rFonts w:ascii="Arial" w:hAnsi="Arial" w:cs="Arial"/>
          <w:sz w:val="20"/>
          <w:szCs w:val="20"/>
        </w:rPr>
        <w:t>need</w:t>
      </w:r>
      <w:r w:rsidR="00E61920" w:rsidRPr="000F5A61">
        <w:rPr>
          <w:rFonts w:ascii="Arial" w:hAnsi="Arial" w:cs="Arial"/>
          <w:sz w:val="20"/>
          <w:szCs w:val="20"/>
        </w:rPr>
        <w:t>s</w:t>
      </w:r>
      <w:r w:rsidRPr="000F5A61">
        <w:rPr>
          <w:rFonts w:ascii="Arial" w:hAnsi="Arial" w:cs="Arial"/>
          <w:sz w:val="20"/>
          <w:szCs w:val="20"/>
        </w:rPr>
        <w:t xml:space="preserve"> for these underserved populations have been based on local expert opinion. The Programme will adopt a ‘learning by doing’ approach and revise estimates for future distributions based on consumption, migrant mapping and survey data.</w:t>
      </w:r>
    </w:p>
    <w:p w:rsidR="00723ACC" w:rsidRPr="000F5A61" w:rsidRDefault="00B21F63" w:rsidP="00C86062">
      <w:pPr>
        <w:spacing w:after="120" w:line="240" w:lineRule="auto"/>
        <w:rPr>
          <w:rFonts w:ascii="Arial" w:hAnsi="Arial" w:cs="Arial"/>
          <w:sz w:val="20"/>
          <w:szCs w:val="20"/>
        </w:rPr>
      </w:pPr>
      <w:r w:rsidRPr="00B1785B">
        <w:rPr>
          <w:rFonts w:ascii="Arial" w:hAnsi="Arial" w:cs="Arial"/>
          <w:i/>
          <w:sz w:val="20"/>
          <w:szCs w:val="20"/>
        </w:rPr>
        <w:t>Long-lasting insecticidal nets (LLIN) - Mass campaign</w:t>
      </w:r>
      <w:r w:rsidR="003F3AD7" w:rsidRPr="00B1785B">
        <w:rPr>
          <w:rFonts w:ascii="Arial" w:hAnsi="Arial" w:cs="Arial"/>
          <w:i/>
          <w:sz w:val="20"/>
          <w:szCs w:val="20"/>
        </w:rPr>
        <w:t>.</w:t>
      </w:r>
      <w:r w:rsidR="00FF5598" w:rsidRPr="00B1785B">
        <w:rPr>
          <w:rFonts w:ascii="Arial" w:hAnsi="Arial" w:cs="Arial"/>
          <w:sz w:val="20"/>
          <w:szCs w:val="20"/>
        </w:rPr>
        <w:t>Requested funds will cover</w:t>
      </w:r>
      <w:r w:rsidR="00E37C02" w:rsidRPr="00B1785B">
        <w:rPr>
          <w:rFonts w:ascii="Arial" w:hAnsi="Arial" w:cs="Arial"/>
          <w:sz w:val="20"/>
          <w:szCs w:val="20"/>
        </w:rPr>
        <w:t>:D</w:t>
      </w:r>
      <w:r w:rsidR="005F50E1" w:rsidRPr="00B1785B">
        <w:rPr>
          <w:rFonts w:ascii="Arial" w:hAnsi="Arial" w:cs="Arial"/>
          <w:sz w:val="20"/>
          <w:szCs w:val="20"/>
        </w:rPr>
        <w:t>eliver</w:t>
      </w:r>
      <w:r w:rsidR="00FF5598" w:rsidRPr="00B1785B">
        <w:rPr>
          <w:rFonts w:ascii="Arial" w:hAnsi="Arial" w:cs="Arial"/>
          <w:sz w:val="20"/>
          <w:szCs w:val="20"/>
        </w:rPr>
        <w:t>y of</w:t>
      </w:r>
      <w:r w:rsidR="00CF454C" w:rsidRPr="00B1785B">
        <w:rPr>
          <w:rFonts w:ascii="Arial" w:hAnsi="Arial" w:cs="Arial"/>
          <w:sz w:val="20"/>
          <w:szCs w:val="20"/>
        </w:rPr>
        <w:t>109,382 and 134,790</w:t>
      </w:r>
      <w:r w:rsidR="005F50E1" w:rsidRPr="00B1785B">
        <w:rPr>
          <w:rFonts w:ascii="Arial" w:hAnsi="Arial" w:cs="Arial"/>
          <w:sz w:val="20"/>
          <w:szCs w:val="20"/>
        </w:rPr>
        <w:t>double LLINs</w:t>
      </w:r>
      <w:r w:rsidR="00FF5598" w:rsidRPr="00B1785B">
        <w:rPr>
          <w:rFonts w:ascii="Arial" w:hAnsi="Arial" w:cs="Arial"/>
          <w:sz w:val="20"/>
          <w:szCs w:val="20"/>
        </w:rPr>
        <w:t xml:space="preserve"> required for mass distribution in </w:t>
      </w:r>
      <w:r w:rsidR="00CF454C" w:rsidRPr="00B1785B">
        <w:rPr>
          <w:rFonts w:ascii="Arial" w:hAnsi="Arial" w:cs="Arial"/>
          <w:sz w:val="20"/>
          <w:szCs w:val="20"/>
        </w:rPr>
        <w:t>Y</w:t>
      </w:r>
      <w:r w:rsidR="00FF5598" w:rsidRPr="00B1785B">
        <w:rPr>
          <w:rFonts w:ascii="Arial" w:hAnsi="Arial" w:cs="Arial"/>
          <w:sz w:val="20"/>
          <w:szCs w:val="20"/>
        </w:rPr>
        <w:t>1</w:t>
      </w:r>
      <w:r w:rsidR="00CF454C" w:rsidRPr="00B1785B">
        <w:rPr>
          <w:rFonts w:ascii="Arial" w:hAnsi="Arial" w:cs="Arial"/>
          <w:sz w:val="20"/>
          <w:szCs w:val="20"/>
        </w:rPr>
        <w:t xml:space="preserve"> and Y2 respectively</w:t>
      </w:r>
      <w:r w:rsidR="00342962" w:rsidRPr="00B1785B">
        <w:rPr>
          <w:rFonts w:ascii="Arial" w:hAnsi="Arial" w:cs="Arial"/>
          <w:sz w:val="20"/>
          <w:szCs w:val="20"/>
        </w:rPr>
        <w:t xml:space="preserve">, including </w:t>
      </w:r>
      <w:r w:rsidR="00D529A8" w:rsidRPr="00B1785B">
        <w:rPr>
          <w:rFonts w:ascii="Arial" w:hAnsi="Arial" w:cs="Arial"/>
          <w:sz w:val="20"/>
          <w:szCs w:val="20"/>
        </w:rPr>
        <w:t>micro planning</w:t>
      </w:r>
      <w:r w:rsidR="00CD7E32" w:rsidRPr="00B1785B">
        <w:rPr>
          <w:rFonts w:ascii="Arial" w:hAnsi="Arial" w:cs="Arial"/>
          <w:sz w:val="20"/>
          <w:szCs w:val="20"/>
        </w:rPr>
        <w:t xml:space="preserve"> (</w:t>
      </w:r>
      <w:r w:rsidR="00342962" w:rsidRPr="00B1785B">
        <w:rPr>
          <w:rFonts w:ascii="Arial" w:hAnsi="Arial" w:cs="Arial"/>
          <w:sz w:val="20"/>
          <w:szCs w:val="20"/>
        </w:rPr>
        <w:t xml:space="preserve">LLINs </w:t>
      </w:r>
      <w:r w:rsidR="00CD7E32" w:rsidRPr="00B1785B">
        <w:rPr>
          <w:rFonts w:ascii="Arial" w:hAnsi="Arial" w:cs="Arial"/>
          <w:sz w:val="20"/>
          <w:szCs w:val="20"/>
        </w:rPr>
        <w:t xml:space="preserve">procured </w:t>
      </w:r>
      <w:r w:rsidR="00CF454C" w:rsidRPr="00B1785B">
        <w:rPr>
          <w:rFonts w:ascii="Arial" w:hAnsi="Arial" w:cs="Arial"/>
          <w:sz w:val="20"/>
          <w:szCs w:val="20"/>
        </w:rPr>
        <w:t>by GoN</w:t>
      </w:r>
      <w:r w:rsidR="00E37C02" w:rsidRPr="00B1785B">
        <w:rPr>
          <w:rFonts w:ascii="Arial" w:hAnsi="Arial" w:cs="Arial"/>
          <w:sz w:val="20"/>
          <w:szCs w:val="20"/>
        </w:rPr>
        <w:t>); and, Post-campaign LLIN coverage and use assessments in Y2.</w:t>
      </w:r>
      <w:r w:rsidR="00CF454C" w:rsidRPr="00B1785B">
        <w:rPr>
          <w:rFonts w:ascii="Arial" w:hAnsi="Arial" w:cs="Arial"/>
          <w:sz w:val="20"/>
          <w:szCs w:val="20"/>
        </w:rPr>
        <w:t xml:space="preserve"> The 340,045 LLINs to be procured by GoN for mass distribution in Y3 will be distributed at the start of Y4 using GoN funds.</w:t>
      </w:r>
    </w:p>
    <w:p w:rsidR="00B21F63" w:rsidRPr="000F5A61" w:rsidRDefault="00B21F63" w:rsidP="00B21F63">
      <w:pPr>
        <w:spacing w:after="120" w:line="240" w:lineRule="auto"/>
        <w:rPr>
          <w:rFonts w:ascii="Arial" w:hAnsi="Arial" w:cs="Arial"/>
          <w:sz w:val="20"/>
          <w:szCs w:val="20"/>
        </w:rPr>
      </w:pPr>
      <w:r w:rsidRPr="00B1785B">
        <w:rPr>
          <w:rFonts w:ascii="Arial" w:hAnsi="Arial" w:cs="Arial"/>
          <w:i/>
          <w:sz w:val="20"/>
          <w:szCs w:val="20"/>
        </w:rPr>
        <w:t>Long-lasting insecticidal nets (LLIN) - Continuous distribution</w:t>
      </w:r>
      <w:r w:rsidR="003F3AD7" w:rsidRPr="00B1785B">
        <w:rPr>
          <w:rFonts w:ascii="Arial" w:hAnsi="Arial" w:cs="Arial"/>
          <w:i/>
          <w:sz w:val="20"/>
          <w:szCs w:val="20"/>
        </w:rPr>
        <w:t>.</w:t>
      </w:r>
      <w:r w:rsidRPr="00B1785B">
        <w:rPr>
          <w:rFonts w:ascii="Arial" w:hAnsi="Arial" w:cs="Arial"/>
          <w:sz w:val="20"/>
          <w:szCs w:val="20"/>
        </w:rPr>
        <w:t xml:space="preserve"> Requested funds will cover</w:t>
      </w:r>
      <w:r w:rsidR="001E0EE6" w:rsidRPr="00B1785B">
        <w:rPr>
          <w:rFonts w:ascii="Arial" w:hAnsi="Arial" w:cs="Arial"/>
          <w:sz w:val="20"/>
          <w:szCs w:val="20"/>
        </w:rPr>
        <w:t>: D</w:t>
      </w:r>
      <w:r w:rsidRPr="00B1785B">
        <w:rPr>
          <w:rFonts w:ascii="Arial" w:hAnsi="Arial" w:cs="Arial"/>
          <w:sz w:val="20"/>
          <w:szCs w:val="20"/>
        </w:rPr>
        <w:t xml:space="preserve">elivery of </w:t>
      </w:r>
      <w:r w:rsidR="001303F6" w:rsidRPr="00B1785B">
        <w:rPr>
          <w:rFonts w:ascii="Arial" w:hAnsi="Arial" w:cs="Arial"/>
          <w:sz w:val="20"/>
          <w:szCs w:val="20"/>
        </w:rPr>
        <w:t xml:space="preserve">113,140 </w:t>
      </w:r>
      <w:r w:rsidRPr="00B1785B">
        <w:rPr>
          <w:rFonts w:ascii="Arial" w:hAnsi="Arial" w:cs="Arial"/>
          <w:sz w:val="20"/>
          <w:szCs w:val="20"/>
        </w:rPr>
        <w:t xml:space="preserve">LLINs </w:t>
      </w:r>
      <w:r w:rsidR="001303F6" w:rsidRPr="00B1785B">
        <w:rPr>
          <w:rFonts w:ascii="Arial" w:hAnsi="Arial" w:cs="Arial"/>
          <w:sz w:val="20"/>
          <w:szCs w:val="20"/>
        </w:rPr>
        <w:t>annually</w:t>
      </w:r>
      <w:r w:rsidR="00CF454C" w:rsidRPr="00B1785B">
        <w:rPr>
          <w:rFonts w:ascii="Arial" w:hAnsi="Arial" w:cs="Arial"/>
          <w:sz w:val="20"/>
          <w:szCs w:val="20"/>
        </w:rPr>
        <w:t>.</w:t>
      </w:r>
    </w:p>
    <w:p w:rsidR="003F3AD7" w:rsidRPr="00B1785B" w:rsidRDefault="003F3AD7" w:rsidP="00C86062">
      <w:pPr>
        <w:spacing w:after="0" w:line="240" w:lineRule="auto"/>
        <w:rPr>
          <w:rFonts w:ascii="Arial" w:hAnsi="Arial" w:cs="Arial"/>
          <w:sz w:val="20"/>
          <w:szCs w:val="20"/>
        </w:rPr>
      </w:pPr>
      <w:r w:rsidRPr="00B1785B">
        <w:rPr>
          <w:rFonts w:ascii="Arial" w:eastAsiaTheme="minorEastAsia" w:hAnsi="Arial" w:cs="Arial"/>
          <w:i/>
          <w:sz w:val="20"/>
          <w:szCs w:val="20"/>
        </w:rPr>
        <w:t>Indoor Residual spraying (IRS).</w:t>
      </w:r>
      <w:r w:rsidR="001E0EE6" w:rsidRPr="000F5A61">
        <w:rPr>
          <w:rFonts w:ascii="Arial" w:hAnsi="Arial" w:cs="Arial"/>
          <w:i/>
          <w:sz w:val="20"/>
          <w:szCs w:val="20"/>
        </w:rPr>
        <w:t>[Please note that procurement of insecticide will be covered by GoN].</w:t>
      </w:r>
      <w:r w:rsidRPr="00B1785B">
        <w:rPr>
          <w:rFonts w:ascii="Arial" w:eastAsiaTheme="minorEastAsia" w:hAnsi="Arial" w:cs="Arial"/>
          <w:sz w:val="20"/>
          <w:szCs w:val="20"/>
        </w:rPr>
        <w:t>The Programme will conduct focal responsive IRS</w:t>
      </w:r>
      <w:r w:rsidR="00E61920" w:rsidRPr="00B1785B">
        <w:rPr>
          <w:rStyle w:val="FootnoteReference"/>
          <w:rFonts w:ascii="Arial" w:eastAsiaTheme="minorEastAsia" w:hAnsi="Arial" w:cs="Arial"/>
          <w:sz w:val="20"/>
          <w:szCs w:val="20"/>
        </w:rPr>
        <w:footnoteReference w:id="21"/>
      </w:r>
      <w:r w:rsidRPr="00B1785B">
        <w:rPr>
          <w:rFonts w:ascii="Arial" w:eastAsiaTheme="minorEastAsia" w:hAnsi="Arial" w:cs="Arial"/>
          <w:sz w:val="20"/>
          <w:szCs w:val="20"/>
        </w:rPr>
        <w:t xml:space="preserve"> in selected transmission foci. IRS will only be applied in areas that have not been targeted for LLINs during the previous three years (these areas will instead receive top-up LLINs as required). Special efforts will be made to ensure that all </w:t>
      </w:r>
      <w:r w:rsidR="001B7540" w:rsidRPr="00B1785B">
        <w:rPr>
          <w:rFonts w:ascii="Arial" w:eastAsiaTheme="minorEastAsia" w:hAnsi="Arial" w:cs="Arial"/>
          <w:sz w:val="20"/>
          <w:szCs w:val="20"/>
        </w:rPr>
        <w:t>‘ch</w:t>
      </w:r>
      <w:r w:rsidR="00651B41" w:rsidRPr="00B1785B">
        <w:rPr>
          <w:rFonts w:ascii="Arial" w:eastAsiaTheme="minorEastAsia" w:hAnsi="Arial" w:cs="Arial"/>
          <w:sz w:val="20"/>
          <w:szCs w:val="20"/>
        </w:rPr>
        <w:t>h</w:t>
      </w:r>
      <w:r w:rsidR="001B7540" w:rsidRPr="00B1785B">
        <w:rPr>
          <w:rFonts w:ascii="Arial" w:eastAsiaTheme="minorEastAsia" w:hAnsi="Arial" w:cs="Arial"/>
          <w:sz w:val="20"/>
          <w:szCs w:val="20"/>
        </w:rPr>
        <w:t>aupadi’</w:t>
      </w:r>
      <w:r w:rsidRPr="00B1785B">
        <w:rPr>
          <w:rFonts w:ascii="Arial" w:eastAsiaTheme="minorEastAsia" w:hAnsi="Arial" w:cs="Arial"/>
          <w:sz w:val="20"/>
          <w:szCs w:val="20"/>
        </w:rPr>
        <w:t xml:space="preserve"> huts are sprayed in target areas (at least until legislation banning use of huts comes into effect).</w:t>
      </w:r>
      <w:r w:rsidR="001E0EE6" w:rsidRPr="00B1785B">
        <w:rPr>
          <w:rFonts w:ascii="Arial" w:hAnsi="Arial" w:cs="Arial"/>
          <w:sz w:val="20"/>
          <w:szCs w:val="20"/>
        </w:rPr>
        <w:t>Requested funds will cover:</w:t>
      </w:r>
      <w:r w:rsidR="004A256B" w:rsidRPr="00B1785B">
        <w:rPr>
          <w:rFonts w:ascii="Arial" w:hAnsi="Arial" w:cs="Arial"/>
          <w:sz w:val="20"/>
          <w:szCs w:val="20"/>
        </w:rPr>
        <w:t xml:space="preserve"> Operational costs associated with</w:t>
      </w:r>
      <w:r w:rsidR="001F1FC9" w:rsidRPr="00B1785B">
        <w:rPr>
          <w:rFonts w:ascii="Arial" w:hAnsi="Arial" w:cs="Arial"/>
          <w:sz w:val="20"/>
          <w:szCs w:val="20"/>
        </w:rPr>
        <w:t xml:space="preserve"> the entomological component of focus investigations; Operational costs associated with responsive </w:t>
      </w:r>
      <w:r w:rsidR="004A256B" w:rsidRPr="00B1785B">
        <w:rPr>
          <w:rFonts w:ascii="Arial" w:hAnsi="Arial" w:cs="Arial"/>
          <w:sz w:val="20"/>
          <w:szCs w:val="20"/>
        </w:rPr>
        <w:t>IRS in confirmed transmission foci</w:t>
      </w:r>
      <w:r w:rsidR="001006F9" w:rsidRPr="00B1785B">
        <w:rPr>
          <w:rFonts w:ascii="Arial" w:hAnsi="Arial" w:cs="Arial"/>
          <w:sz w:val="20"/>
          <w:szCs w:val="20"/>
        </w:rPr>
        <w:t>/outbreaks</w:t>
      </w:r>
      <w:r w:rsidR="004A256B" w:rsidRPr="000F5A61">
        <w:rPr>
          <w:rFonts w:ascii="Arial" w:hAnsi="Arial" w:cs="Arial"/>
          <w:sz w:val="20"/>
          <w:szCs w:val="20"/>
        </w:rPr>
        <w:t>(</w:t>
      </w:r>
      <w:r w:rsidR="001006F9" w:rsidRPr="00B1785B">
        <w:rPr>
          <w:rFonts w:ascii="Arial" w:hAnsi="Arial" w:cs="Arial"/>
          <w:sz w:val="20"/>
          <w:szCs w:val="20"/>
        </w:rPr>
        <w:t>25</w:t>
      </w:r>
      <w:r w:rsidR="004A256B" w:rsidRPr="00B1785B">
        <w:rPr>
          <w:rFonts w:ascii="Arial" w:hAnsi="Arial" w:cs="Arial"/>
          <w:sz w:val="20"/>
          <w:szCs w:val="20"/>
        </w:rPr>
        <w:t>, 24 and 17 missions in years 1, 2 &amp; 3 respectively</w:t>
      </w:r>
      <w:r w:rsidR="004A256B" w:rsidRPr="000F5A61">
        <w:rPr>
          <w:rFonts w:ascii="Arial" w:hAnsi="Arial" w:cs="Arial"/>
          <w:sz w:val="20"/>
          <w:szCs w:val="20"/>
        </w:rPr>
        <w:t>).</w:t>
      </w:r>
    </w:p>
    <w:p w:rsidR="00DA3B43" w:rsidRPr="000F5A61" w:rsidRDefault="00DA3B43" w:rsidP="00C86062">
      <w:pPr>
        <w:spacing w:after="0" w:line="240" w:lineRule="auto"/>
        <w:rPr>
          <w:rFonts w:ascii="Arial" w:hAnsi="Arial" w:cs="Arial"/>
          <w:sz w:val="20"/>
          <w:szCs w:val="20"/>
        </w:rPr>
      </w:pPr>
    </w:p>
    <w:p w:rsidR="00DA3B43" w:rsidRPr="00B1785B" w:rsidRDefault="00DA3B43" w:rsidP="00C86062">
      <w:pPr>
        <w:spacing w:after="120" w:line="240" w:lineRule="auto"/>
        <w:rPr>
          <w:rFonts w:ascii="Arial" w:hAnsi="Arial" w:cs="Arial"/>
          <w:sz w:val="20"/>
          <w:szCs w:val="20"/>
        </w:rPr>
      </w:pPr>
      <w:r w:rsidRPr="00B1785B">
        <w:rPr>
          <w:rFonts w:ascii="Arial" w:hAnsi="Arial" w:cs="Arial"/>
          <w:i/>
          <w:sz w:val="20"/>
          <w:szCs w:val="20"/>
        </w:rPr>
        <w:t>Entomological monitoring</w:t>
      </w:r>
      <w:r w:rsidRPr="00B1785B">
        <w:rPr>
          <w:rFonts w:ascii="Arial" w:hAnsi="Arial" w:cs="Arial"/>
          <w:sz w:val="20"/>
          <w:szCs w:val="20"/>
        </w:rPr>
        <w:t xml:space="preserve">. </w:t>
      </w:r>
      <w:r w:rsidRPr="000F5A61">
        <w:rPr>
          <w:rFonts w:ascii="Arial" w:hAnsi="Arial" w:cs="Arial"/>
          <w:sz w:val="20"/>
          <w:szCs w:val="20"/>
        </w:rPr>
        <w:t>Every year regular entomological surveillance, including insecticide resistance (IR) monitoring will be carried out in sentinel sites selected based on eco-epidemiological representativeness. Surveys will also be conducted in additional sites as required</w:t>
      </w:r>
      <w:r w:rsidR="00E61920" w:rsidRPr="000F5A61">
        <w:rPr>
          <w:rStyle w:val="FootnoteReference"/>
          <w:rFonts w:ascii="Arial" w:hAnsi="Arial" w:cs="Arial"/>
          <w:sz w:val="20"/>
          <w:szCs w:val="20"/>
        </w:rPr>
        <w:footnoteReference w:id="22"/>
      </w:r>
      <w:r w:rsidRPr="000F5A61">
        <w:rPr>
          <w:rFonts w:ascii="Arial" w:hAnsi="Arial" w:cs="Arial"/>
          <w:sz w:val="20"/>
          <w:szCs w:val="20"/>
        </w:rPr>
        <w:t xml:space="preserve">. </w:t>
      </w:r>
      <w:r w:rsidRPr="00B1785B">
        <w:rPr>
          <w:rFonts w:ascii="Arial" w:hAnsi="Arial" w:cs="Arial"/>
          <w:sz w:val="20"/>
          <w:szCs w:val="20"/>
        </w:rPr>
        <w:t xml:space="preserve">Requested funds will cover: Procurement of </w:t>
      </w:r>
      <w:r w:rsidR="00324BFE" w:rsidRPr="00B1785B">
        <w:rPr>
          <w:rFonts w:ascii="Arial" w:hAnsi="Arial" w:cs="Arial"/>
          <w:sz w:val="20"/>
          <w:szCs w:val="20"/>
        </w:rPr>
        <w:t>e</w:t>
      </w:r>
      <w:r w:rsidRPr="00B1785B">
        <w:rPr>
          <w:rFonts w:ascii="Arial" w:hAnsi="Arial" w:cs="Arial"/>
          <w:sz w:val="20"/>
          <w:szCs w:val="20"/>
        </w:rPr>
        <w:t xml:space="preserve">ntomological </w:t>
      </w:r>
      <w:r w:rsidR="00324BFE" w:rsidRPr="00B1785B">
        <w:rPr>
          <w:rFonts w:ascii="Arial" w:hAnsi="Arial" w:cs="Arial"/>
          <w:sz w:val="20"/>
          <w:szCs w:val="20"/>
        </w:rPr>
        <w:t>e</w:t>
      </w:r>
      <w:r w:rsidRPr="00B1785B">
        <w:rPr>
          <w:rFonts w:ascii="Arial" w:hAnsi="Arial" w:cs="Arial"/>
          <w:sz w:val="20"/>
          <w:szCs w:val="20"/>
        </w:rPr>
        <w:t xml:space="preserve">quipment and </w:t>
      </w:r>
      <w:r w:rsidR="00324BFE" w:rsidRPr="00B1785B">
        <w:rPr>
          <w:rFonts w:ascii="Arial" w:hAnsi="Arial" w:cs="Arial"/>
          <w:sz w:val="20"/>
          <w:szCs w:val="20"/>
        </w:rPr>
        <w:t>r</w:t>
      </w:r>
      <w:r w:rsidRPr="00B1785B">
        <w:rPr>
          <w:rFonts w:ascii="Arial" w:hAnsi="Arial" w:cs="Arial"/>
          <w:sz w:val="20"/>
          <w:szCs w:val="20"/>
        </w:rPr>
        <w:t>eagents</w:t>
      </w:r>
      <w:r w:rsidR="00274526" w:rsidRPr="00B1785B">
        <w:rPr>
          <w:rFonts w:ascii="Arial" w:hAnsi="Arial" w:cs="Arial"/>
          <w:sz w:val="20"/>
          <w:szCs w:val="20"/>
        </w:rPr>
        <w:t xml:space="preserve"> (Y1&amp;</w:t>
      </w:r>
      <w:r w:rsidR="00E743F8" w:rsidRPr="00B1785B">
        <w:rPr>
          <w:rFonts w:ascii="Arial" w:hAnsi="Arial" w:cs="Arial"/>
          <w:sz w:val="20"/>
          <w:szCs w:val="20"/>
        </w:rPr>
        <w:t>3</w:t>
      </w:r>
      <w:r w:rsidR="00274526" w:rsidRPr="00B1785B">
        <w:rPr>
          <w:rFonts w:ascii="Arial" w:hAnsi="Arial" w:cs="Arial"/>
          <w:sz w:val="20"/>
          <w:szCs w:val="20"/>
        </w:rPr>
        <w:t>)</w:t>
      </w:r>
      <w:r w:rsidRPr="00B1785B">
        <w:rPr>
          <w:rFonts w:ascii="Arial" w:hAnsi="Arial" w:cs="Arial"/>
          <w:sz w:val="20"/>
          <w:szCs w:val="20"/>
        </w:rPr>
        <w:t xml:space="preserve">; Refresher-training on malaria entomology at central level and in selected districts for </w:t>
      </w:r>
      <w:r w:rsidR="00A56767" w:rsidRPr="00B1785B">
        <w:rPr>
          <w:rFonts w:ascii="Arial" w:hAnsi="Arial" w:cs="Arial"/>
          <w:sz w:val="20"/>
          <w:szCs w:val="20"/>
        </w:rPr>
        <w:t xml:space="preserve">15 </w:t>
      </w:r>
      <w:r w:rsidRPr="00B1785B">
        <w:rPr>
          <w:rFonts w:ascii="Arial" w:hAnsi="Arial" w:cs="Arial"/>
          <w:sz w:val="20"/>
          <w:szCs w:val="20"/>
        </w:rPr>
        <w:t>entomologists</w:t>
      </w:r>
      <w:r w:rsidR="00A56767" w:rsidRPr="00B1785B">
        <w:rPr>
          <w:rFonts w:ascii="Arial" w:hAnsi="Arial" w:cs="Arial"/>
          <w:sz w:val="20"/>
          <w:szCs w:val="20"/>
        </w:rPr>
        <w:t>/</w:t>
      </w:r>
      <w:r w:rsidRPr="00B1785B">
        <w:rPr>
          <w:rFonts w:ascii="Arial" w:hAnsi="Arial" w:cs="Arial"/>
          <w:sz w:val="20"/>
          <w:szCs w:val="20"/>
        </w:rPr>
        <w:t>technicians</w:t>
      </w:r>
      <w:r w:rsidR="00274526" w:rsidRPr="00B1785B">
        <w:rPr>
          <w:rFonts w:ascii="Arial" w:hAnsi="Arial" w:cs="Arial"/>
          <w:sz w:val="20"/>
          <w:szCs w:val="20"/>
        </w:rPr>
        <w:t xml:space="preserve"> (Y1</w:t>
      </w:r>
      <w:r w:rsidR="00E743F8" w:rsidRPr="00B1785B">
        <w:rPr>
          <w:rFonts w:ascii="Arial" w:hAnsi="Arial" w:cs="Arial"/>
          <w:sz w:val="20"/>
          <w:szCs w:val="20"/>
        </w:rPr>
        <w:t>-3</w:t>
      </w:r>
      <w:r w:rsidR="00274526" w:rsidRPr="00B1785B">
        <w:rPr>
          <w:rFonts w:ascii="Arial" w:hAnsi="Arial" w:cs="Arial"/>
          <w:sz w:val="20"/>
          <w:szCs w:val="20"/>
        </w:rPr>
        <w:t>)</w:t>
      </w:r>
      <w:r w:rsidRPr="00B1785B">
        <w:rPr>
          <w:rFonts w:ascii="Arial" w:hAnsi="Arial" w:cs="Arial"/>
          <w:sz w:val="20"/>
          <w:szCs w:val="20"/>
        </w:rPr>
        <w:t xml:space="preserve">; </w:t>
      </w:r>
      <w:r w:rsidR="00E743F8" w:rsidRPr="00B1785B">
        <w:rPr>
          <w:rFonts w:ascii="Arial" w:hAnsi="Arial" w:cs="Arial"/>
          <w:sz w:val="20"/>
          <w:szCs w:val="20"/>
        </w:rPr>
        <w:t xml:space="preserve">Monitoring insecticide resistance in sentinel sites; </w:t>
      </w:r>
      <w:r w:rsidRPr="00B1785B">
        <w:rPr>
          <w:rFonts w:ascii="Arial" w:hAnsi="Arial" w:cs="Arial"/>
          <w:sz w:val="20"/>
          <w:szCs w:val="20"/>
        </w:rPr>
        <w:t xml:space="preserve">and, </w:t>
      </w:r>
      <w:r w:rsidR="00274526" w:rsidRPr="00B1785B">
        <w:rPr>
          <w:rFonts w:ascii="Arial" w:hAnsi="Arial" w:cs="Arial"/>
          <w:sz w:val="20"/>
          <w:szCs w:val="20"/>
        </w:rPr>
        <w:t>On</w:t>
      </w:r>
      <w:r w:rsidR="00CF454C" w:rsidRPr="00B1785B">
        <w:rPr>
          <w:rFonts w:ascii="Arial" w:hAnsi="Arial" w:cs="Arial"/>
          <w:sz w:val="20"/>
          <w:szCs w:val="20"/>
        </w:rPr>
        <w:t>-</w:t>
      </w:r>
      <w:r w:rsidR="00274526" w:rsidRPr="00B1785B">
        <w:rPr>
          <w:rFonts w:ascii="Arial" w:hAnsi="Arial" w:cs="Arial"/>
          <w:sz w:val="20"/>
          <w:szCs w:val="20"/>
        </w:rPr>
        <w:t>going l</w:t>
      </w:r>
      <w:r w:rsidRPr="00B1785B">
        <w:rPr>
          <w:rFonts w:ascii="Arial" w:hAnsi="Arial" w:cs="Arial"/>
          <w:sz w:val="20"/>
          <w:szCs w:val="20"/>
        </w:rPr>
        <w:t>ongitudinal surveys of vector distribution, abundance and bionomics</w:t>
      </w:r>
      <w:r w:rsidR="007C023F" w:rsidRPr="00B1785B">
        <w:rPr>
          <w:rFonts w:ascii="Arial" w:hAnsi="Arial" w:cs="Arial"/>
          <w:sz w:val="20"/>
          <w:szCs w:val="20"/>
        </w:rPr>
        <w:t xml:space="preserve"> in Y1</w:t>
      </w:r>
      <w:r w:rsidR="00E743F8" w:rsidRPr="00B1785B">
        <w:rPr>
          <w:rFonts w:ascii="Arial" w:hAnsi="Arial" w:cs="Arial"/>
          <w:sz w:val="20"/>
          <w:szCs w:val="20"/>
        </w:rPr>
        <w:t>-2</w:t>
      </w:r>
      <w:r w:rsidRPr="00B1785B">
        <w:rPr>
          <w:rFonts w:ascii="Arial" w:hAnsi="Arial" w:cs="Arial"/>
          <w:sz w:val="20"/>
          <w:szCs w:val="20"/>
        </w:rPr>
        <w:t>.</w:t>
      </w:r>
    </w:p>
    <w:p w:rsidR="001E0EE6" w:rsidRPr="00B1785B" w:rsidRDefault="001E0EE6" w:rsidP="00C86062">
      <w:pPr>
        <w:spacing w:after="0" w:line="240" w:lineRule="auto"/>
        <w:rPr>
          <w:rFonts w:ascii="Arial" w:eastAsiaTheme="minorEastAsia" w:hAnsi="Arial" w:cs="Arial"/>
          <w:sz w:val="20"/>
          <w:szCs w:val="20"/>
        </w:rPr>
      </w:pPr>
    </w:p>
    <w:p w:rsidR="00CF454C" w:rsidRPr="000F5A61" w:rsidRDefault="00CF454C">
      <w:pPr>
        <w:spacing w:after="120" w:line="240" w:lineRule="auto"/>
        <w:rPr>
          <w:rFonts w:ascii="Arial" w:hAnsi="Arial" w:cs="Arial"/>
          <w:kern w:val="24"/>
          <w:sz w:val="20"/>
          <w:szCs w:val="20"/>
        </w:rPr>
      </w:pPr>
      <w:r w:rsidRPr="000F5A61">
        <w:rPr>
          <w:rFonts w:ascii="Arial" w:hAnsi="Arial" w:cs="Arial"/>
          <w:b/>
          <w:sz w:val="20"/>
          <w:szCs w:val="20"/>
        </w:rPr>
        <w:t xml:space="preserve">Module 3. Health information systems and M&amp;E. </w:t>
      </w:r>
    </w:p>
    <w:p w:rsidR="00CF454C" w:rsidRPr="00B1785B" w:rsidRDefault="00CF454C" w:rsidP="00F906BA">
      <w:pPr>
        <w:spacing w:after="120"/>
        <w:rPr>
          <w:rFonts w:ascii="Arial" w:hAnsi="Arial" w:cs="Arial"/>
          <w:sz w:val="20"/>
          <w:szCs w:val="20"/>
        </w:rPr>
      </w:pPr>
      <w:r w:rsidRPr="000F5A61">
        <w:rPr>
          <w:rFonts w:ascii="Arial" w:hAnsi="Arial" w:cs="Arial"/>
          <w:i/>
          <w:sz w:val="20"/>
          <w:szCs w:val="20"/>
        </w:rPr>
        <w:t>Analysis, review and transparency</w:t>
      </w:r>
      <w:r w:rsidRPr="000F5A61">
        <w:rPr>
          <w:rFonts w:ascii="Arial" w:hAnsi="Arial" w:cs="Arial"/>
          <w:sz w:val="20"/>
          <w:szCs w:val="20"/>
        </w:rPr>
        <w:t xml:space="preserve">. As far as funding permits the programme will implement a comprehensive programme of operationally significant research. Research priorities will be reviewed annually and revised as necessary. </w:t>
      </w:r>
      <w:r w:rsidRPr="00B1785B">
        <w:rPr>
          <w:rFonts w:ascii="Arial" w:hAnsi="Arial" w:cs="Arial"/>
          <w:sz w:val="20"/>
          <w:szCs w:val="20"/>
        </w:rPr>
        <w:t xml:space="preserve">Requested funds will cover:An annual TWG research review workshop; </w:t>
      </w:r>
      <w:r w:rsidR="00261500" w:rsidRPr="00B1785B">
        <w:rPr>
          <w:rFonts w:ascii="Arial" w:hAnsi="Arial" w:cs="Arial"/>
          <w:sz w:val="20"/>
          <w:szCs w:val="20"/>
        </w:rPr>
        <w:t>Technical assistance as required; and, Development and production of training materials; QA/QC of Health Product/Pharmaceuticals</w:t>
      </w:r>
      <w:r w:rsidR="004613C9" w:rsidRPr="00B1785B">
        <w:rPr>
          <w:rFonts w:ascii="Arial" w:hAnsi="Arial" w:cs="Arial"/>
          <w:sz w:val="20"/>
          <w:szCs w:val="20"/>
        </w:rPr>
        <w:t xml:space="preserve">. </w:t>
      </w:r>
    </w:p>
    <w:p w:rsidR="004613C9" w:rsidRPr="00B1785B" w:rsidRDefault="004613C9" w:rsidP="00F906BA">
      <w:pPr>
        <w:spacing w:after="120"/>
        <w:rPr>
          <w:rFonts w:ascii="Arial" w:hAnsi="Arial" w:cs="Arial"/>
          <w:sz w:val="20"/>
          <w:szCs w:val="20"/>
        </w:rPr>
      </w:pPr>
      <w:r w:rsidRPr="000F5A61">
        <w:rPr>
          <w:rFonts w:ascii="Arial" w:hAnsi="Arial" w:cs="Arial"/>
          <w:i/>
          <w:sz w:val="20"/>
          <w:szCs w:val="20"/>
        </w:rPr>
        <w:t>Routine reporting</w:t>
      </w:r>
      <w:r w:rsidRPr="000F5A61">
        <w:rPr>
          <w:rFonts w:ascii="Arial" w:hAnsi="Arial" w:cs="Arial"/>
          <w:sz w:val="20"/>
          <w:szCs w:val="20"/>
        </w:rPr>
        <w:t xml:space="preserve">. </w:t>
      </w:r>
      <w:r w:rsidRPr="00B1785B">
        <w:rPr>
          <w:rFonts w:ascii="Arial" w:hAnsi="Arial" w:cs="Arial"/>
          <w:sz w:val="20"/>
          <w:szCs w:val="20"/>
        </w:rPr>
        <w:t>Requested funds will cover:</w:t>
      </w:r>
      <w:r w:rsidRPr="000F5A61">
        <w:rPr>
          <w:rFonts w:ascii="Arial" w:hAnsi="Arial" w:cs="Arial"/>
          <w:sz w:val="20"/>
          <w:szCs w:val="20"/>
        </w:rPr>
        <w:t xml:space="preserve"> Installation and maintenance of server for electronic based malaria reporting system; Procurement of GIS software; SMS reporting and Phone charges associated with case-based reporting; Supportive supervision, mentoring and routine monitoring by central level team  (EDCD +SCI  cantral and Regional); </w:t>
      </w:r>
      <w:r w:rsidRPr="00B1785B">
        <w:rPr>
          <w:rFonts w:ascii="Arial" w:hAnsi="Arial" w:cs="Arial"/>
          <w:sz w:val="20"/>
          <w:szCs w:val="20"/>
        </w:rPr>
        <w:t>and, An annual update of the micro-stratification of malaria risk.</w:t>
      </w:r>
    </w:p>
    <w:p w:rsidR="004613C9" w:rsidRPr="00B1785B" w:rsidRDefault="004613C9" w:rsidP="004613C9">
      <w:pPr>
        <w:spacing w:after="0" w:line="240" w:lineRule="auto"/>
        <w:rPr>
          <w:rFonts w:ascii="Arial" w:eastAsiaTheme="minorEastAsia" w:hAnsi="Arial" w:cs="Arial"/>
          <w:sz w:val="20"/>
          <w:szCs w:val="20"/>
        </w:rPr>
      </w:pPr>
    </w:p>
    <w:p w:rsidR="00F906BA" w:rsidRPr="000F5A61" w:rsidRDefault="00B97B96" w:rsidP="00F906BA">
      <w:pPr>
        <w:spacing w:after="120"/>
        <w:rPr>
          <w:rFonts w:ascii="Arial" w:hAnsi="Arial" w:cs="Arial"/>
          <w:sz w:val="20"/>
          <w:szCs w:val="20"/>
        </w:rPr>
      </w:pPr>
      <w:r w:rsidRPr="000F5A61">
        <w:rPr>
          <w:rFonts w:ascii="Arial" w:hAnsi="Arial" w:cs="Arial"/>
          <w:b/>
          <w:sz w:val="20"/>
          <w:szCs w:val="20"/>
        </w:rPr>
        <w:t>Module 4. Programme management.</w:t>
      </w:r>
      <w:r w:rsidR="00F906BA" w:rsidRPr="000F5A61">
        <w:rPr>
          <w:rFonts w:ascii="Arial" w:hAnsi="Arial" w:cs="Arial"/>
          <w:sz w:val="20"/>
          <w:szCs w:val="20"/>
        </w:rPr>
        <w:t>The Programme will provide effective management and coordination to enable rapid and high-quality implementation of the elimination strategy.</w:t>
      </w:r>
    </w:p>
    <w:p w:rsidR="00F906BA" w:rsidRPr="000F5A61" w:rsidRDefault="00F906BA" w:rsidP="00C86062">
      <w:pPr>
        <w:spacing w:after="120" w:line="240" w:lineRule="auto"/>
        <w:rPr>
          <w:rFonts w:ascii="Arial" w:hAnsi="Arial" w:cs="Arial"/>
          <w:sz w:val="20"/>
          <w:szCs w:val="20"/>
        </w:rPr>
      </w:pPr>
      <w:r w:rsidRPr="00B1785B">
        <w:rPr>
          <w:rFonts w:ascii="Arial" w:hAnsi="Arial" w:cs="Arial"/>
          <w:i/>
          <w:sz w:val="20"/>
          <w:szCs w:val="20"/>
        </w:rPr>
        <w:t>Policy, planning, coordination and management</w:t>
      </w:r>
      <w:r w:rsidRPr="00B1785B">
        <w:rPr>
          <w:rFonts w:ascii="Arial" w:hAnsi="Arial" w:cs="Arial"/>
          <w:sz w:val="20"/>
          <w:szCs w:val="20"/>
        </w:rPr>
        <w:t xml:space="preserve">. </w:t>
      </w:r>
    </w:p>
    <w:p w:rsidR="00477840" w:rsidRPr="00B1785B" w:rsidRDefault="00105194" w:rsidP="00C86062">
      <w:pPr>
        <w:spacing w:after="120" w:line="240" w:lineRule="auto"/>
        <w:rPr>
          <w:rFonts w:ascii="Arial" w:hAnsi="Arial" w:cs="Arial"/>
          <w:sz w:val="20"/>
          <w:szCs w:val="20"/>
        </w:rPr>
      </w:pPr>
      <w:r w:rsidRPr="000F5A61">
        <w:rPr>
          <w:rFonts w:ascii="Arial" w:hAnsi="Arial" w:cs="Arial"/>
          <w:sz w:val="20"/>
          <w:szCs w:val="20"/>
          <w:u w:val="single"/>
        </w:rPr>
        <w:t>Political commitment and programme oversight</w:t>
      </w:r>
      <w:r w:rsidRPr="000F5A61">
        <w:rPr>
          <w:rFonts w:ascii="Arial" w:hAnsi="Arial" w:cs="Arial"/>
          <w:i/>
          <w:sz w:val="20"/>
          <w:szCs w:val="20"/>
        </w:rPr>
        <w:t>.</w:t>
      </w:r>
      <w:r w:rsidR="00477840" w:rsidRPr="000F5A61">
        <w:rPr>
          <w:rFonts w:ascii="Arial" w:hAnsi="Arial" w:cs="Arial"/>
          <w:sz w:val="20"/>
          <w:szCs w:val="20"/>
        </w:rPr>
        <w:t xml:space="preserve">The Programme will establish a </w:t>
      </w:r>
      <w:r w:rsidR="00F906BA" w:rsidRPr="000F5A61">
        <w:rPr>
          <w:rFonts w:ascii="Arial" w:hAnsi="Arial" w:cs="Arial"/>
          <w:sz w:val="20"/>
          <w:szCs w:val="20"/>
        </w:rPr>
        <w:t xml:space="preserve">Ministerial </w:t>
      </w:r>
      <w:r w:rsidR="00477840" w:rsidRPr="000F5A61">
        <w:rPr>
          <w:rFonts w:ascii="Arial" w:hAnsi="Arial" w:cs="Arial"/>
          <w:sz w:val="20"/>
          <w:szCs w:val="20"/>
        </w:rPr>
        <w:t>level committee to oversee elimination efforts – the ‘National Malaria Elimination Steering Committee’ (NMESC). The Programme’s ‘National Malaria Elimination Taskforce’ (NMET) will report to the NMESC. The NMET will include representatives from the Programme, MoH, NGOs and technical partners including WHO. The NMET and the NMESC will be supported by the Malari</w:t>
      </w:r>
      <w:r w:rsidR="005B3A01" w:rsidRPr="000F5A61">
        <w:rPr>
          <w:rFonts w:ascii="Arial" w:hAnsi="Arial" w:cs="Arial"/>
          <w:sz w:val="20"/>
          <w:szCs w:val="20"/>
        </w:rPr>
        <w:t xml:space="preserve">a Technical Working Group (TWG). </w:t>
      </w:r>
      <w:r w:rsidR="00477840" w:rsidRPr="00B1785B">
        <w:rPr>
          <w:rFonts w:ascii="Arial" w:hAnsi="Arial" w:cs="Arial"/>
          <w:sz w:val="20"/>
          <w:szCs w:val="20"/>
        </w:rPr>
        <w:t>Requested funds will cover</w:t>
      </w:r>
      <w:r w:rsidR="00F906BA" w:rsidRPr="00B1785B">
        <w:rPr>
          <w:rFonts w:ascii="Arial" w:hAnsi="Arial" w:cs="Arial"/>
          <w:sz w:val="20"/>
          <w:szCs w:val="20"/>
        </w:rPr>
        <w:t xml:space="preserve">:Regular high-level </w:t>
      </w:r>
      <w:r w:rsidR="00477840" w:rsidRPr="00B1785B">
        <w:rPr>
          <w:rFonts w:ascii="Arial" w:hAnsi="Arial" w:cs="Arial"/>
          <w:sz w:val="20"/>
          <w:szCs w:val="20"/>
        </w:rPr>
        <w:t>meetings</w:t>
      </w:r>
      <w:r w:rsidR="00F906BA" w:rsidRPr="00B1785B">
        <w:rPr>
          <w:rFonts w:ascii="Arial" w:hAnsi="Arial" w:cs="Arial"/>
          <w:sz w:val="20"/>
          <w:szCs w:val="20"/>
        </w:rPr>
        <w:t>and field trips</w:t>
      </w:r>
      <w:r w:rsidR="00477840" w:rsidRPr="00B1785B">
        <w:rPr>
          <w:rFonts w:ascii="Arial" w:hAnsi="Arial" w:cs="Arial"/>
          <w:sz w:val="20"/>
          <w:szCs w:val="20"/>
        </w:rPr>
        <w:t>.</w:t>
      </w:r>
    </w:p>
    <w:p w:rsidR="004D12A1" w:rsidRPr="00B1785B" w:rsidRDefault="00105194" w:rsidP="00C86062">
      <w:pPr>
        <w:spacing w:after="120" w:line="240" w:lineRule="auto"/>
        <w:rPr>
          <w:rFonts w:ascii="Arial" w:hAnsi="Arial" w:cs="Arial"/>
          <w:sz w:val="20"/>
          <w:szCs w:val="20"/>
        </w:rPr>
      </w:pPr>
      <w:r w:rsidRPr="000F5A61">
        <w:rPr>
          <w:rFonts w:ascii="Arial" w:hAnsi="Arial" w:cs="Arial"/>
          <w:sz w:val="20"/>
          <w:szCs w:val="20"/>
          <w:u w:val="single"/>
        </w:rPr>
        <w:t>Advocacy</w:t>
      </w:r>
      <w:r w:rsidRPr="000F5A61">
        <w:rPr>
          <w:rFonts w:ascii="Arial" w:hAnsi="Arial" w:cs="Arial"/>
          <w:sz w:val="20"/>
          <w:szCs w:val="20"/>
        </w:rPr>
        <w:t xml:space="preserve">. A broad-based advocacy package will be developed targeting decision makers and community leaders at </w:t>
      </w:r>
      <w:r w:rsidR="007C023F" w:rsidRPr="000F5A61">
        <w:rPr>
          <w:rFonts w:ascii="Arial" w:hAnsi="Arial" w:cs="Arial"/>
          <w:sz w:val="20"/>
          <w:szCs w:val="20"/>
        </w:rPr>
        <w:t>all</w:t>
      </w:r>
      <w:r w:rsidRPr="000F5A61">
        <w:rPr>
          <w:rFonts w:ascii="Arial" w:hAnsi="Arial" w:cs="Arial"/>
          <w:sz w:val="20"/>
          <w:szCs w:val="20"/>
        </w:rPr>
        <w:t xml:space="preserve"> levels. Malaria programme experiences, best practices, successes and lessons learnt will be documented and disseminated amongst stakeholders. Programme representatives will provide regular briefings to government ministers and opinion leaders. ‘Brand Ambassadors’ will be appointed to spread awareness about malaria elimination. </w:t>
      </w:r>
      <w:r w:rsidRPr="00B1785B">
        <w:rPr>
          <w:rFonts w:ascii="Arial" w:hAnsi="Arial" w:cs="Arial"/>
          <w:sz w:val="20"/>
          <w:szCs w:val="20"/>
        </w:rPr>
        <w:t>Requested funds will cover</w:t>
      </w:r>
      <w:r w:rsidR="004D12A1" w:rsidRPr="00B1785B">
        <w:rPr>
          <w:rFonts w:ascii="Arial" w:hAnsi="Arial" w:cs="Arial"/>
          <w:sz w:val="20"/>
          <w:szCs w:val="20"/>
        </w:rPr>
        <w:t>:An annual advocacy meeting at Central Level (including booth exhibition); and, An annual event to promote Corporate Social Responsibility for generating resources from private/corporate sectors.</w:t>
      </w:r>
    </w:p>
    <w:p w:rsidR="00105194" w:rsidRPr="00B1785B" w:rsidRDefault="00D06E54" w:rsidP="00C86062">
      <w:pPr>
        <w:spacing w:after="120" w:line="240" w:lineRule="auto"/>
        <w:rPr>
          <w:rFonts w:ascii="Arial" w:hAnsi="Arial" w:cs="Arial"/>
          <w:sz w:val="20"/>
          <w:szCs w:val="20"/>
        </w:rPr>
      </w:pPr>
      <w:r w:rsidRPr="000F5A61">
        <w:rPr>
          <w:rFonts w:ascii="Arial" w:hAnsi="Arial" w:cs="Arial"/>
          <w:sz w:val="20"/>
          <w:szCs w:val="20"/>
          <w:u w:val="single"/>
        </w:rPr>
        <w:t>C</w:t>
      </w:r>
      <w:r w:rsidR="00105194" w:rsidRPr="000F5A61">
        <w:rPr>
          <w:rFonts w:ascii="Arial" w:hAnsi="Arial" w:cs="Arial"/>
          <w:sz w:val="20"/>
          <w:szCs w:val="20"/>
          <w:u w:val="single"/>
        </w:rPr>
        <w:t>ross-border collaboration</w:t>
      </w:r>
      <w:r w:rsidR="00105194" w:rsidRPr="000F5A61">
        <w:rPr>
          <w:rFonts w:ascii="Arial" w:hAnsi="Arial" w:cs="Arial"/>
          <w:sz w:val="20"/>
          <w:szCs w:val="20"/>
        </w:rPr>
        <w:t xml:space="preserve">. </w:t>
      </w:r>
      <w:r w:rsidR="00105194" w:rsidRPr="00B1785B">
        <w:rPr>
          <w:rFonts w:ascii="Arial" w:hAnsi="Arial" w:cs="Arial"/>
          <w:sz w:val="20"/>
          <w:szCs w:val="20"/>
        </w:rPr>
        <w:t xml:space="preserve">Efforts will be made to ensure strong cross-border collaboration as well as technical exchange within the region and beyond. </w:t>
      </w:r>
      <w:r w:rsidR="00105194" w:rsidRPr="00B1785B">
        <w:rPr>
          <w:rFonts w:ascii="Arial" w:hAnsi="Arial" w:cs="Arial"/>
          <w:sz w:val="20"/>
          <w:szCs w:val="20"/>
          <w:lang w:val="en-US"/>
        </w:rPr>
        <w:t xml:space="preserve">WHO will support the development of a high level declaration on cross-border collaboration between Nepal and India in support of national and regional malaria elimination goals. Measures will be taken to increase the </w:t>
      </w:r>
      <w:r w:rsidR="00105194" w:rsidRPr="00B1785B">
        <w:rPr>
          <w:rFonts w:ascii="Arial" w:hAnsi="Arial" w:cs="Arial"/>
          <w:sz w:val="20"/>
          <w:szCs w:val="20"/>
        </w:rPr>
        <w:t>knowledge</w:t>
      </w:r>
      <w:r w:rsidR="007C023F" w:rsidRPr="00B1785B">
        <w:rPr>
          <w:rFonts w:ascii="Arial" w:hAnsi="Arial" w:cs="Arial"/>
          <w:sz w:val="20"/>
          <w:szCs w:val="20"/>
        </w:rPr>
        <w:t>-</w:t>
      </w:r>
      <w:r w:rsidR="00105194" w:rsidRPr="00B1785B">
        <w:rPr>
          <w:rFonts w:ascii="Arial" w:hAnsi="Arial" w:cs="Arial"/>
          <w:sz w:val="20"/>
          <w:szCs w:val="20"/>
        </w:rPr>
        <w:t>base relating to the epidemiological and operational details of border related malaria. Requested funds will cover:International travel for technical exchange visits.</w:t>
      </w:r>
    </w:p>
    <w:p w:rsidR="004329F7" w:rsidRPr="00B1785B" w:rsidRDefault="00D06E54" w:rsidP="00C86062">
      <w:pPr>
        <w:spacing w:after="120" w:line="240" w:lineRule="auto"/>
        <w:rPr>
          <w:rFonts w:ascii="Arial" w:hAnsi="Arial" w:cs="Arial"/>
          <w:sz w:val="20"/>
          <w:szCs w:val="20"/>
        </w:rPr>
      </w:pPr>
      <w:r w:rsidRPr="000F5A61">
        <w:rPr>
          <w:rFonts w:ascii="Arial" w:hAnsi="Arial" w:cs="Arial"/>
          <w:sz w:val="20"/>
          <w:szCs w:val="20"/>
          <w:u w:val="single"/>
        </w:rPr>
        <w:t>Training</w:t>
      </w:r>
      <w:r w:rsidRPr="000F5A61">
        <w:rPr>
          <w:rFonts w:ascii="Arial" w:hAnsi="Arial" w:cs="Arial"/>
          <w:sz w:val="20"/>
          <w:szCs w:val="20"/>
        </w:rPr>
        <w:t xml:space="preserve">. </w:t>
      </w:r>
      <w:r w:rsidR="004329F7" w:rsidRPr="000F5A61">
        <w:rPr>
          <w:rFonts w:ascii="Arial" w:hAnsi="Arial" w:cs="Arial"/>
          <w:sz w:val="20"/>
          <w:szCs w:val="20"/>
        </w:rPr>
        <w:t>A comprehensive programme of training and needs-based refresher training will be implemented to strengthen service provision in all areas. This training will be integrated wherever practical to maximize cost</w:t>
      </w:r>
      <w:r w:rsidR="00DD331B" w:rsidRPr="000F5A61">
        <w:rPr>
          <w:rFonts w:ascii="Arial" w:hAnsi="Arial" w:cs="Arial"/>
          <w:sz w:val="20"/>
          <w:szCs w:val="20"/>
        </w:rPr>
        <w:t>-</w:t>
      </w:r>
      <w:r w:rsidR="004329F7" w:rsidRPr="000F5A61">
        <w:rPr>
          <w:rFonts w:ascii="Arial" w:hAnsi="Arial" w:cs="Arial"/>
          <w:sz w:val="20"/>
          <w:szCs w:val="20"/>
        </w:rPr>
        <w:t xml:space="preserve">effectiveness and minimize transaction costs for participants. Training will include everything from international diploma level training, to in-house training for volunteers in the periphery. In the immediate future, staff at all levels will receive crucial </w:t>
      </w:r>
      <w:r w:rsidR="00A56767" w:rsidRPr="000F5A61">
        <w:rPr>
          <w:rFonts w:ascii="Arial" w:hAnsi="Arial" w:cs="Arial"/>
          <w:sz w:val="20"/>
          <w:szCs w:val="20"/>
        </w:rPr>
        <w:t xml:space="preserve">comprehensive </w:t>
      </w:r>
      <w:r w:rsidR="004329F7" w:rsidRPr="000F5A61">
        <w:rPr>
          <w:rFonts w:ascii="Arial" w:hAnsi="Arial" w:cs="Arial"/>
          <w:sz w:val="20"/>
          <w:szCs w:val="20"/>
        </w:rPr>
        <w:t>reorientation training to support the move from a control focus to an elimination focus.</w:t>
      </w:r>
      <w:r w:rsidR="004329F7" w:rsidRPr="00B1785B">
        <w:rPr>
          <w:rFonts w:ascii="Arial" w:hAnsi="Arial" w:cs="Arial"/>
          <w:sz w:val="20"/>
          <w:szCs w:val="20"/>
        </w:rPr>
        <w:t>Requested funds will cover</w:t>
      </w:r>
      <w:r w:rsidR="00177BE8" w:rsidRPr="00B1785B">
        <w:rPr>
          <w:rFonts w:ascii="Arial" w:hAnsi="Arial" w:cs="Arial"/>
          <w:sz w:val="20"/>
          <w:szCs w:val="20"/>
        </w:rPr>
        <w:t>:</w:t>
      </w:r>
      <w:r w:rsidR="00F75A9A" w:rsidRPr="00B1785B">
        <w:rPr>
          <w:rFonts w:ascii="Arial" w:hAnsi="Arial" w:cs="Arial"/>
          <w:sz w:val="20"/>
          <w:szCs w:val="20"/>
        </w:rPr>
        <w:t>Orientation</w:t>
      </w:r>
      <w:r w:rsidR="00177BE8" w:rsidRPr="00B1785B">
        <w:rPr>
          <w:rFonts w:ascii="Arial" w:hAnsi="Arial" w:cs="Arial"/>
          <w:sz w:val="20"/>
          <w:szCs w:val="20"/>
        </w:rPr>
        <w:t xml:space="preserve"> workshop</w:t>
      </w:r>
      <w:r w:rsidR="00F75A9A" w:rsidRPr="00B1785B">
        <w:rPr>
          <w:rFonts w:ascii="Arial" w:hAnsi="Arial" w:cs="Arial"/>
          <w:sz w:val="20"/>
          <w:szCs w:val="20"/>
        </w:rPr>
        <w:t>s</w:t>
      </w:r>
      <w:r w:rsidR="00177BE8" w:rsidRPr="00B1785B">
        <w:rPr>
          <w:rFonts w:ascii="Arial" w:hAnsi="Arial" w:cs="Arial"/>
          <w:sz w:val="20"/>
          <w:szCs w:val="20"/>
        </w:rPr>
        <w:t xml:space="preserve"> for elimination</w:t>
      </w:r>
      <w:r w:rsidR="00F75A9A" w:rsidRPr="00B1785B">
        <w:rPr>
          <w:rFonts w:ascii="Arial" w:hAnsi="Arial" w:cs="Arial"/>
          <w:sz w:val="20"/>
          <w:szCs w:val="20"/>
        </w:rPr>
        <w:t xml:space="preserve"> (upto Health Post level)</w:t>
      </w:r>
      <w:r w:rsidR="00177BE8" w:rsidRPr="00B1785B">
        <w:rPr>
          <w:rFonts w:ascii="Arial" w:hAnsi="Arial" w:cs="Arial"/>
          <w:sz w:val="20"/>
          <w:szCs w:val="20"/>
        </w:rPr>
        <w:t>;</w:t>
      </w:r>
      <w:r w:rsidR="004329F7" w:rsidRPr="00B1785B">
        <w:rPr>
          <w:rFonts w:ascii="Arial" w:hAnsi="Arial" w:cs="Arial"/>
          <w:sz w:val="20"/>
          <w:szCs w:val="20"/>
        </w:rPr>
        <w:t xml:space="preserve"> and</w:t>
      </w:r>
      <w:r w:rsidR="00177BE8" w:rsidRPr="00B1785B">
        <w:rPr>
          <w:rFonts w:ascii="Arial" w:hAnsi="Arial" w:cs="Arial"/>
          <w:sz w:val="20"/>
          <w:szCs w:val="20"/>
        </w:rPr>
        <w:t xml:space="preserve">, </w:t>
      </w:r>
      <w:r w:rsidR="00DD331B" w:rsidRPr="00B1785B">
        <w:rPr>
          <w:rFonts w:ascii="Arial" w:hAnsi="Arial" w:cs="Arial"/>
          <w:sz w:val="20"/>
          <w:szCs w:val="20"/>
        </w:rPr>
        <w:t>ToT</w:t>
      </w:r>
      <w:r w:rsidR="00105194" w:rsidRPr="00B1785B">
        <w:rPr>
          <w:rFonts w:ascii="Arial" w:hAnsi="Arial" w:cs="Arial"/>
          <w:sz w:val="20"/>
          <w:szCs w:val="20"/>
        </w:rPr>
        <w:t xml:space="preserve"> to support</w:t>
      </w:r>
      <w:r w:rsidR="004329F7" w:rsidRPr="00B1785B">
        <w:rPr>
          <w:rFonts w:ascii="Arial" w:hAnsi="Arial" w:cs="Arial"/>
          <w:sz w:val="20"/>
          <w:szCs w:val="20"/>
        </w:rPr>
        <w:t xml:space="preserve"> program</w:t>
      </w:r>
      <w:r w:rsidR="00105194" w:rsidRPr="00B1785B">
        <w:rPr>
          <w:rFonts w:ascii="Arial" w:hAnsi="Arial" w:cs="Arial"/>
          <w:sz w:val="20"/>
          <w:szCs w:val="20"/>
        </w:rPr>
        <w:t>me</w:t>
      </w:r>
      <w:r w:rsidR="004329F7" w:rsidRPr="00B1785B">
        <w:rPr>
          <w:rFonts w:ascii="Arial" w:hAnsi="Arial" w:cs="Arial"/>
          <w:sz w:val="20"/>
          <w:szCs w:val="20"/>
        </w:rPr>
        <w:t xml:space="preserve"> reorientation towards malaria elimination.</w:t>
      </w:r>
    </w:p>
    <w:p w:rsidR="00DD331B" w:rsidRPr="000F5A61" w:rsidRDefault="003E73B5" w:rsidP="00C86062">
      <w:pPr>
        <w:spacing w:after="120" w:line="240" w:lineRule="auto"/>
        <w:rPr>
          <w:rFonts w:ascii="Arial" w:hAnsi="Arial" w:cs="Arial"/>
          <w:sz w:val="20"/>
          <w:szCs w:val="20"/>
        </w:rPr>
      </w:pPr>
      <w:r w:rsidRPr="000F5A61">
        <w:rPr>
          <w:rFonts w:ascii="Arial" w:hAnsi="Arial" w:cs="Arial"/>
          <w:sz w:val="20"/>
          <w:szCs w:val="20"/>
          <w:u w:val="single"/>
        </w:rPr>
        <w:t>Human Resources</w:t>
      </w:r>
      <w:r w:rsidR="00181797" w:rsidRPr="000F5A61">
        <w:rPr>
          <w:rFonts w:ascii="Arial" w:hAnsi="Arial" w:cs="Arial"/>
          <w:sz w:val="20"/>
          <w:szCs w:val="20"/>
          <w:u w:val="single"/>
        </w:rPr>
        <w:t xml:space="preserve"> and infrastructure</w:t>
      </w:r>
      <w:r w:rsidRPr="000F5A61">
        <w:rPr>
          <w:rFonts w:ascii="Arial" w:hAnsi="Arial" w:cs="Arial"/>
          <w:sz w:val="20"/>
          <w:szCs w:val="20"/>
          <w:u w:val="single"/>
        </w:rPr>
        <w:t xml:space="preserve">. </w:t>
      </w:r>
      <w:r w:rsidRPr="000F5A61">
        <w:rPr>
          <w:rFonts w:ascii="Arial" w:hAnsi="Arial" w:cs="Arial"/>
          <w:sz w:val="20"/>
          <w:szCs w:val="20"/>
        </w:rPr>
        <w:t xml:space="preserve">Technical capacity within the Programme has declined in recent years due to a number of factors, including an ageing workforce, and limited opportunities for high-level training. The support provided by SCI has been critical to recent successes and must continue if elimination targets are to be achieved. </w:t>
      </w:r>
      <w:r w:rsidRPr="00B1785B">
        <w:rPr>
          <w:rFonts w:ascii="Arial" w:hAnsi="Arial" w:cs="Arial"/>
          <w:sz w:val="20"/>
          <w:szCs w:val="20"/>
        </w:rPr>
        <w:t>Requested funds will cover:</w:t>
      </w:r>
      <w:r w:rsidR="00181797" w:rsidRPr="00B1785B">
        <w:rPr>
          <w:rFonts w:ascii="Arial" w:hAnsi="Arial" w:cs="Arial"/>
          <w:sz w:val="20"/>
          <w:szCs w:val="20"/>
        </w:rPr>
        <w:t xml:space="preserve">PR staff </w:t>
      </w:r>
      <w:r w:rsidRPr="00B1785B">
        <w:rPr>
          <w:rFonts w:ascii="Arial" w:hAnsi="Arial" w:cs="Arial"/>
          <w:sz w:val="20"/>
          <w:szCs w:val="20"/>
        </w:rPr>
        <w:t xml:space="preserve">salaries, rent and overheads, TA from </w:t>
      </w:r>
      <w:r w:rsidR="00E05DCA" w:rsidRPr="00B1785B">
        <w:rPr>
          <w:rFonts w:ascii="Arial" w:hAnsi="Arial" w:cs="Arial"/>
          <w:sz w:val="20"/>
          <w:szCs w:val="20"/>
        </w:rPr>
        <w:t>head office</w:t>
      </w:r>
      <w:r w:rsidRPr="00B1785B">
        <w:rPr>
          <w:rFonts w:ascii="Arial" w:hAnsi="Arial" w:cs="Arial"/>
          <w:sz w:val="20"/>
          <w:szCs w:val="20"/>
        </w:rPr>
        <w:t xml:space="preserve">, </w:t>
      </w:r>
      <w:r w:rsidR="00312018" w:rsidRPr="00B1785B">
        <w:rPr>
          <w:rFonts w:ascii="Arial" w:hAnsi="Arial" w:cs="Arial"/>
          <w:sz w:val="20"/>
          <w:szCs w:val="20"/>
        </w:rPr>
        <w:t xml:space="preserve">other TA as required </w:t>
      </w:r>
      <w:r w:rsidRPr="00B1785B">
        <w:rPr>
          <w:rFonts w:ascii="Arial" w:hAnsi="Arial" w:cs="Arial"/>
          <w:sz w:val="20"/>
          <w:szCs w:val="20"/>
        </w:rPr>
        <w:t xml:space="preserve">and </w:t>
      </w:r>
      <w:r w:rsidR="00181797" w:rsidRPr="00B1785B">
        <w:rPr>
          <w:rFonts w:ascii="Arial" w:hAnsi="Arial" w:cs="Arial"/>
          <w:sz w:val="20"/>
          <w:szCs w:val="20"/>
        </w:rPr>
        <w:t>equipment</w:t>
      </w:r>
      <w:r w:rsidR="002A53B0" w:rsidRPr="00B1785B">
        <w:rPr>
          <w:rFonts w:ascii="Arial" w:hAnsi="Arial" w:cs="Arial"/>
          <w:sz w:val="20"/>
          <w:szCs w:val="20"/>
        </w:rPr>
        <w:t xml:space="preserve"> and </w:t>
      </w:r>
      <w:r w:rsidR="00181797" w:rsidRPr="00B1785B">
        <w:rPr>
          <w:rFonts w:ascii="Arial" w:hAnsi="Arial" w:cs="Arial"/>
          <w:sz w:val="20"/>
          <w:szCs w:val="20"/>
        </w:rPr>
        <w:t xml:space="preserve">furniture </w:t>
      </w:r>
      <w:r w:rsidRPr="00B1785B">
        <w:rPr>
          <w:rFonts w:ascii="Arial" w:hAnsi="Arial" w:cs="Arial"/>
          <w:sz w:val="20"/>
          <w:szCs w:val="20"/>
        </w:rPr>
        <w:t>for the PR.</w:t>
      </w:r>
      <w:r w:rsidR="00181797" w:rsidRPr="000F5A61">
        <w:rPr>
          <w:rFonts w:ascii="Arial" w:hAnsi="Arial" w:cs="Arial"/>
          <w:sz w:val="20"/>
          <w:szCs w:val="20"/>
        </w:rPr>
        <w:t>Funds are also requested for: Rent and overheads for EDCD at central, regional and district levels.</w:t>
      </w:r>
    </w:p>
    <w:p w:rsidR="008934F2" w:rsidRPr="00B1785B" w:rsidRDefault="003E73B5" w:rsidP="00C86062">
      <w:pPr>
        <w:spacing w:after="120" w:line="240" w:lineRule="auto"/>
        <w:rPr>
          <w:rFonts w:ascii="Arial" w:hAnsi="Arial" w:cs="Arial"/>
          <w:sz w:val="20"/>
          <w:szCs w:val="20"/>
        </w:rPr>
      </w:pPr>
      <w:r w:rsidRPr="000F5A61">
        <w:rPr>
          <w:rFonts w:ascii="Arial" w:hAnsi="Arial" w:cs="Arial"/>
          <w:sz w:val="20"/>
          <w:szCs w:val="20"/>
          <w:u w:val="single"/>
        </w:rPr>
        <w:t>Programmatic supervision and M&amp;E</w:t>
      </w:r>
      <w:r w:rsidRPr="000F5A61">
        <w:rPr>
          <w:rFonts w:ascii="Arial" w:hAnsi="Arial" w:cs="Arial"/>
          <w:b/>
          <w:sz w:val="20"/>
          <w:szCs w:val="20"/>
        </w:rPr>
        <w:t>.</w:t>
      </w:r>
      <w:r w:rsidR="008934F2" w:rsidRPr="000F5A61">
        <w:rPr>
          <w:rFonts w:ascii="Arial" w:hAnsi="Arial" w:cs="Arial"/>
          <w:sz w:val="20"/>
          <w:szCs w:val="20"/>
        </w:rPr>
        <w:t>The Programme will monitor progress and provide supportive supervision for public</w:t>
      </w:r>
      <w:r w:rsidR="00D17653" w:rsidRPr="000F5A61">
        <w:rPr>
          <w:rFonts w:ascii="Arial" w:hAnsi="Arial" w:cs="Arial"/>
          <w:sz w:val="20"/>
          <w:szCs w:val="20"/>
        </w:rPr>
        <w:t xml:space="preserve"> sector</w:t>
      </w:r>
      <w:r w:rsidR="008934F2" w:rsidRPr="000F5A61">
        <w:rPr>
          <w:rFonts w:ascii="Arial" w:hAnsi="Arial" w:cs="Arial"/>
          <w:sz w:val="20"/>
          <w:szCs w:val="20"/>
        </w:rPr>
        <w:t xml:space="preserve"> and </w:t>
      </w:r>
      <w:r w:rsidR="00D17653" w:rsidRPr="000F5A61">
        <w:rPr>
          <w:rFonts w:ascii="Arial" w:hAnsi="Arial" w:cs="Arial"/>
          <w:sz w:val="20"/>
          <w:szCs w:val="20"/>
        </w:rPr>
        <w:t>PS</w:t>
      </w:r>
      <w:r w:rsidR="008934F2" w:rsidRPr="000F5A61">
        <w:rPr>
          <w:rFonts w:ascii="Arial" w:hAnsi="Arial" w:cs="Arial"/>
          <w:sz w:val="20"/>
          <w:szCs w:val="20"/>
        </w:rPr>
        <w:t xml:space="preserve"> healthcare providers including volunteers.</w:t>
      </w:r>
      <w:r w:rsidR="008934F2" w:rsidRPr="00B1785B">
        <w:rPr>
          <w:rFonts w:ascii="Arial" w:hAnsi="Arial" w:cs="Arial"/>
          <w:sz w:val="20"/>
          <w:szCs w:val="20"/>
        </w:rPr>
        <w:t>Requested funds will cover</w:t>
      </w:r>
      <w:r w:rsidRPr="00B1785B">
        <w:rPr>
          <w:rFonts w:ascii="Arial" w:hAnsi="Arial" w:cs="Arial"/>
          <w:sz w:val="20"/>
          <w:szCs w:val="20"/>
        </w:rPr>
        <w:t>: Review meetings with regions, districts and central level staff</w:t>
      </w:r>
    </w:p>
    <w:p w:rsidR="002A53B0" w:rsidRPr="00B1785B" w:rsidRDefault="002A53B0" w:rsidP="002A53B0">
      <w:pPr>
        <w:spacing w:after="120" w:line="240" w:lineRule="auto"/>
        <w:rPr>
          <w:rFonts w:ascii="Arial" w:hAnsi="Arial" w:cs="Arial"/>
          <w:sz w:val="20"/>
          <w:szCs w:val="20"/>
        </w:rPr>
      </w:pPr>
      <w:r w:rsidRPr="000F5A61">
        <w:rPr>
          <w:rFonts w:ascii="Arial" w:hAnsi="Arial" w:cs="Arial"/>
          <w:i/>
          <w:sz w:val="20"/>
          <w:szCs w:val="20"/>
        </w:rPr>
        <w:t>Supporting procurement and supply management</w:t>
      </w:r>
      <w:r w:rsidRPr="000F5A61">
        <w:rPr>
          <w:rFonts w:ascii="Arial" w:hAnsi="Arial" w:cs="Arial"/>
          <w:sz w:val="20"/>
          <w:szCs w:val="20"/>
        </w:rPr>
        <w:t xml:space="preserve">. Requested funds will cover: </w:t>
      </w:r>
      <w:r w:rsidRPr="00B1785B">
        <w:rPr>
          <w:rFonts w:ascii="Arial" w:hAnsi="Arial" w:cs="Arial"/>
          <w:sz w:val="20"/>
          <w:szCs w:val="20"/>
        </w:rPr>
        <w:t>Logistic support and distribution costs.</w:t>
      </w:r>
    </w:p>
    <w:p w:rsidR="001A2BFC" w:rsidRPr="00B1785B" w:rsidRDefault="003E73B5" w:rsidP="00C86062">
      <w:pPr>
        <w:spacing w:after="120" w:line="240" w:lineRule="auto"/>
        <w:rPr>
          <w:rFonts w:ascii="Arial" w:hAnsi="Arial" w:cs="Arial"/>
          <w:sz w:val="20"/>
          <w:szCs w:val="20"/>
        </w:rPr>
      </w:pPr>
      <w:r w:rsidRPr="000F5A61">
        <w:rPr>
          <w:rFonts w:ascii="Arial" w:hAnsi="Arial" w:cs="Arial"/>
          <w:i/>
          <w:sz w:val="20"/>
          <w:szCs w:val="20"/>
        </w:rPr>
        <w:t>Grant management</w:t>
      </w:r>
      <w:r w:rsidRPr="000F5A61">
        <w:rPr>
          <w:rFonts w:ascii="Arial" w:hAnsi="Arial" w:cs="Arial"/>
          <w:sz w:val="20"/>
          <w:szCs w:val="20"/>
        </w:rPr>
        <w:t xml:space="preserve">. </w:t>
      </w:r>
      <w:r w:rsidR="001A2BFC" w:rsidRPr="000F5A61">
        <w:rPr>
          <w:rFonts w:ascii="Arial" w:hAnsi="Arial" w:cs="Arial"/>
          <w:sz w:val="20"/>
          <w:szCs w:val="20"/>
        </w:rPr>
        <w:t>Requested funds will cover</w:t>
      </w:r>
      <w:r w:rsidR="00031D97" w:rsidRPr="000F5A61">
        <w:rPr>
          <w:rFonts w:ascii="Arial" w:hAnsi="Arial" w:cs="Arial"/>
          <w:sz w:val="20"/>
          <w:szCs w:val="20"/>
        </w:rPr>
        <w:t>:</w:t>
      </w:r>
      <w:r w:rsidR="00031D97" w:rsidRPr="00B1785B">
        <w:rPr>
          <w:rFonts w:ascii="Arial" w:hAnsi="Arial" w:cs="Arial"/>
          <w:sz w:val="20"/>
          <w:szCs w:val="20"/>
        </w:rPr>
        <w:t>Annual grant audit for all IPs; and, G</w:t>
      </w:r>
      <w:r w:rsidR="001A2BFC" w:rsidRPr="00B1785B">
        <w:rPr>
          <w:rFonts w:ascii="Arial" w:hAnsi="Arial" w:cs="Arial"/>
          <w:sz w:val="20"/>
          <w:szCs w:val="20"/>
        </w:rPr>
        <w:t>rant management by the PR.</w:t>
      </w:r>
    </w:p>
    <w:p w:rsidR="005A5808" w:rsidRPr="000F5A61" w:rsidRDefault="005A5808" w:rsidP="00C86062">
      <w:pPr>
        <w:spacing w:after="120" w:line="240" w:lineRule="auto"/>
        <w:rPr>
          <w:rFonts w:ascii="Arial" w:hAnsi="Arial" w:cs="Arial"/>
          <w:bCs/>
          <w:sz w:val="20"/>
          <w:szCs w:val="20"/>
        </w:rPr>
      </w:pPr>
      <w:r w:rsidRPr="000F5A61">
        <w:rPr>
          <w:rFonts w:ascii="Arial" w:eastAsia="Calibri" w:hAnsi="Arial" w:cs="Arial"/>
          <w:sz w:val="20"/>
          <w:szCs w:val="20"/>
        </w:rPr>
        <w:t>b). While this ‘within allocation’ funding request addresses the key funding gaps reflected in the Funding Landscape Table, significant gaps still remain. Column ‘K’ in worksheet ‘Budget &amp; Workplan’ in the detailed NMSP budget workbook (‘</w:t>
      </w:r>
      <w:r w:rsidR="008B1AD7" w:rsidRPr="00B1785B">
        <w:rPr>
          <w:rFonts w:ascii="Arial" w:hAnsi="Arial" w:cs="Arial"/>
          <w:bCs/>
          <w:sz w:val="20"/>
          <w:szCs w:val="20"/>
        </w:rPr>
        <w:t>Budget for proposal GF – 20 Aug2017.xlsx’</w:t>
      </w:r>
      <w:r w:rsidR="00022340" w:rsidRPr="000F5A61">
        <w:rPr>
          <w:rFonts w:ascii="Arial" w:hAnsi="Arial" w:cs="Arial"/>
          <w:bCs/>
          <w:sz w:val="20"/>
          <w:szCs w:val="20"/>
        </w:rPr>
        <w:t xml:space="preserve"> - </w:t>
      </w:r>
      <w:r w:rsidRPr="000F5A61">
        <w:rPr>
          <w:rFonts w:ascii="Arial" w:hAnsi="Arial" w:cs="Arial"/>
          <w:bCs/>
          <w:sz w:val="20"/>
          <w:szCs w:val="20"/>
        </w:rPr>
        <w:t xml:space="preserve">Annex </w:t>
      </w:r>
      <w:r w:rsidR="008B1AD7" w:rsidRPr="000F5A61">
        <w:rPr>
          <w:rFonts w:ascii="Arial" w:hAnsi="Arial" w:cs="Arial"/>
          <w:bCs/>
          <w:sz w:val="20"/>
          <w:szCs w:val="20"/>
        </w:rPr>
        <w:t>11</w:t>
      </w:r>
      <w:r w:rsidRPr="000F5A61">
        <w:rPr>
          <w:rFonts w:ascii="Arial" w:hAnsi="Arial" w:cs="Arial"/>
          <w:bCs/>
          <w:sz w:val="20"/>
          <w:szCs w:val="20"/>
        </w:rPr>
        <w:t xml:space="preserve">) </w:t>
      </w:r>
      <w:r w:rsidRPr="000F5A61">
        <w:rPr>
          <w:rFonts w:ascii="Arial" w:eastAsia="Calibri" w:hAnsi="Arial" w:cs="Arial"/>
          <w:sz w:val="20"/>
          <w:szCs w:val="20"/>
        </w:rPr>
        <w:t>identifies specific gaps at activity level. All of these are included in the ‘</w:t>
      </w:r>
      <w:r w:rsidR="00F75A9A" w:rsidRPr="000F5A61">
        <w:rPr>
          <w:rFonts w:ascii="Arial" w:eastAsia="Calibri" w:hAnsi="Arial" w:cs="Arial"/>
          <w:sz w:val="20"/>
          <w:szCs w:val="20"/>
        </w:rPr>
        <w:t xml:space="preserve">prioritized </w:t>
      </w:r>
      <w:r w:rsidRPr="000F5A61">
        <w:rPr>
          <w:rFonts w:ascii="Arial" w:eastAsia="Calibri" w:hAnsi="Arial" w:cs="Arial"/>
          <w:sz w:val="20"/>
          <w:szCs w:val="20"/>
        </w:rPr>
        <w:t>above allocationrequest</w:t>
      </w:r>
      <w:r w:rsidR="00F75A9A" w:rsidRPr="000F5A61">
        <w:rPr>
          <w:rFonts w:ascii="Arial" w:eastAsia="Calibri" w:hAnsi="Arial" w:cs="Arial"/>
          <w:sz w:val="20"/>
          <w:szCs w:val="20"/>
        </w:rPr>
        <w:t>’ (PAAR)</w:t>
      </w:r>
      <w:r w:rsidRPr="000F5A61">
        <w:rPr>
          <w:rFonts w:ascii="Arial" w:eastAsia="Calibri" w:hAnsi="Arial" w:cs="Arial"/>
          <w:sz w:val="20"/>
          <w:szCs w:val="20"/>
        </w:rPr>
        <w:t xml:space="preserve">. </w:t>
      </w:r>
      <w:r w:rsidR="004F3470" w:rsidRPr="000F5A61">
        <w:rPr>
          <w:rFonts w:ascii="Arial" w:eastAsia="Calibri" w:hAnsi="Arial" w:cs="Arial"/>
          <w:sz w:val="20"/>
          <w:szCs w:val="20"/>
        </w:rPr>
        <w:t xml:space="preserve">In case GFATM is unable to support the full PAAR, </w:t>
      </w:r>
      <w:r w:rsidRPr="000F5A61">
        <w:rPr>
          <w:rFonts w:ascii="Arial" w:hAnsi="Arial" w:cs="Arial"/>
          <w:bCs/>
          <w:sz w:val="20"/>
          <w:szCs w:val="20"/>
        </w:rPr>
        <w:t xml:space="preserve">GoN will lobby potential funding partners for support to fill all funding gaps and will approach </w:t>
      </w:r>
      <w:r w:rsidR="00D17653" w:rsidRPr="000F5A61">
        <w:rPr>
          <w:rFonts w:ascii="Arial" w:hAnsi="Arial" w:cs="Arial"/>
          <w:bCs/>
          <w:sz w:val="20"/>
          <w:szCs w:val="20"/>
        </w:rPr>
        <w:t>PS</w:t>
      </w:r>
      <w:r w:rsidRPr="000F5A61">
        <w:rPr>
          <w:rFonts w:ascii="Arial" w:hAnsi="Arial" w:cs="Arial"/>
          <w:bCs/>
          <w:sz w:val="20"/>
          <w:szCs w:val="20"/>
        </w:rPr>
        <w:t xml:space="preserve"> stakeholders to encourage investments. NMP partners will also apply for additional funding as opportunities arise. </w:t>
      </w:r>
    </w:p>
    <w:p w:rsidR="00042DCA" w:rsidRPr="000F5A61" w:rsidRDefault="00042DCA">
      <w:pPr>
        <w:rPr>
          <w:rFonts w:ascii="Arial" w:hAnsi="Arial" w:cs="Arial"/>
          <w:sz w:val="20"/>
          <w:szCs w:val="20"/>
        </w:rPr>
      </w:pPr>
      <w:r w:rsidRPr="000F5A61">
        <w:rPr>
          <w:rFonts w:ascii="Arial" w:hAnsi="Arial" w:cs="Arial"/>
          <w:sz w:val="20"/>
          <w:szCs w:val="20"/>
        </w:rPr>
        <w:br w:type="page"/>
      </w:r>
    </w:p>
    <w:tbl>
      <w:tblPr>
        <w:tblW w:w="0" w:type="auto"/>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A0"/>
      </w:tblPr>
      <w:tblGrid>
        <w:gridCol w:w="6975"/>
        <w:gridCol w:w="1957"/>
      </w:tblGrid>
      <w:tr w:rsidR="00042DCA" w:rsidRPr="000F5A61" w:rsidTr="00FE411C">
        <w:trPr>
          <w:trHeight w:val="274"/>
        </w:trPr>
        <w:tc>
          <w:tcPr>
            <w:tcW w:w="8932" w:type="dxa"/>
            <w:gridSpan w:val="2"/>
            <w:shd w:val="clear" w:color="auto" w:fill="C6D9F1"/>
          </w:tcPr>
          <w:p w:rsidR="00042DCA" w:rsidRPr="000F5A61" w:rsidRDefault="00042DCA" w:rsidP="00042DCA">
            <w:pPr>
              <w:spacing w:before="120" w:after="120" w:line="240" w:lineRule="auto"/>
              <w:jc w:val="both"/>
              <w:rPr>
                <w:rFonts w:ascii="Arial" w:eastAsia="Calibri" w:hAnsi="Arial" w:cs="Arial"/>
                <w:b/>
                <w:bCs/>
                <w:sz w:val="20"/>
                <w:szCs w:val="20"/>
                <w:lang w:val="en-US"/>
              </w:rPr>
            </w:pPr>
            <w:r w:rsidRPr="000F5A61">
              <w:rPr>
                <w:rFonts w:ascii="Arial" w:eastAsia="Calibri" w:hAnsi="Arial" w:cs="Arial"/>
                <w:b/>
                <w:bCs/>
                <w:sz w:val="20"/>
                <w:szCs w:val="20"/>
                <w:lang w:val="en-US"/>
              </w:rPr>
              <w:lastRenderedPageBreak/>
              <w:t>2.2 RSSH funding request</w:t>
            </w:r>
          </w:p>
        </w:tc>
      </w:tr>
      <w:tr w:rsidR="00042DCA" w:rsidRPr="000F5A61" w:rsidTr="00FE411C">
        <w:trPr>
          <w:trHeight w:val="274"/>
        </w:trPr>
        <w:tc>
          <w:tcPr>
            <w:tcW w:w="8932" w:type="dxa"/>
            <w:gridSpan w:val="2"/>
            <w:shd w:val="clear" w:color="auto" w:fill="F2F2F2" w:themeFill="background1" w:themeFillShade="F2"/>
          </w:tcPr>
          <w:p w:rsidR="00042DCA" w:rsidRPr="000F5A61" w:rsidRDefault="00005E61" w:rsidP="00A00AE8">
            <w:pPr>
              <w:spacing w:before="120" w:after="120" w:line="240" w:lineRule="auto"/>
              <w:jc w:val="both"/>
              <w:rPr>
                <w:rFonts w:ascii="Arial" w:eastAsia="Calibri" w:hAnsi="Arial" w:cs="Arial"/>
                <w:bCs/>
                <w:sz w:val="20"/>
                <w:szCs w:val="20"/>
                <w:lang w:val="en-US"/>
              </w:rPr>
            </w:pPr>
            <w:r w:rsidRPr="000F5A61">
              <w:rPr>
                <w:rFonts w:ascii="Arial" w:eastAsia="Calibri" w:hAnsi="Arial" w:cs="Arial"/>
                <w:bCs/>
                <w:sz w:val="20"/>
                <w:szCs w:val="20"/>
                <w:lang w:val="en-US"/>
              </w:rPr>
              <w:t>The Global Fund strongly encourages funding requests for RSSH investments</w:t>
            </w:r>
            <w:r w:rsidR="00931EBA" w:rsidRPr="000F5A61">
              <w:rPr>
                <w:rFonts w:ascii="Arial" w:eastAsia="Calibri" w:hAnsi="Arial" w:cs="Arial"/>
                <w:bCs/>
                <w:sz w:val="20"/>
                <w:szCs w:val="20"/>
                <w:lang w:val="en-US"/>
              </w:rPr>
              <w:t xml:space="preserve"> to be submitted</w:t>
            </w:r>
            <w:r w:rsidR="00977EA5" w:rsidRPr="000F5A61">
              <w:rPr>
                <w:rFonts w:ascii="Arial" w:eastAsia="Calibri" w:hAnsi="Arial" w:cs="Arial"/>
                <w:bCs/>
                <w:sz w:val="20"/>
                <w:szCs w:val="20"/>
                <w:lang w:val="en-US"/>
              </w:rPr>
              <w:t>with</w:t>
            </w:r>
            <w:r w:rsidRPr="000F5A61">
              <w:rPr>
                <w:rFonts w:ascii="Arial" w:eastAsia="Calibri" w:hAnsi="Arial" w:cs="Arial"/>
                <w:bCs/>
                <w:sz w:val="20"/>
                <w:szCs w:val="20"/>
                <w:lang w:val="en-US"/>
              </w:rPr>
              <w:t>in</w:t>
            </w:r>
            <w:r w:rsidR="00977EA5" w:rsidRPr="000F5A61">
              <w:rPr>
                <w:rFonts w:ascii="Arial" w:eastAsia="Calibri" w:hAnsi="Arial" w:cs="Arial"/>
                <w:bCs/>
                <w:sz w:val="20"/>
                <w:szCs w:val="20"/>
                <w:lang w:val="en-US"/>
              </w:rPr>
              <w:t xml:space="preserve"> a</w:t>
            </w:r>
            <w:r w:rsidR="00977EA5" w:rsidRPr="000F5A61">
              <w:rPr>
                <w:rFonts w:ascii="Arial" w:eastAsia="Calibri" w:hAnsi="Arial" w:cs="Arial"/>
                <w:b/>
                <w:bCs/>
                <w:i/>
                <w:sz w:val="20"/>
                <w:szCs w:val="20"/>
                <w:lang w:val="en-US"/>
              </w:rPr>
              <w:t>single</w:t>
            </w:r>
            <w:r w:rsidRPr="000F5A61">
              <w:rPr>
                <w:rFonts w:ascii="Arial" w:eastAsia="Calibri" w:hAnsi="Arial" w:cs="Arial"/>
                <w:bCs/>
                <w:sz w:val="20"/>
                <w:szCs w:val="20"/>
                <w:lang w:val="en-US"/>
              </w:rPr>
              <w:t>application</w:t>
            </w:r>
            <w:r w:rsidR="00931EBA" w:rsidRPr="000F5A61">
              <w:rPr>
                <w:rFonts w:ascii="Arial" w:eastAsia="Calibri" w:hAnsi="Arial" w:cs="Arial"/>
                <w:bCs/>
                <w:sz w:val="20"/>
                <w:szCs w:val="20"/>
                <w:lang w:val="en-US"/>
              </w:rPr>
              <w:t xml:space="preserve">, and preferably </w:t>
            </w:r>
            <w:r w:rsidR="00EF5244" w:rsidRPr="000F5A61">
              <w:rPr>
                <w:rFonts w:ascii="Arial" w:eastAsia="Calibri" w:hAnsi="Arial" w:cs="Arial"/>
                <w:bCs/>
                <w:sz w:val="20"/>
                <w:szCs w:val="20"/>
                <w:lang w:val="en-US"/>
              </w:rPr>
              <w:t xml:space="preserve">to be </w:t>
            </w:r>
            <w:r w:rsidR="00931EBA" w:rsidRPr="000F5A61">
              <w:rPr>
                <w:rFonts w:ascii="Arial" w:eastAsia="Calibri" w:hAnsi="Arial" w:cs="Arial"/>
                <w:bCs/>
                <w:sz w:val="20"/>
                <w:szCs w:val="20"/>
                <w:lang w:val="en-US"/>
              </w:rPr>
              <w:t xml:space="preserve">requested in the first submission. </w:t>
            </w:r>
          </w:p>
        </w:tc>
      </w:tr>
      <w:tr w:rsidR="00042DCA" w:rsidRPr="000F5A61" w:rsidTr="00FE411C">
        <w:trPr>
          <w:trHeight w:val="274"/>
        </w:trPr>
        <w:tc>
          <w:tcPr>
            <w:tcW w:w="6975" w:type="dxa"/>
            <w:shd w:val="clear" w:color="auto" w:fill="F2F2F2" w:themeFill="background1" w:themeFillShade="F2"/>
          </w:tcPr>
          <w:p w:rsidR="00042DCA" w:rsidRPr="000F5A61" w:rsidRDefault="00042DCA" w:rsidP="00A5131D">
            <w:pPr>
              <w:spacing w:before="120" w:after="120" w:line="240" w:lineRule="auto"/>
              <w:jc w:val="both"/>
              <w:rPr>
                <w:rFonts w:ascii="Arial" w:eastAsia="Calibri" w:hAnsi="Arial" w:cs="Arial"/>
                <w:b/>
                <w:bCs/>
                <w:sz w:val="20"/>
                <w:szCs w:val="20"/>
                <w:lang w:val="en-US"/>
              </w:rPr>
            </w:pPr>
            <w:r w:rsidRPr="000F5A61">
              <w:rPr>
                <w:rFonts w:ascii="Arial" w:eastAsia="Calibri" w:hAnsi="Arial" w:cs="Arial"/>
                <w:b/>
                <w:bCs/>
                <w:sz w:val="20"/>
                <w:szCs w:val="20"/>
                <w:lang w:val="en-US"/>
              </w:rPr>
              <w:t xml:space="preserve">Does this funding request include </w:t>
            </w:r>
            <w:r w:rsidR="00A5131D" w:rsidRPr="000F5A61">
              <w:rPr>
                <w:rFonts w:ascii="Arial" w:eastAsia="Calibri" w:hAnsi="Arial" w:cs="Arial"/>
                <w:b/>
                <w:bCs/>
                <w:sz w:val="20"/>
                <w:szCs w:val="20"/>
                <w:lang w:val="en-US"/>
              </w:rPr>
              <w:t xml:space="preserve">an </w:t>
            </w:r>
            <w:r w:rsidRPr="000F5A61">
              <w:rPr>
                <w:rFonts w:ascii="Arial" w:eastAsia="Calibri" w:hAnsi="Arial" w:cs="Arial"/>
                <w:b/>
                <w:bCs/>
                <w:sz w:val="20"/>
                <w:szCs w:val="20"/>
                <w:lang w:val="en-US"/>
              </w:rPr>
              <w:t>RSSH component?</w:t>
            </w:r>
          </w:p>
        </w:tc>
        <w:tc>
          <w:tcPr>
            <w:tcW w:w="1957" w:type="dxa"/>
            <w:shd w:val="clear" w:color="auto" w:fill="FFFFFF"/>
          </w:tcPr>
          <w:p w:rsidR="00042DCA" w:rsidRPr="000F5A61" w:rsidRDefault="00CF454C" w:rsidP="00042DCA">
            <w:pPr>
              <w:spacing w:before="120" w:after="120" w:line="240" w:lineRule="auto"/>
              <w:jc w:val="both"/>
              <w:rPr>
                <w:rFonts w:ascii="Arial" w:eastAsia="Calibri" w:hAnsi="Arial" w:cs="Arial"/>
                <w:b/>
                <w:bCs/>
                <w:sz w:val="20"/>
                <w:szCs w:val="20"/>
                <w:lang w:val="en-US"/>
              </w:rPr>
            </w:pPr>
            <w:r w:rsidRPr="000F5A61">
              <w:rPr>
                <w:rFonts w:ascii="Arial" w:eastAsia="Calibri" w:hAnsi="Arial" w:cs="Arial"/>
                <w:b/>
                <w:bCs/>
                <w:iCs/>
                <w:sz w:val="20"/>
                <w:szCs w:val="20"/>
                <w:lang w:val="en-US"/>
              </w:rPr>
              <w:t>X</w:t>
            </w:r>
            <w:r w:rsidR="00042DCA" w:rsidRPr="000F5A61">
              <w:rPr>
                <w:rFonts w:ascii="Arial" w:eastAsia="Calibri" w:hAnsi="Arial" w:cs="Arial"/>
                <w:b/>
                <w:bCs/>
                <w:iCs/>
                <w:sz w:val="20"/>
                <w:szCs w:val="20"/>
                <w:lang w:val="en-US"/>
              </w:rPr>
              <w:t>Yes</w:t>
            </w:r>
            <w:sdt>
              <w:sdtPr>
                <w:rPr>
                  <w:rFonts w:ascii="Arial" w:eastAsia="Calibri" w:hAnsi="Arial" w:cs="Arial"/>
                  <w:bCs/>
                  <w:iCs/>
                  <w:sz w:val="20"/>
                  <w:szCs w:val="20"/>
                  <w:lang w:val="en-US"/>
                </w:rPr>
                <w:id w:val="-254750880"/>
              </w:sdtPr>
              <w:sdtContent>
                <w:r w:rsidR="00042DCA" w:rsidRPr="000F5A61">
                  <w:rPr>
                    <w:rFonts w:ascii="Arial" w:eastAsia="Calibri" w:hAnsi="Arial" w:cs="Arial"/>
                    <w:bCs/>
                    <w:iCs/>
                    <w:sz w:val="20"/>
                    <w:szCs w:val="20"/>
                    <w:lang w:val="en-US"/>
                  </w:rPr>
                  <w:t>☐</w:t>
                </w:r>
              </w:sdtContent>
            </w:sdt>
            <w:r w:rsidR="00042DCA" w:rsidRPr="000F5A61">
              <w:rPr>
                <w:rFonts w:ascii="Arial" w:eastAsia="Calibri" w:hAnsi="Arial" w:cs="Arial"/>
                <w:bCs/>
                <w:iCs/>
                <w:sz w:val="20"/>
                <w:szCs w:val="20"/>
                <w:lang w:val="en-US"/>
              </w:rPr>
              <w:t xml:space="preserve"> No</w:t>
            </w:r>
          </w:p>
        </w:tc>
      </w:tr>
      <w:tr w:rsidR="00042DCA" w:rsidRPr="000F5A61" w:rsidTr="00FE411C">
        <w:trPr>
          <w:trHeight w:val="2818"/>
        </w:trPr>
        <w:tc>
          <w:tcPr>
            <w:tcW w:w="8932" w:type="dxa"/>
            <w:gridSpan w:val="2"/>
            <w:shd w:val="clear" w:color="auto" w:fill="F2F2F2" w:themeFill="background1" w:themeFillShade="F2"/>
            <w:vAlign w:val="center"/>
          </w:tcPr>
          <w:p w:rsidR="0011786E" w:rsidRPr="000F5A61" w:rsidRDefault="00042DCA" w:rsidP="00F57EBD">
            <w:pPr>
              <w:spacing w:line="276" w:lineRule="auto"/>
              <w:rPr>
                <w:rFonts w:ascii="Arial" w:eastAsia="Calibri" w:hAnsi="Arial" w:cs="Arial"/>
                <w:sz w:val="20"/>
                <w:szCs w:val="20"/>
                <w:lang w:val="en-US"/>
              </w:rPr>
            </w:pPr>
            <w:r w:rsidRPr="000F5A61">
              <w:rPr>
                <w:rFonts w:ascii="Arial" w:eastAsia="Calibri" w:hAnsi="Arial" w:cs="Arial"/>
                <w:b/>
                <w:sz w:val="20"/>
                <w:szCs w:val="20"/>
                <w:lang w:val="en-US"/>
              </w:rPr>
              <w:t>If yes</w:t>
            </w:r>
            <w:r w:rsidRPr="000F5A61">
              <w:rPr>
                <w:rFonts w:ascii="Arial" w:eastAsia="Calibri" w:hAnsi="Arial" w:cs="Arial"/>
                <w:sz w:val="20"/>
                <w:szCs w:val="20"/>
                <w:lang w:val="en-US"/>
              </w:rPr>
              <w:t xml:space="preserve">, </w:t>
            </w:r>
            <w:r w:rsidR="00DD5B65" w:rsidRPr="000F5A61">
              <w:rPr>
                <w:rFonts w:ascii="Arial" w:eastAsia="Calibri" w:hAnsi="Arial" w:cs="Arial"/>
                <w:sz w:val="20"/>
                <w:szCs w:val="20"/>
                <w:lang w:val="en-US"/>
              </w:rPr>
              <w:t xml:space="preserve">describe the request </w:t>
            </w:r>
            <w:r w:rsidR="008718A5" w:rsidRPr="000F5A61">
              <w:rPr>
                <w:rFonts w:ascii="Arial" w:eastAsia="Calibri" w:hAnsi="Arial" w:cs="Arial"/>
                <w:sz w:val="20"/>
                <w:szCs w:val="20"/>
                <w:lang w:val="en-US"/>
              </w:rPr>
              <w:t xml:space="preserve">below </w:t>
            </w:r>
            <w:r w:rsidR="00DD5B65" w:rsidRPr="000F5A61">
              <w:rPr>
                <w:rFonts w:ascii="Arial" w:eastAsia="Calibri" w:hAnsi="Arial" w:cs="Arial"/>
                <w:sz w:val="20"/>
                <w:szCs w:val="20"/>
                <w:lang w:val="en-US"/>
              </w:rPr>
              <w:t>and how it is strategically targeted</w:t>
            </w:r>
            <w:r w:rsidR="00931EBA" w:rsidRPr="000F5A61">
              <w:rPr>
                <w:rFonts w:ascii="Arial" w:eastAsia="Calibri" w:hAnsi="Arial" w:cs="Arial"/>
                <w:sz w:val="20"/>
                <w:szCs w:val="20"/>
                <w:lang w:val="en-US"/>
              </w:rPr>
              <w:t>.</w:t>
            </w:r>
          </w:p>
          <w:p w:rsidR="00F57EBD" w:rsidRPr="000F5A61" w:rsidRDefault="00F57EBD" w:rsidP="00A00AE8">
            <w:pPr>
              <w:spacing w:line="276" w:lineRule="auto"/>
              <w:jc w:val="both"/>
              <w:rPr>
                <w:rFonts w:ascii="Arial" w:eastAsia="Calibri" w:hAnsi="Arial" w:cs="Arial"/>
                <w:sz w:val="20"/>
                <w:szCs w:val="20"/>
                <w:lang w:val="en-US"/>
              </w:rPr>
            </w:pPr>
            <w:r w:rsidRPr="000F5A61">
              <w:rPr>
                <w:rFonts w:ascii="Arial" w:eastAsia="Calibri" w:hAnsi="Arial" w:cs="Arial"/>
                <w:sz w:val="20"/>
                <w:szCs w:val="20"/>
                <w:lang w:val="en-US"/>
              </w:rPr>
              <w:t>Referring to the national health strategy, gaps and lessons learned outlined in the previous section, describe the funding request for RSSH and how the investment is strategically targeted to strengthen systems for health and achieve greater impact on the diseases. In your explanation, refer to the Funding Landscape Table on ‘government health spending’, Performance Framework and Budget as appropriate. Note that it is optional to complete a Programmatic Gap Table for RSSH.</w:t>
            </w:r>
          </w:p>
          <w:p w:rsidR="00042DCA" w:rsidRPr="000F5A61" w:rsidRDefault="001631BD" w:rsidP="00F57EBD">
            <w:pPr>
              <w:spacing w:before="240" w:after="0" w:line="276" w:lineRule="auto"/>
              <w:rPr>
                <w:rFonts w:ascii="Arial" w:eastAsia="Calibri" w:hAnsi="Arial" w:cs="Arial"/>
                <w:b/>
                <w:sz w:val="20"/>
                <w:szCs w:val="20"/>
                <w:lang w:val="en-US"/>
              </w:rPr>
            </w:pPr>
            <w:r w:rsidRPr="000F5A61">
              <w:rPr>
                <w:rFonts w:ascii="Arial" w:eastAsia="Calibri" w:hAnsi="Arial" w:cs="Arial"/>
                <w:b/>
                <w:sz w:val="20"/>
                <w:szCs w:val="20"/>
                <w:lang w:val="en-US"/>
              </w:rPr>
              <w:t>(maximum</w:t>
            </w:r>
            <w:r w:rsidR="00C43F4F" w:rsidRPr="000F5A61">
              <w:rPr>
                <w:rFonts w:ascii="Arial" w:eastAsia="Calibri" w:hAnsi="Arial" w:cs="Arial"/>
                <w:b/>
                <w:sz w:val="20"/>
                <w:szCs w:val="20"/>
                <w:lang w:val="en-US"/>
              </w:rPr>
              <w:t xml:space="preserve"> 3</w:t>
            </w:r>
            <w:r w:rsidR="00042DCA" w:rsidRPr="000F5A61">
              <w:rPr>
                <w:rFonts w:ascii="Arial" w:eastAsia="Calibri" w:hAnsi="Arial" w:cs="Arial"/>
                <w:b/>
                <w:sz w:val="20"/>
                <w:szCs w:val="20"/>
                <w:lang w:val="en-US"/>
              </w:rPr>
              <w:t xml:space="preserve"> pages)</w:t>
            </w:r>
          </w:p>
        </w:tc>
      </w:tr>
    </w:tbl>
    <w:p w:rsidR="0045292A" w:rsidRPr="000F5A61" w:rsidRDefault="00CF454C" w:rsidP="00CF454C">
      <w:pPr>
        <w:spacing w:after="120" w:line="240" w:lineRule="auto"/>
        <w:rPr>
          <w:rFonts w:ascii="Arial" w:hAnsi="Arial" w:cs="Arial"/>
          <w:i/>
          <w:sz w:val="20"/>
          <w:szCs w:val="20"/>
        </w:rPr>
      </w:pPr>
      <w:r w:rsidRPr="000F5A61">
        <w:rPr>
          <w:rFonts w:ascii="Arial" w:hAnsi="Arial" w:cs="Arial"/>
          <w:b/>
          <w:sz w:val="20"/>
          <w:szCs w:val="20"/>
        </w:rPr>
        <w:t>Module 3. Health information systems and M&amp;E</w:t>
      </w:r>
      <w:r w:rsidR="0045292A" w:rsidRPr="000F5A61">
        <w:rPr>
          <w:rFonts w:ascii="Arial" w:hAnsi="Arial" w:cs="Arial"/>
          <w:i/>
          <w:sz w:val="20"/>
          <w:szCs w:val="20"/>
        </w:rPr>
        <w:t>(continued from section 2.1)</w:t>
      </w:r>
      <w:r w:rsidRPr="000F5A61">
        <w:rPr>
          <w:rFonts w:ascii="Arial" w:hAnsi="Arial" w:cs="Arial"/>
          <w:i/>
          <w:sz w:val="20"/>
          <w:szCs w:val="20"/>
        </w:rPr>
        <w:t xml:space="preserve">. </w:t>
      </w:r>
    </w:p>
    <w:p w:rsidR="00694851" w:rsidRPr="000F5A61" w:rsidRDefault="00694851" w:rsidP="00983C43">
      <w:pPr>
        <w:spacing w:after="120"/>
        <w:rPr>
          <w:rFonts w:ascii="Arial" w:hAnsi="Arial" w:cs="Arial"/>
          <w:sz w:val="20"/>
          <w:szCs w:val="20"/>
        </w:rPr>
      </w:pPr>
      <w:r w:rsidRPr="000F5A61">
        <w:rPr>
          <w:rFonts w:ascii="Arial" w:hAnsi="Arial" w:cs="Arial"/>
          <w:sz w:val="20"/>
          <w:szCs w:val="20"/>
        </w:rPr>
        <w:t>I</w:t>
      </w:r>
      <w:r w:rsidRPr="000F5A61">
        <w:rPr>
          <w:rFonts w:ascii="Arial" w:hAnsi="Arial" w:cs="Arial"/>
          <w:sz w:val="20"/>
          <w:szCs w:val="20"/>
          <w:lang w:val="en-US"/>
        </w:rPr>
        <w:t xml:space="preserve">n-line with guidance from the </w:t>
      </w:r>
      <w:r w:rsidRPr="000F5A61">
        <w:rPr>
          <w:rFonts w:ascii="Arial" w:hAnsi="Arial" w:cs="Arial"/>
          <w:b/>
          <w:sz w:val="20"/>
          <w:szCs w:val="20"/>
        </w:rPr>
        <w:t>‘</w:t>
      </w:r>
      <w:r w:rsidRPr="000F5A61">
        <w:rPr>
          <w:rFonts w:ascii="Arial" w:hAnsi="Arial" w:cs="Arial"/>
          <w:sz w:val="20"/>
          <w:szCs w:val="20"/>
        </w:rPr>
        <w:t>Strategy for Malaria Elimination in the South East Asia Region (2016–2030)’</w:t>
      </w:r>
      <w:r w:rsidRPr="000F5A61">
        <w:rPr>
          <w:rFonts w:ascii="Arial" w:hAnsi="Arial" w:cs="Arial"/>
          <w:sz w:val="20"/>
          <w:szCs w:val="20"/>
          <w:lang w:val="en-US"/>
        </w:rPr>
        <w:t xml:space="preserve">, malaria related surveillance and response mechanisms will be integrated into the broader health sector approach. </w:t>
      </w:r>
    </w:p>
    <w:p w:rsidR="00CF454C" w:rsidRPr="000F5A61" w:rsidRDefault="00CF454C" w:rsidP="0011240B">
      <w:pPr>
        <w:spacing w:after="120"/>
        <w:rPr>
          <w:rFonts w:ascii="Arial" w:hAnsi="Arial" w:cs="Arial"/>
          <w:kern w:val="24"/>
          <w:sz w:val="20"/>
          <w:szCs w:val="20"/>
        </w:rPr>
      </w:pPr>
      <w:r w:rsidRPr="000F5A61">
        <w:rPr>
          <w:rFonts w:ascii="Arial" w:hAnsi="Arial" w:cs="Arial"/>
          <w:sz w:val="20"/>
          <w:szCs w:val="20"/>
        </w:rPr>
        <w:t xml:space="preserve">The recently launched MDIS currently focuses on public sector healthcare facilities in GFATM target Districts.  It will be strengthened and its scope and geographical coverage will be expanded to cover all healthcare service providers (including the military and police, and those in the PS) throughout the country by 2018. The system will support real-time case-based reporting, case investigation, focus investigation and focus response. </w:t>
      </w:r>
    </w:p>
    <w:p w:rsidR="00694851" w:rsidRPr="000F5A61" w:rsidRDefault="00694851" w:rsidP="00694851">
      <w:pPr>
        <w:spacing w:after="120"/>
        <w:rPr>
          <w:rFonts w:ascii="Arial" w:hAnsi="Arial" w:cs="Arial"/>
          <w:kern w:val="24"/>
          <w:sz w:val="20"/>
          <w:szCs w:val="20"/>
        </w:rPr>
      </w:pPr>
      <w:r w:rsidRPr="000F5A61">
        <w:rPr>
          <w:rFonts w:ascii="Arial" w:hAnsi="Arial" w:cs="Arial"/>
          <w:sz w:val="20"/>
          <w:szCs w:val="20"/>
        </w:rPr>
        <w:t xml:space="preserve">In target districts the Programme has adopted a learning-by-doing approach. A case-based surveillance and response system has already been initiated but this system requires some refinement. Once current issues have been addressed it will be upgraded to include GIS down to household level. After that it will be expanded to cover all remaining districts. </w:t>
      </w:r>
    </w:p>
    <w:p w:rsidR="00042DCA" w:rsidRPr="00B1785B" w:rsidRDefault="00CF454C" w:rsidP="00042DCA">
      <w:pPr>
        <w:spacing w:before="240"/>
        <w:rPr>
          <w:rFonts w:ascii="Arial" w:hAnsi="Arial" w:cs="Arial"/>
          <w:sz w:val="20"/>
          <w:szCs w:val="20"/>
          <w:lang w:val="en-US"/>
        </w:rPr>
      </w:pPr>
      <w:r w:rsidRPr="000F5A61">
        <w:rPr>
          <w:rFonts w:ascii="Arial" w:hAnsi="Arial" w:cs="Arial"/>
          <w:i/>
          <w:sz w:val="20"/>
          <w:szCs w:val="20"/>
        </w:rPr>
        <w:t>Routine reporting</w:t>
      </w:r>
      <w:r w:rsidRPr="000F5A61">
        <w:rPr>
          <w:rFonts w:ascii="Arial" w:hAnsi="Arial" w:cs="Arial"/>
          <w:sz w:val="20"/>
          <w:szCs w:val="20"/>
        </w:rPr>
        <w:t xml:space="preserve">. Forms and registers will be standardized and linkages will be built into related documents where appropriate. </w:t>
      </w:r>
      <w:r w:rsidRPr="000F5A61">
        <w:rPr>
          <w:rFonts w:ascii="Arial" w:hAnsi="Arial" w:cs="Arial"/>
          <w:sz w:val="20"/>
          <w:szCs w:val="20"/>
          <w:lang w:val="en-US"/>
        </w:rPr>
        <w:t xml:space="preserve">More emphasis will be placed on data </w:t>
      </w:r>
      <w:r w:rsidRPr="000F5A61">
        <w:rPr>
          <w:rFonts w:ascii="Arial" w:hAnsi="Arial" w:cs="Arial"/>
          <w:sz w:val="20"/>
          <w:szCs w:val="20"/>
        </w:rPr>
        <w:t xml:space="preserve">analysis and interpretation at central level, and </w:t>
      </w:r>
      <w:r w:rsidRPr="000F5A61">
        <w:rPr>
          <w:rFonts w:ascii="Arial" w:hAnsi="Arial" w:cs="Arial"/>
          <w:sz w:val="20"/>
          <w:szCs w:val="20"/>
          <w:lang w:val="en-US"/>
        </w:rPr>
        <w:t xml:space="preserve">on the provision of timely and </w:t>
      </w:r>
      <w:r w:rsidRPr="000F5A61">
        <w:rPr>
          <w:rFonts w:ascii="Arial" w:hAnsi="Arial" w:cs="Arial"/>
          <w:sz w:val="20"/>
          <w:szCs w:val="20"/>
        </w:rPr>
        <w:t>succinct</w:t>
      </w:r>
      <w:r w:rsidRPr="000F5A61">
        <w:rPr>
          <w:rFonts w:ascii="Arial" w:hAnsi="Arial" w:cs="Arial"/>
          <w:sz w:val="20"/>
          <w:szCs w:val="20"/>
          <w:lang w:val="en-US"/>
        </w:rPr>
        <w:t xml:space="preserve"> strategic feedback from central and regional levels to district level teams and peripheral health staff.The surveillance system will support all aspects of elimination related data collection including case notification, case investigation, case classification, focus investigation, focus classification and focus response. </w:t>
      </w:r>
      <w:r w:rsidRPr="000F5A61">
        <w:rPr>
          <w:rFonts w:ascii="Arial" w:hAnsi="Arial" w:cs="Arial"/>
          <w:sz w:val="20"/>
          <w:szCs w:val="20"/>
        </w:rPr>
        <w:t xml:space="preserve">Requested funds will cover: </w:t>
      </w:r>
      <w:r w:rsidRPr="00B1785B">
        <w:rPr>
          <w:rFonts w:ascii="Arial" w:hAnsi="Arial" w:cs="Arial"/>
          <w:sz w:val="20"/>
          <w:szCs w:val="20"/>
        </w:rPr>
        <w:t>Installation and maintenance of a server for the malaria reporting system;</w:t>
      </w:r>
      <w:r w:rsidR="000974C7" w:rsidRPr="000F5A61">
        <w:rPr>
          <w:rFonts w:ascii="Arial" w:hAnsi="Arial" w:cs="Arial"/>
          <w:sz w:val="20"/>
          <w:szCs w:val="20"/>
        </w:rPr>
        <w:t xml:space="preserve">Procurement of GIS software; </w:t>
      </w:r>
      <w:r w:rsidRPr="00B1785B">
        <w:rPr>
          <w:rFonts w:ascii="Arial" w:hAnsi="Arial" w:cs="Arial"/>
          <w:sz w:val="20"/>
          <w:szCs w:val="20"/>
        </w:rPr>
        <w:t>and, SMS reporting and phone charges associated with case-based reporting.</w:t>
      </w:r>
    </w:p>
    <w:tbl>
      <w:tblPr>
        <w:tblW w:w="0" w:type="auto"/>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A0"/>
      </w:tblPr>
      <w:tblGrid>
        <w:gridCol w:w="8932"/>
      </w:tblGrid>
      <w:tr w:rsidR="00042DCA" w:rsidRPr="000F5A61" w:rsidTr="00FE411C">
        <w:trPr>
          <w:trHeight w:val="1990"/>
        </w:trPr>
        <w:tc>
          <w:tcPr>
            <w:tcW w:w="8932" w:type="dxa"/>
            <w:shd w:val="clear" w:color="auto" w:fill="F2F2F2" w:themeFill="background1" w:themeFillShade="F2"/>
            <w:vAlign w:val="center"/>
          </w:tcPr>
          <w:p w:rsidR="00042DCA" w:rsidRPr="000F5A61" w:rsidRDefault="00042DCA" w:rsidP="0000536F">
            <w:pPr>
              <w:spacing w:after="0" w:line="276" w:lineRule="auto"/>
              <w:rPr>
                <w:rFonts w:ascii="Arial" w:eastAsia="Calibri" w:hAnsi="Arial" w:cs="Arial"/>
                <w:sz w:val="20"/>
                <w:szCs w:val="20"/>
                <w:lang w:val="en-US"/>
              </w:rPr>
            </w:pPr>
            <w:r w:rsidRPr="000F5A61">
              <w:rPr>
                <w:rFonts w:ascii="Arial" w:eastAsia="Calibri" w:hAnsi="Arial" w:cs="Arial"/>
                <w:b/>
                <w:sz w:val="20"/>
                <w:szCs w:val="20"/>
                <w:lang w:val="en-US"/>
              </w:rPr>
              <w:t>If no</w:t>
            </w:r>
            <w:r w:rsidR="00F57EBD" w:rsidRPr="000F5A61">
              <w:rPr>
                <w:rFonts w:ascii="Arial" w:eastAsia="Calibri" w:hAnsi="Arial" w:cs="Arial"/>
                <w:sz w:val="20"/>
                <w:szCs w:val="20"/>
                <w:lang w:val="en-US"/>
              </w:rPr>
              <w:t>:</w:t>
            </w:r>
          </w:p>
          <w:p w:rsidR="00F57EBD" w:rsidRPr="000F5A61" w:rsidRDefault="00F57EBD" w:rsidP="0000536F">
            <w:pPr>
              <w:pStyle w:val="ListParagraph"/>
              <w:numPr>
                <w:ilvl w:val="0"/>
                <w:numId w:val="13"/>
              </w:numPr>
              <w:spacing w:after="200" w:line="276" w:lineRule="auto"/>
              <w:jc w:val="both"/>
              <w:rPr>
                <w:rFonts w:ascii="Arial" w:eastAsia="Calibri" w:hAnsi="Arial" w:cs="Arial"/>
                <w:sz w:val="20"/>
                <w:szCs w:val="20"/>
                <w:lang w:val="en-US"/>
              </w:rPr>
            </w:pPr>
            <w:r w:rsidRPr="000F5A61">
              <w:rPr>
                <w:rFonts w:ascii="Arial" w:eastAsia="Calibri" w:hAnsi="Arial" w:cs="Arial"/>
                <w:sz w:val="20"/>
                <w:szCs w:val="20"/>
                <w:lang w:val="en-US"/>
              </w:rPr>
              <w:t xml:space="preserve">Indicate </w:t>
            </w:r>
            <w:r w:rsidR="00A00AE8" w:rsidRPr="000F5A61">
              <w:rPr>
                <w:rFonts w:ascii="Arial" w:eastAsia="Calibri" w:hAnsi="Arial" w:cs="Arial"/>
                <w:sz w:val="20"/>
                <w:szCs w:val="20"/>
                <w:lang w:val="en-US"/>
              </w:rPr>
              <w:t>when the RSSH</w:t>
            </w:r>
            <w:r w:rsidRPr="000F5A61">
              <w:rPr>
                <w:rFonts w:ascii="Arial" w:eastAsia="Calibri" w:hAnsi="Arial" w:cs="Arial"/>
                <w:sz w:val="20"/>
                <w:szCs w:val="20"/>
                <w:lang w:val="en-US"/>
              </w:rPr>
              <w:t xml:space="preserve"> funding request </w:t>
            </w:r>
            <w:r w:rsidR="00A00AE8" w:rsidRPr="000F5A61">
              <w:rPr>
                <w:rFonts w:ascii="Arial" w:eastAsia="Calibri" w:hAnsi="Arial" w:cs="Arial"/>
                <w:sz w:val="20"/>
                <w:szCs w:val="20"/>
                <w:lang w:val="en-US"/>
              </w:rPr>
              <w:t>was/will be submitted</w:t>
            </w:r>
            <w:r w:rsidRPr="000F5A61">
              <w:rPr>
                <w:rFonts w:ascii="Arial" w:eastAsia="Calibri" w:hAnsi="Arial" w:cs="Arial"/>
                <w:sz w:val="20"/>
                <w:szCs w:val="20"/>
                <w:lang w:val="en-US"/>
              </w:rPr>
              <w:t xml:space="preserve">; and, </w:t>
            </w:r>
          </w:p>
          <w:p w:rsidR="00F57EBD" w:rsidRPr="000F5A61" w:rsidRDefault="00F57EBD" w:rsidP="00A00AE8">
            <w:pPr>
              <w:pStyle w:val="ListParagraph"/>
              <w:numPr>
                <w:ilvl w:val="0"/>
                <w:numId w:val="13"/>
              </w:numPr>
              <w:spacing w:before="240" w:after="200" w:line="276" w:lineRule="auto"/>
              <w:jc w:val="both"/>
              <w:rPr>
                <w:rFonts w:ascii="Arial" w:eastAsia="Calibri" w:hAnsi="Arial" w:cs="Arial"/>
                <w:sz w:val="20"/>
                <w:szCs w:val="20"/>
                <w:lang w:val="en-US"/>
              </w:rPr>
            </w:pPr>
            <w:r w:rsidRPr="000F5A61">
              <w:rPr>
                <w:rFonts w:ascii="Arial" w:eastAsia="Calibri" w:hAnsi="Arial" w:cs="Arial"/>
                <w:b/>
                <w:sz w:val="20"/>
                <w:szCs w:val="20"/>
                <w:lang w:val="en-US"/>
              </w:rPr>
              <w:t xml:space="preserve">If </w:t>
            </w:r>
            <w:r w:rsidR="00A00AE8" w:rsidRPr="000F5A61">
              <w:rPr>
                <w:rFonts w:ascii="Arial" w:eastAsia="Calibri" w:hAnsi="Arial" w:cs="Arial"/>
                <w:b/>
                <w:sz w:val="20"/>
                <w:szCs w:val="20"/>
                <w:lang w:val="en-US"/>
              </w:rPr>
              <w:t>the RSSH funding</w:t>
            </w:r>
            <w:r w:rsidRPr="000F5A61">
              <w:rPr>
                <w:rFonts w:ascii="Arial" w:eastAsia="Calibri" w:hAnsi="Arial" w:cs="Arial"/>
                <w:b/>
                <w:sz w:val="20"/>
                <w:szCs w:val="20"/>
                <w:lang w:val="en-US"/>
              </w:rPr>
              <w:t xml:space="preserve"> request </w:t>
            </w:r>
            <w:r w:rsidR="00CC0842" w:rsidRPr="000F5A61">
              <w:rPr>
                <w:rFonts w:ascii="Arial" w:eastAsia="Calibri" w:hAnsi="Arial" w:cs="Arial"/>
                <w:b/>
                <w:sz w:val="20"/>
                <w:szCs w:val="20"/>
                <w:lang w:val="en-US"/>
              </w:rPr>
              <w:t>has not yet been submitted</w:t>
            </w:r>
            <w:r w:rsidRPr="000F5A61">
              <w:rPr>
                <w:rFonts w:ascii="Arial" w:eastAsia="Calibri" w:hAnsi="Arial" w:cs="Arial"/>
                <w:sz w:val="20"/>
                <w:szCs w:val="20"/>
                <w:lang w:val="en-US"/>
              </w:rPr>
              <w:t>, highlight below the elements of the planned RSSH investment that will directly support the disease program in this funding request</w:t>
            </w:r>
            <w:r w:rsidR="00A00AE8" w:rsidRPr="000F5A61">
              <w:rPr>
                <w:rFonts w:ascii="Arial" w:eastAsia="Calibri" w:hAnsi="Arial" w:cs="Arial"/>
                <w:sz w:val="20"/>
                <w:szCs w:val="20"/>
                <w:lang w:val="en-US"/>
              </w:rPr>
              <w:t>.</w:t>
            </w:r>
          </w:p>
          <w:p w:rsidR="00042DCA" w:rsidRPr="000F5A61" w:rsidRDefault="001631BD" w:rsidP="00F57EBD">
            <w:pPr>
              <w:spacing w:after="200" w:line="276" w:lineRule="auto"/>
              <w:contextualSpacing/>
              <w:rPr>
                <w:rFonts w:ascii="Arial" w:eastAsia="SimSun" w:hAnsi="Arial" w:cs="Arial"/>
                <w:b/>
                <w:sz w:val="20"/>
                <w:szCs w:val="20"/>
                <w:lang w:val="en-US" w:eastAsia="zh-CN"/>
              </w:rPr>
            </w:pPr>
            <w:r w:rsidRPr="000F5A61">
              <w:rPr>
                <w:rFonts w:ascii="Arial" w:eastAsia="Calibri" w:hAnsi="Arial" w:cs="Arial"/>
                <w:b/>
                <w:sz w:val="20"/>
                <w:szCs w:val="20"/>
                <w:lang w:val="en-US"/>
              </w:rPr>
              <w:t>(maximum</w:t>
            </w:r>
            <w:r w:rsidR="00042DCA" w:rsidRPr="000F5A61">
              <w:rPr>
                <w:rFonts w:ascii="Arial" w:eastAsia="Calibri" w:hAnsi="Arial" w:cs="Arial"/>
                <w:b/>
                <w:sz w:val="20"/>
                <w:szCs w:val="20"/>
                <w:lang w:val="en-US"/>
              </w:rPr>
              <w:t xml:space="preserve"> ½ page)</w:t>
            </w:r>
          </w:p>
        </w:tc>
      </w:tr>
    </w:tbl>
    <w:p w:rsidR="00961897" w:rsidRPr="000F5A61" w:rsidRDefault="00A075ED" w:rsidP="00961897">
      <w:pPr>
        <w:spacing w:before="240"/>
        <w:rPr>
          <w:rFonts w:ascii="Arial" w:hAnsi="Arial" w:cs="Arial"/>
          <w:sz w:val="20"/>
          <w:szCs w:val="20"/>
        </w:rPr>
      </w:pPr>
      <w:r w:rsidRPr="000F5A61">
        <w:rPr>
          <w:rFonts w:ascii="Arial" w:eastAsia="Calibri" w:hAnsi="Arial" w:cs="Arial"/>
          <w:sz w:val="20"/>
          <w:szCs w:val="20"/>
          <w:lang w:val="en-US"/>
        </w:rPr>
        <w:t>Not applicable.</w:t>
      </w:r>
    </w:p>
    <w:p w:rsidR="00DD5B65" w:rsidRPr="000F5A61" w:rsidRDefault="00DD5B65" w:rsidP="00AB3764">
      <w:pPr>
        <w:spacing w:after="200" w:line="276" w:lineRule="auto"/>
        <w:rPr>
          <w:rFonts w:ascii="Arial" w:eastAsia="Calibri" w:hAnsi="Arial" w:cs="Arial"/>
          <w:sz w:val="20"/>
          <w:szCs w:val="20"/>
          <w:lang w:val="en-US"/>
        </w:rPr>
      </w:pPr>
    </w:p>
    <w:p w:rsidR="00DD5B65" w:rsidRPr="000F5A61" w:rsidRDefault="00DD5B65" w:rsidP="00042DCA">
      <w:pPr>
        <w:spacing w:before="240"/>
        <w:rPr>
          <w:rFonts w:ascii="Arial" w:hAnsi="Arial" w:cs="Arial"/>
          <w:sz w:val="20"/>
          <w:szCs w:val="20"/>
        </w:rPr>
      </w:pPr>
    </w:p>
    <w:p w:rsidR="005A62F6" w:rsidRPr="000F5A61" w:rsidRDefault="005A62F6">
      <w:pPr>
        <w:rPr>
          <w:rFonts w:ascii="Arial" w:hAnsi="Arial" w:cs="Arial"/>
          <w:sz w:val="20"/>
          <w:szCs w:val="20"/>
        </w:rPr>
      </w:pPr>
    </w:p>
    <w:tbl>
      <w:tblPr>
        <w:tblW w:w="907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142" w:type="dxa"/>
          <w:right w:w="142" w:type="dxa"/>
        </w:tblCellMar>
        <w:tblLook w:val="01E0"/>
      </w:tblPr>
      <w:tblGrid>
        <w:gridCol w:w="6938"/>
        <w:gridCol w:w="2135"/>
      </w:tblGrid>
      <w:tr w:rsidR="005A62F6" w:rsidRPr="000F5A61" w:rsidTr="00FE411C">
        <w:trPr>
          <w:trHeight w:val="1261"/>
        </w:trPr>
        <w:tc>
          <w:tcPr>
            <w:tcW w:w="9073" w:type="dxa"/>
            <w:gridSpan w:val="2"/>
            <w:shd w:val="clear" w:color="auto" w:fill="C6D9F1"/>
            <w:vAlign w:val="center"/>
          </w:tcPr>
          <w:p w:rsidR="005A62F6" w:rsidRPr="000F5A61" w:rsidRDefault="005A62F6" w:rsidP="00414985">
            <w:pPr>
              <w:keepNext/>
              <w:keepLines/>
              <w:spacing w:after="0" w:line="240" w:lineRule="auto"/>
              <w:jc w:val="both"/>
              <w:rPr>
                <w:rFonts w:ascii="Arial" w:eastAsia="Calibri" w:hAnsi="Arial" w:cs="Arial"/>
                <w:b/>
                <w:bCs/>
                <w:sz w:val="20"/>
                <w:szCs w:val="20"/>
                <w:lang w:val="en-US"/>
              </w:rPr>
            </w:pPr>
            <w:r w:rsidRPr="000F5A61">
              <w:rPr>
                <w:rFonts w:ascii="Arial" w:eastAsia="Calibri" w:hAnsi="Arial" w:cs="Arial"/>
                <w:b/>
                <w:bCs/>
                <w:sz w:val="20"/>
                <w:szCs w:val="20"/>
                <w:lang w:val="en-US"/>
              </w:rPr>
              <w:t>2.3 Focus of application</w:t>
            </w:r>
            <w:r w:rsidR="00BA7910" w:rsidRPr="000F5A61">
              <w:rPr>
                <w:rFonts w:ascii="Arial" w:eastAsia="Calibri" w:hAnsi="Arial" w:cs="Arial"/>
                <w:b/>
                <w:bCs/>
                <w:sz w:val="20"/>
                <w:szCs w:val="20"/>
                <w:lang w:val="en-US"/>
              </w:rPr>
              <w:t xml:space="preserve"> requirement</w:t>
            </w:r>
            <w:r w:rsidR="00340B08" w:rsidRPr="000F5A61">
              <w:rPr>
                <w:rFonts w:ascii="Arial" w:eastAsia="Calibri" w:hAnsi="Arial" w:cs="Arial"/>
                <w:b/>
                <w:bCs/>
                <w:i/>
                <w:sz w:val="20"/>
                <w:szCs w:val="20"/>
                <w:vertAlign w:val="superscript"/>
                <w:lang w:val="en-US"/>
              </w:rPr>
              <w:footnoteReference w:id="23"/>
            </w:r>
          </w:p>
          <w:p w:rsidR="00142F1D" w:rsidRPr="000F5A61" w:rsidRDefault="009A251C" w:rsidP="00972638">
            <w:pPr>
              <w:keepNext/>
              <w:keepLines/>
              <w:spacing w:after="0" w:line="240" w:lineRule="auto"/>
              <w:jc w:val="both"/>
              <w:rPr>
                <w:rFonts w:ascii="Arial" w:eastAsia="Calibri" w:hAnsi="Arial" w:cs="Arial"/>
                <w:bCs/>
                <w:sz w:val="20"/>
                <w:szCs w:val="20"/>
                <w:lang w:val="en-US"/>
              </w:rPr>
            </w:pPr>
            <w:r w:rsidRPr="000F5A61">
              <w:rPr>
                <w:rFonts w:ascii="Arial" w:eastAsia="Calibri" w:hAnsi="Arial" w:cs="Arial"/>
                <w:bCs/>
                <w:sz w:val="20"/>
                <w:szCs w:val="20"/>
                <w:lang w:val="en-US"/>
              </w:rPr>
              <w:t>This question is required</w:t>
            </w:r>
            <w:r w:rsidR="00340B08" w:rsidRPr="000F5A61">
              <w:rPr>
                <w:rFonts w:ascii="Arial" w:eastAsia="Calibri" w:hAnsi="Arial" w:cs="Arial"/>
                <w:bCs/>
                <w:sz w:val="20"/>
                <w:szCs w:val="20"/>
                <w:lang w:val="en-US"/>
              </w:rPr>
              <w:t xml:space="preserve"> for </w:t>
            </w:r>
            <w:r w:rsidR="00311BE2" w:rsidRPr="000F5A61">
              <w:rPr>
                <w:rFonts w:ascii="Arial" w:eastAsia="Calibri" w:hAnsi="Arial" w:cs="Arial"/>
                <w:bCs/>
                <w:sz w:val="20"/>
                <w:szCs w:val="20"/>
                <w:lang w:val="en-US"/>
              </w:rPr>
              <w:t xml:space="preserve">Lower-Middle Income </w:t>
            </w:r>
            <w:r w:rsidR="000A2F7B" w:rsidRPr="000F5A61">
              <w:rPr>
                <w:rFonts w:ascii="Arial" w:eastAsia="Calibri" w:hAnsi="Arial" w:cs="Arial"/>
                <w:bCs/>
                <w:sz w:val="20"/>
                <w:szCs w:val="20"/>
                <w:lang w:val="en-US"/>
              </w:rPr>
              <w:t xml:space="preserve">(LMI) </w:t>
            </w:r>
            <w:r w:rsidR="00311BE2" w:rsidRPr="000F5A61">
              <w:rPr>
                <w:rFonts w:ascii="Arial" w:eastAsia="Calibri" w:hAnsi="Arial" w:cs="Arial"/>
                <w:bCs/>
                <w:sz w:val="20"/>
                <w:szCs w:val="20"/>
                <w:lang w:val="en-US"/>
              </w:rPr>
              <w:t xml:space="preserve">and Upper-Middle Income </w:t>
            </w:r>
            <w:r w:rsidR="000A2F7B" w:rsidRPr="000F5A61">
              <w:rPr>
                <w:rFonts w:ascii="Arial" w:eastAsia="Calibri" w:hAnsi="Arial" w:cs="Arial"/>
                <w:bCs/>
                <w:sz w:val="20"/>
                <w:szCs w:val="20"/>
                <w:lang w:val="en-US"/>
              </w:rPr>
              <w:t xml:space="preserve">(UMI) </w:t>
            </w:r>
            <w:r w:rsidR="00414985" w:rsidRPr="000F5A61">
              <w:rPr>
                <w:rFonts w:ascii="Arial" w:eastAsia="Calibri" w:hAnsi="Arial" w:cs="Arial"/>
                <w:bCs/>
                <w:sz w:val="20"/>
                <w:szCs w:val="20"/>
                <w:lang w:val="en-US"/>
              </w:rPr>
              <w:t>c</w:t>
            </w:r>
            <w:r w:rsidR="00311BE2" w:rsidRPr="000F5A61">
              <w:rPr>
                <w:rFonts w:ascii="Arial" w:eastAsia="Calibri" w:hAnsi="Arial" w:cs="Arial"/>
                <w:bCs/>
                <w:sz w:val="20"/>
                <w:szCs w:val="20"/>
                <w:lang w:val="en-US"/>
              </w:rPr>
              <w:t>ountries</w:t>
            </w:r>
            <w:r w:rsidR="00340B08" w:rsidRPr="000F5A61">
              <w:rPr>
                <w:rFonts w:ascii="Arial" w:eastAsia="Calibri" w:hAnsi="Arial" w:cs="Arial"/>
                <w:bCs/>
                <w:sz w:val="20"/>
                <w:szCs w:val="20"/>
                <w:lang w:val="en-US"/>
              </w:rPr>
              <w:t xml:space="preserve">. </w:t>
            </w:r>
            <w:r w:rsidRPr="000F5A61">
              <w:rPr>
                <w:rFonts w:ascii="Arial" w:eastAsia="Calibri" w:hAnsi="Arial" w:cs="Arial"/>
                <w:bCs/>
                <w:sz w:val="20"/>
                <w:szCs w:val="20"/>
                <w:lang w:val="en-US"/>
              </w:rPr>
              <w:t xml:space="preserve">It </w:t>
            </w:r>
            <w:r w:rsidR="00311BE2" w:rsidRPr="000F5A61">
              <w:rPr>
                <w:rFonts w:ascii="Arial" w:eastAsia="Calibri" w:hAnsi="Arial" w:cs="Arial"/>
                <w:bCs/>
                <w:sz w:val="20"/>
                <w:szCs w:val="20"/>
                <w:lang w:val="en-US"/>
              </w:rPr>
              <w:t xml:space="preserve">is </w:t>
            </w:r>
            <w:r w:rsidR="00311BE2" w:rsidRPr="000F5A61">
              <w:rPr>
                <w:rFonts w:ascii="Arial" w:eastAsia="Calibri" w:hAnsi="Arial" w:cs="Arial"/>
                <w:bCs/>
                <w:sz w:val="20"/>
                <w:szCs w:val="20"/>
                <w:u w:val="single"/>
                <w:lang w:val="en-US"/>
              </w:rPr>
              <w:t>not</w:t>
            </w:r>
            <w:r w:rsidR="00311BE2" w:rsidRPr="000F5A61">
              <w:rPr>
                <w:rFonts w:ascii="Arial" w:eastAsia="Calibri" w:hAnsi="Arial" w:cs="Arial"/>
                <w:bCs/>
                <w:sz w:val="20"/>
                <w:szCs w:val="20"/>
                <w:lang w:val="en-US"/>
              </w:rPr>
              <w:t xml:space="preserve"> applicable for Low-Income </w:t>
            </w:r>
            <w:r w:rsidR="000A2F7B" w:rsidRPr="000F5A61">
              <w:rPr>
                <w:rFonts w:ascii="Arial" w:eastAsia="Calibri" w:hAnsi="Arial" w:cs="Arial"/>
                <w:bCs/>
                <w:sz w:val="20"/>
                <w:szCs w:val="20"/>
                <w:lang w:val="en-US"/>
              </w:rPr>
              <w:t xml:space="preserve">(LI) </w:t>
            </w:r>
            <w:r w:rsidR="00414985" w:rsidRPr="000F5A61">
              <w:rPr>
                <w:rFonts w:ascii="Arial" w:eastAsia="Calibri" w:hAnsi="Arial" w:cs="Arial"/>
                <w:bCs/>
                <w:sz w:val="20"/>
                <w:szCs w:val="20"/>
                <w:lang w:val="en-US"/>
              </w:rPr>
              <w:t>c</w:t>
            </w:r>
            <w:r w:rsidR="00311BE2" w:rsidRPr="000F5A61">
              <w:rPr>
                <w:rFonts w:ascii="Arial" w:eastAsia="Calibri" w:hAnsi="Arial" w:cs="Arial"/>
                <w:bCs/>
                <w:sz w:val="20"/>
                <w:szCs w:val="20"/>
                <w:lang w:val="en-US"/>
              </w:rPr>
              <w:t>ountries.</w:t>
            </w:r>
          </w:p>
          <w:p w:rsidR="00311BE2" w:rsidRPr="000F5A61" w:rsidRDefault="00972638" w:rsidP="00972638">
            <w:pPr>
              <w:keepNext/>
              <w:keepLines/>
              <w:spacing w:after="0" w:line="240" w:lineRule="auto"/>
              <w:jc w:val="both"/>
              <w:rPr>
                <w:rFonts w:ascii="Arial" w:eastAsia="Calibri" w:hAnsi="Arial" w:cs="Arial"/>
                <w:bCs/>
                <w:sz w:val="20"/>
                <w:szCs w:val="20"/>
                <w:lang w:val="en-US"/>
              </w:rPr>
            </w:pPr>
            <w:r w:rsidRPr="000F5A61">
              <w:rPr>
                <w:rFonts w:ascii="Arial" w:eastAsia="Calibri" w:hAnsi="Arial" w:cs="Arial"/>
                <w:bCs/>
                <w:sz w:val="20"/>
                <w:szCs w:val="20"/>
                <w:lang w:val="en-US"/>
              </w:rPr>
              <w:t>To respond, r</w:t>
            </w:r>
            <w:r w:rsidR="00340B08" w:rsidRPr="000F5A61">
              <w:rPr>
                <w:rFonts w:ascii="Arial" w:eastAsia="Calibri" w:hAnsi="Arial" w:cs="Arial"/>
                <w:bCs/>
                <w:sz w:val="20"/>
                <w:szCs w:val="20"/>
                <w:lang w:val="en-US"/>
              </w:rPr>
              <w:t xml:space="preserve">efer to </w:t>
            </w:r>
            <w:r w:rsidR="005265DB" w:rsidRPr="000F5A61">
              <w:rPr>
                <w:rFonts w:ascii="Arial" w:eastAsia="Calibri" w:hAnsi="Arial" w:cs="Arial"/>
                <w:bCs/>
                <w:sz w:val="20"/>
                <w:szCs w:val="20"/>
                <w:lang w:val="en-US"/>
              </w:rPr>
              <w:t xml:space="preserve">guidance </w:t>
            </w:r>
            <w:r w:rsidR="009A251C" w:rsidRPr="000F5A61">
              <w:rPr>
                <w:rFonts w:ascii="Arial" w:eastAsia="Calibri" w:hAnsi="Arial" w:cs="Arial"/>
                <w:bCs/>
                <w:sz w:val="20"/>
                <w:szCs w:val="20"/>
                <w:lang w:val="en-US"/>
              </w:rPr>
              <w:t xml:space="preserve">provided </w:t>
            </w:r>
            <w:r w:rsidR="005265DB" w:rsidRPr="000F5A61">
              <w:rPr>
                <w:rFonts w:ascii="Arial" w:eastAsia="Calibri" w:hAnsi="Arial" w:cs="Arial"/>
                <w:bCs/>
                <w:sz w:val="20"/>
                <w:szCs w:val="20"/>
                <w:lang w:val="en-US"/>
              </w:rPr>
              <w:t xml:space="preserve">in the </w:t>
            </w:r>
            <w:r w:rsidR="005265DB" w:rsidRPr="000F5A61">
              <w:rPr>
                <w:rFonts w:ascii="Arial" w:eastAsia="Calibri" w:hAnsi="Arial" w:cs="Arial"/>
                <w:bCs/>
                <w:i/>
                <w:sz w:val="20"/>
                <w:szCs w:val="20"/>
                <w:lang w:val="en-US"/>
              </w:rPr>
              <w:t>I</w:t>
            </w:r>
            <w:r w:rsidR="00340B08" w:rsidRPr="000F5A61">
              <w:rPr>
                <w:rFonts w:ascii="Arial" w:eastAsia="Calibri" w:hAnsi="Arial" w:cs="Arial"/>
                <w:bCs/>
                <w:i/>
                <w:sz w:val="20"/>
                <w:szCs w:val="20"/>
                <w:lang w:val="en-US"/>
              </w:rPr>
              <w:t>nstructions</w:t>
            </w:r>
            <w:r w:rsidR="00485F5B" w:rsidRPr="000F5A61">
              <w:rPr>
                <w:rFonts w:ascii="Arial" w:eastAsia="Calibri" w:hAnsi="Arial" w:cs="Arial"/>
                <w:bCs/>
                <w:i/>
                <w:sz w:val="20"/>
                <w:szCs w:val="20"/>
                <w:lang w:val="en-US"/>
              </w:rPr>
              <w:t>.</w:t>
            </w:r>
          </w:p>
        </w:tc>
      </w:tr>
      <w:tr w:rsidR="0000536F" w:rsidRPr="000F5A61" w:rsidTr="00FE411C">
        <w:trPr>
          <w:trHeight w:val="1690"/>
        </w:trPr>
        <w:tc>
          <w:tcPr>
            <w:tcW w:w="6938" w:type="dxa"/>
            <w:vMerge w:val="restart"/>
            <w:shd w:val="clear" w:color="auto" w:fill="F2F2F2" w:themeFill="background1" w:themeFillShade="F2"/>
            <w:vAlign w:val="center"/>
          </w:tcPr>
          <w:p w:rsidR="0000536F" w:rsidRPr="000F5A61" w:rsidRDefault="0000536F" w:rsidP="0043346F">
            <w:pPr>
              <w:spacing w:before="120" w:after="120" w:line="240" w:lineRule="auto"/>
              <w:jc w:val="both"/>
              <w:rPr>
                <w:rFonts w:ascii="Arial" w:eastAsia="Calibri" w:hAnsi="Arial" w:cs="Arial"/>
                <w:b/>
                <w:bCs/>
                <w:sz w:val="20"/>
                <w:szCs w:val="20"/>
                <w:lang w:val="en-US"/>
              </w:rPr>
            </w:pPr>
            <w:r w:rsidRPr="000F5A61">
              <w:rPr>
                <w:rFonts w:ascii="Arial" w:eastAsia="Calibri" w:hAnsi="Arial" w:cs="Arial"/>
                <w:b/>
                <w:bCs/>
                <w:sz w:val="20"/>
                <w:szCs w:val="20"/>
                <w:lang w:val="en-US"/>
              </w:rPr>
              <w:t>For LMI countries:</w:t>
            </w:r>
          </w:p>
          <w:p w:rsidR="00027F87" w:rsidRPr="000F5A61" w:rsidRDefault="0000536F" w:rsidP="00027F87">
            <w:pPr>
              <w:pStyle w:val="ListParagraph"/>
              <w:numPr>
                <w:ilvl w:val="0"/>
                <w:numId w:val="12"/>
              </w:numPr>
              <w:spacing w:before="120" w:after="120" w:line="240" w:lineRule="auto"/>
              <w:ind w:left="417"/>
              <w:jc w:val="both"/>
              <w:rPr>
                <w:rFonts w:ascii="Arial" w:eastAsia="Calibri" w:hAnsi="Arial" w:cs="Arial"/>
                <w:sz w:val="20"/>
                <w:szCs w:val="20"/>
                <w:lang w:val="en-US"/>
              </w:rPr>
            </w:pPr>
            <w:r w:rsidRPr="000F5A61">
              <w:rPr>
                <w:rFonts w:ascii="Arial" w:eastAsia="Calibri" w:hAnsi="Arial" w:cs="Arial"/>
                <w:bCs/>
                <w:sz w:val="20"/>
                <w:szCs w:val="20"/>
                <w:lang w:val="en-US"/>
              </w:rPr>
              <w:t xml:space="preserve">Does the </w:t>
            </w:r>
            <w:r w:rsidRPr="000F5A61">
              <w:rPr>
                <w:rFonts w:ascii="Arial" w:eastAsia="Calibri" w:hAnsi="Arial" w:cs="Arial"/>
                <w:sz w:val="20"/>
                <w:szCs w:val="20"/>
                <w:lang w:val="en-US"/>
              </w:rPr>
              <w:t>funding request focus at least 50% of the budget on: disease-specific interventions for key and vulnerable populations; programs that address human rights and gender-related barriers</w:t>
            </w:r>
            <w:r w:rsidR="00027F87" w:rsidRPr="000F5A61">
              <w:rPr>
                <w:rFonts w:ascii="Arial" w:eastAsia="Calibri" w:hAnsi="Arial" w:cs="Arial"/>
                <w:sz w:val="20"/>
                <w:szCs w:val="20"/>
                <w:lang w:val="en-US"/>
              </w:rPr>
              <w:t xml:space="preserve"> and vulnerabilities</w:t>
            </w:r>
            <w:r w:rsidRPr="000F5A61">
              <w:rPr>
                <w:rFonts w:ascii="Arial" w:eastAsia="Calibri" w:hAnsi="Arial" w:cs="Arial"/>
                <w:sz w:val="20"/>
                <w:szCs w:val="20"/>
                <w:lang w:val="en-US"/>
              </w:rPr>
              <w:t>; and/or highest impact interventions?</w:t>
            </w:r>
          </w:p>
          <w:p w:rsidR="00027F87" w:rsidRPr="000F5A61" w:rsidRDefault="00027F87" w:rsidP="00027F87">
            <w:pPr>
              <w:pStyle w:val="ListParagraph"/>
              <w:tabs>
                <w:tab w:val="center" w:pos="4513"/>
                <w:tab w:val="right" w:pos="9026"/>
              </w:tabs>
              <w:spacing w:before="120" w:after="120" w:line="240" w:lineRule="auto"/>
              <w:ind w:left="417"/>
              <w:jc w:val="both"/>
              <w:rPr>
                <w:rFonts w:ascii="Arial" w:eastAsia="Calibri" w:hAnsi="Arial" w:cs="Arial"/>
                <w:sz w:val="20"/>
                <w:szCs w:val="20"/>
                <w:lang w:val="en-US"/>
              </w:rPr>
            </w:pPr>
          </w:p>
          <w:p w:rsidR="0000536F" w:rsidRPr="000F5A61" w:rsidRDefault="0000536F" w:rsidP="00027F87">
            <w:pPr>
              <w:pStyle w:val="ListParagraph"/>
              <w:numPr>
                <w:ilvl w:val="0"/>
                <w:numId w:val="12"/>
              </w:numPr>
              <w:spacing w:before="120" w:after="120" w:line="240" w:lineRule="auto"/>
              <w:ind w:left="417"/>
              <w:jc w:val="both"/>
              <w:rPr>
                <w:rFonts w:ascii="Arial" w:eastAsia="Calibri" w:hAnsi="Arial" w:cs="Arial"/>
                <w:bCs/>
                <w:sz w:val="20"/>
                <w:szCs w:val="20"/>
                <w:lang w:val="en-US"/>
              </w:rPr>
            </w:pPr>
            <w:r w:rsidRPr="000F5A61">
              <w:rPr>
                <w:rFonts w:ascii="Arial" w:eastAsia="Calibri" w:hAnsi="Arial" w:cs="Arial"/>
                <w:bCs/>
                <w:sz w:val="20"/>
                <w:szCs w:val="20"/>
                <w:lang w:val="en-US"/>
              </w:rPr>
              <w:t>For RSSH, does the funding request primarily focus on improving overall program outcomes for key and vulnerable populations in two or more of the diseases</w:t>
            </w:r>
            <w:r w:rsidR="00027F87" w:rsidRPr="000F5A61">
              <w:rPr>
                <w:rFonts w:ascii="Arial" w:eastAsia="Calibri" w:hAnsi="Arial" w:cs="Arial"/>
                <w:bCs/>
                <w:sz w:val="20"/>
                <w:szCs w:val="20"/>
                <w:lang w:val="en-US"/>
              </w:rPr>
              <w:t>,</w:t>
            </w:r>
            <w:r w:rsidRPr="000F5A61">
              <w:rPr>
                <w:rFonts w:ascii="Arial" w:eastAsia="Calibri" w:hAnsi="Arial" w:cs="Arial"/>
                <w:bCs/>
                <w:sz w:val="20"/>
                <w:szCs w:val="20"/>
                <w:lang w:val="en-US"/>
              </w:rPr>
              <w:t xml:space="preserve"> and </w:t>
            </w:r>
            <w:r w:rsidR="00027F87" w:rsidRPr="000F5A61">
              <w:rPr>
                <w:rFonts w:ascii="Arial" w:eastAsia="Calibri" w:hAnsi="Arial" w:cs="Arial"/>
                <w:bCs/>
                <w:sz w:val="20"/>
                <w:szCs w:val="20"/>
                <w:lang w:val="en-US"/>
              </w:rPr>
              <w:t xml:space="preserve">is it </w:t>
            </w:r>
            <w:r w:rsidRPr="000F5A61">
              <w:rPr>
                <w:rFonts w:ascii="Arial" w:eastAsia="Calibri" w:hAnsi="Arial" w:cs="Arial"/>
                <w:bCs/>
                <w:sz w:val="20"/>
                <w:szCs w:val="20"/>
                <w:lang w:val="en-US"/>
              </w:rPr>
              <w:t>targeted to support scale-up, efficiency and alignment of interventions</w:t>
            </w:r>
            <w:r w:rsidR="00027F87" w:rsidRPr="000F5A61">
              <w:rPr>
                <w:rFonts w:ascii="Arial" w:eastAsia="Calibri" w:hAnsi="Arial" w:cs="Arial"/>
                <w:bCs/>
                <w:sz w:val="20"/>
                <w:szCs w:val="20"/>
                <w:lang w:val="en-US"/>
              </w:rPr>
              <w:t>?</w:t>
            </w:r>
          </w:p>
        </w:tc>
        <w:tc>
          <w:tcPr>
            <w:tcW w:w="2135" w:type="dxa"/>
            <w:shd w:val="clear" w:color="auto" w:fill="auto"/>
            <w:vAlign w:val="center"/>
          </w:tcPr>
          <w:p w:rsidR="0000536F" w:rsidRPr="000F5A61" w:rsidRDefault="00035C1E" w:rsidP="0043346F">
            <w:pPr>
              <w:tabs>
                <w:tab w:val="center" w:pos="4513"/>
                <w:tab w:val="right" w:pos="9026"/>
              </w:tabs>
              <w:spacing w:before="120" w:after="120" w:line="240" w:lineRule="auto"/>
              <w:jc w:val="both"/>
              <w:rPr>
                <w:rFonts w:ascii="Arial" w:eastAsia="Calibri" w:hAnsi="Arial" w:cs="Arial"/>
                <w:b/>
                <w:bCs/>
                <w:sz w:val="20"/>
                <w:szCs w:val="20"/>
                <w:lang w:val="en-US"/>
              </w:rPr>
            </w:pPr>
            <w:sdt>
              <w:sdtPr>
                <w:rPr>
                  <w:rFonts w:ascii="Arial" w:eastAsia="Calibri" w:hAnsi="Arial" w:cs="Arial"/>
                  <w:bCs/>
                  <w:iCs/>
                  <w:sz w:val="20"/>
                  <w:szCs w:val="20"/>
                  <w:lang w:val="en-US"/>
                </w:rPr>
                <w:id w:val="-1926949538"/>
              </w:sdtPr>
              <w:sdtContent>
                <w:r w:rsidR="0000536F" w:rsidRPr="000F5A61">
                  <w:rPr>
                    <w:rFonts w:ascii="Arial" w:eastAsia="MS Gothic" w:hAnsi="Arial" w:cs="Arial"/>
                    <w:bCs/>
                    <w:iCs/>
                    <w:sz w:val="20"/>
                    <w:szCs w:val="20"/>
                    <w:lang w:val="en-US"/>
                  </w:rPr>
                  <w:t>☐</w:t>
                </w:r>
              </w:sdtContent>
            </w:sdt>
            <w:r w:rsidR="0000536F" w:rsidRPr="000F5A61">
              <w:rPr>
                <w:rFonts w:ascii="Arial" w:eastAsia="Calibri" w:hAnsi="Arial" w:cs="Arial"/>
                <w:bCs/>
                <w:iCs/>
                <w:sz w:val="20"/>
                <w:szCs w:val="20"/>
                <w:lang w:val="en-US"/>
              </w:rPr>
              <w:t xml:space="preserve"> Yes         </w:t>
            </w:r>
            <w:sdt>
              <w:sdtPr>
                <w:rPr>
                  <w:rFonts w:ascii="Arial" w:eastAsia="Calibri" w:hAnsi="Arial" w:cs="Arial"/>
                  <w:bCs/>
                  <w:iCs/>
                  <w:sz w:val="20"/>
                  <w:szCs w:val="20"/>
                  <w:lang w:val="en-US"/>
                </w:rPr>
                <w:id w:val="61690273"/>
              </w:sdtPr>
              <w:sdtContent>
                <w:r w:rsidR="0000536F" w:rsidRPr="000F5A61">
                  <w:rPr>
                    <w:rFonts w:ascii="Arial" w:eastAsia="Calibri" w:hAnsi="Arial" w:cs="Arial"/>
                    <w:bCs/>
                    <w:iCs/>
                    <w:sz w:val="20"/>
                    <w:szCs w:val="20"/>
                    <w:lang w:val="en-US"/>
                  </w:rPr>
                  <w:t>☐</w:t>
                </w:r>
              </w:sdtContent>
            </w:sdt>
            <w:r w:rsidR="0000536F" w:rsidRPr="000F5A61">
              <w:rPr>
                <w:rFonts w:ascii="Arial" w:eastAsia="Calibri" w:hAnsi="Arial" w:cs="Arial"/>
                <w:bCs/>
                <w:iCs/>
                <w:sz w:val="20"/>
                <w:szCs w:val="20"/>
                <w:lang w:val="en-US"/>
              </w:rPr>
              <w:t xml:space="preserve"> No</w:t>
            </w:r>
          </w:p>
        </w:tc>
      </w:tr>
      <w:tr w:rsidR="0000536F" w:rsidRPr="000F5A61" w:rsidTr="00FE411C">
        <w:trPr>
          <w:trHeight w:val="985"/>
        </w:trPr>
        <w:tc>
          <w:tcPr>
            <w:tcW w:w="6938" w:type="dxa"/>
            <w:vMerge/>
            <w:shd w:val="clear" w:color="auto" w:fill="F2F2F2" w:themeFill="background1" w:themeFillShade="F2"/>
            <w:vAlign w:val="center"/>
          </w:tcPr>
          <w:p w:rsidR="0000536F" w:rsidRPr="000F5A61" w:rsidRDefault="0000536F" w:rsidP="0000536F">
            <w:pPr>
              <w:tabs>
                <w:tab w:val="center" w:pos="4513"/>
                <w:tab w:val="right" w:pos="9026"/>
              </w:tabs>
              <w:spacing w:before="120" w:after="120" w:line="240" w:lineRule="auto"/>
              <w:jc w:val="both"/>
              <w:rPr>
                <w:rFonts w:ascii="Arial" w:eastAsia="Calibri" w:hAnsi="Arial" w:cs="Arial"/>
                <w:b/>
                <w:bCs/>
                <w:sz w:val="20"/>
                <w:szCs w:val="20"/>
                <w:lang w:val="en-US"/>
              </w:rPr>
            </w:pPr>
          </w:p>
        </w:tc>
        <w:tc>
          <w:tcPr>
            <w:tcW w:w="2135" w:type="dxa"/>
            <w:shd w:val="clear" w:color="auto" w:fill="auto"/>
            <w:vAlign w:val="center"/>
          </w:tcPr>
          <w:p w:rsidR="0000536F" w:rsidRPr="000F5A61" w:rsidRDefault="00035C1E" w:rsidP="0000536F">
            <w:pPr>
              <w:tabs>
                <w:tab w:val="center" w:pos="4513"/>
                <w:tab w:val="right" w:pos="9026"/>
              </w:tabs>
              <w:spacing w:before="120" w:after="120" w:line="240" w:lineRule="auto"/>
              <w:jc w:val="both"/>
              <w:rPr>
                <w:rFonts w:ascii="Arial" w:eastAsia="Calibri" w:hAnsi="Arial" w:cs="Arial"/>
                <w:bCs/>
                <w:iCs/>
                <w:sz w:val="20"/>
                <w:szCs w:val="20"/>
                <w:lang w:val="en-US"/>
              </w:rPr>
            </w:pPr>
            <w:sdt>
              <w:sdtPr>
                <w:rPr>
                  <w:rFonts w:ascii="Arial" w:eastAsia="Calibri" w:hAnsi="Arial" w:cs="Arial"/>
                  <w:bCs/>
                  <w:iCs/>
                  <w:sz w:val="20"/>
                  <w:szCs w:val="20"/>
                  <w:lang w:val="en-US"/>
                </w:rPr>
                <w:id w:val="-457260474"/>
              </w:sdtPr>
              <w:sdtContent>
                <w:r w:rsidR="0000536F" w:rsidRPr="000F5A61">
                  <w:rPr>
                    <w:rFonts w:ascii="Arial" w:eastAsia="MS Gothic" w:hAnsi="Arial" w:cs="Arial"/>
                    <w:bCs/>
                    <w:iCs/>
                    <w:sz w:val="20"/>
                    <w:szCs w:val="20"/>
                    <w:lang w:val="en-US"/>
                  </w:rPr>
                  <w:t>☐</w:t>
                </w:r>
              </w:sdtContent>
            </w:sdt>
            <w:r w:rsidR="0000536F" w:rsidRPr="000F5A61">
              <w:rPr>
                <w:rFonts w:ascii="Arial" w:eastAsia="Calibri" w:hAnsi="Arial" w:cs="Arial"/>
                <w:bCs/>
                <w:iCs/>
                <w:sz w:val="20"/>
                <w:szCs w:val="20"/>
                <w:lang w:val="en-US"/>
              </w:rPr>
              <w:t xml:space="preserve"> Yes         </w:t>
            </w:r>
            <w:sdt>
              <w:sdtPr>
                <w:rPr>
                  <w:rFonts w:ascii="Arial" w:eastAsia="Calibri" w:hAnsi="Arial" w:cs="Arial"/>
                  <w:bCs/>
                  <w:iCs/>
                  <w:sz w:val="20"/>
                  <w:szCs w:val="20"/>
                  <w:lang w:val="en-US"/>
                </w:rPr>
                <w:id w:val="1349053904"/>
              </w:sdtPr>
              <w:sdtContent>
                <w:r w:rsidR="0000536F" w:rsidRPr="000F5A61">
                  <w:rPr>
                    <w:rFonts w:ascii="Arial" w:eastAsia="Calibri" w:hAnsi="Arial" w:cs="Arial"/>
                    <w:bCs/>
                    <w:iCs/>
                    <w:sz w:val="20"/>
                    <w:szCs w:val="20"/>
                    <w:lang w:val="en-US"/>
                  </w:rPr>
                  <w:t>☐</w:t>
                </w:r>
              </w:sdtContent>
            </w:sdt>
            <w:r w:rsidR="0000536F" w:rsidRPr="000F5A61">
              <w:rPr>
                <w:rFonts w:ascii="Arial" w:eastAsia="Calibri" w:hAnsi="Arial" w:cs="Arial"/>
                <w:bCs/>
                <w:iCs/>
                <w:sz w:val="20"/>
                <w:szCs w:val="20"/>
                <w:lang w:val="en-US"/>
              </w:rPr>
              <w:t xml:space="preserve"> No</w:t>
            </w:r>
          </w:p>
        </w:tc>
      </w:tr>
      <w:tr w:rsidR="0000536F" w:rsidRPr="000F5A61" w:rsidTr="00FE411C">
        <w:trPr>
          <w:trHeight w:val="553"/>
        </w:trPr>
        <w:tc>
          <w:tcPr>
            <w:tcW w:w="6938" w:type="dxa"/>
            <w:shd w:val="clear" w:color="auto" w:fill="F2F2F2" w:themeFill="background1" w:themeFillShade="F2"/>
            <w:vAlign w:val="center"/>
          </w:tcPr>
          <w:p w:rsidR="0000536F" w:rsidRPr="000F5A61" w:rsidRDefault="0000536F" w:rsidP="0000536F">
            <w:pPr>
              <w:spacing w:before="120" w:after="120" w:line="240" w:lineRule="auto"/>
              <w:jc w:val="both"/>
              <w:rPr>
                <w:rFonts w:ascii="Arial" w:eastAsia="Calibri" w:hAnsi="Arial" w:cs="Arial"/>
                <w:b/>
                <w:bCs/>
                <w:sz w:val="20"/>
                <w:szCs w:val="20"/>
                <w:lang w:val="en-US"/>
              </w:rPr>
            </w:pPr>
            <w:r w:rsidRPr="000F5A61">
              <w:rPr>
                <w:rFonts w:ascii="Arial" w:eastAsia="Calibri" w:hAnsi="Arial" w:cs="Arial"/>
                <w:b/>
                <w:bCs/>
                <w:sz w:val="20"/>
                <w:szCs w:val="20"/>
                <w:lang w:val="en-US"/>
              </w:rPr>
              <w:t>For UMI countries:</w:t>
            </w:r>
          </w:p>
          <w:p w:rsidR="0000536F" w:rsidRPr="000F5A61" w:rsidRDefault="0000536F" w:rsidP="00027F87">
            <w:pPr>
              <w:pStyle w:val="ListParagraph"/>
              <w:keepNext/>
              <w:keepLines/>
              <w:numPr>
                <w:ilvl w:val="0"/>
                <w:numId w:val="12"/>
              </w:numPr>
              <w:spacing w:before="120" w:after="120" w:line="240" w:lineRule="auto"/>
              <w:ind w:left="417"/>
              <w:jc w:val="both"/>
              <w:rPr>
                <w:rFonts w:ascii="Arial" w:eastAsia="Calibri" w:hAnsi="Arial" w:cs="Arial"/>
                <w:b/>
                <w:bCs/>
                <w:sz w:val="20"/>
                <w:szCs w:val="20"/>
                <w:lang w:val="en-US"/>
              </w:rPr>
            </w:pPr>
            <w:r w:rsidRPr="000F5A61">
              <w:rPr>
                <w:rFonts w:ascii="Arial" w:eastAsia="Calibri" w:hAnsi="Arial" w:cs="Arial"/>
                <w:bCs/>
                <w:sz w:val="20"/>
                <w:szCs w:val="20"/>
                <w:lang w:val="en-US"/>
              </w:rPr>
              <w:t>Does</w:t>
            </w:r>
            <w:r w:rsidRPr="000F5A61">
              <w:rPr>
                <w:rFonts w:ascii="Arial" w:eastAsia="Calibri" w:hAnsi="Arial" w:cs="Arial"/>
                <w:sz w:val="20"/>
                <w:szCs w:val="20"/>
                <w:lang w:val="en-US"/>
              </w:rPr>
              <w:t xml:space="preserve">the funding request focus 100% of the budget on interventions that maintain or scale-up evidence-based </w:t>
            </w:r>
            <w:r w:rsidR="00027F87" w:rsidRPr="000F5A61">
              <w:rPr>
                <w:rFonts w:ascii="Arial" w:eastAsia="Calibri" w:hAnsi="Arial" w:cs="Arial"/>
                <w:sz w:val="20"/>
                <w:szCs w:val="20"/>
                <w:lang w:val="en-US"/>
              </w:rPr>
              <w:t>approaches</w:t>
            </w:r>
            <w:r w:rsidRPr="000F5A61">
              <w:rPr>
                <w:rFonts w:ascii="Arial" w:eastAsia="Calibri" w:hAnsi="Arial" w:cs="Arial"/>
                <w:sz w:val="20"/>
                <w:szCs w:val="20"/>
                <w:lang w:val="en-US"/>
              </w:rPr>
              <w:t xml:space="preserve"> for key and vulnerable populations</w:t>
            </w:r>
            <w:r w:rsidR="00027F87" w:rsidRPr="000F5A61">
              <w:rPr>
                <w:rFonts w:ascii="Arial" w:eastAsia="Calibri" w:hAnsi="Arial" w:cs="Arial"/>
                <w:sz w:val="20"/>
                <w:szCs w:val="20"/>
                <w:lang w:val="en-US"/>
              </w:rPr>
              <w:t>,</w:t>
            </w:r>
            <w:r w:rsidRPr="000F5A61">
              <w:rPr>
                <w:rFonts w:ascii="Arial" w:eastAsia="Calibri" w:hAnsi="Arial" w:cs="Arial"/>
                <w:sz w:val="20"/>
                <w:szCs w:val="20"/>
                <w:lang w:val="en-US"/>
              </w:rPr>
              <w:t xml:space="preserve"> including programs that address human rights and gender-related barriers and vulnerabilities?</w:t>
            </w:r>
          </w:p>
        </w:tc>
        <w:tc>
          <w:tcPr>
            <w:tcW w:w="2135" w:type="dxa"/>
            <w:shd w:val="clear" w:color="auto" w:fill="auto"/>
            <w:vAlign w:val="center"/>
          </w:tcPr>
          <w:p w:rsidR="0000536F" w:rsidRPr="000F5A61" w:rsidRDefault="00035C1E" w:rsidP="0000536F">
            <w:pPr>
              <w:keepNext/>
              <w:keepLines/>
              <w:tabs>
                <w:tab w:val="center" w:pos="4513"/>
                <w:tab w:val="right" w:pos="9026"/>
              </w:tabs>
              <w:spacing w:before="120" w:after="120" w:line="240" w:lineRule="auto"/>
              <w:jc w:val="both"/>
              <w:rPr>
                <w:rFonts w:ascii="Arial" w:eastAsia="Calibri" w:hAnsi="Arial" w:cs="Arial"/>
                <w:b/>
                <w:bCs/>
                <w:sz w:val="20"/>
                <w:szCs w:val="20"/>
                <w:lang w:val="en-US"/>
              </w:rPr>
            </w:pPr>
            <w:sdt>
              <w:sdtPr>
                <w:rPr>
                  <w:rFonts w:ascii="Arial" w:eastAsia="Calibri" w:hAnsi="Arial" w:cs="Arial"/>
                  <w:bCs/>
                  <w:iCs/>
                  <w:sz w:val="20"/>
                  <w:szCs w:val="20"/>
                  <w:lang w:val="en-US"/>
                </w:rPr>
                <w:id w:val="561459683"/>
              </w:sdtPr>
              <w:sdtContent>
                <w:r w:rsidR="0000536F" w:rsidRPr="000F5A61">
                  <w:rPr>
                    <w:rFonts w:ascii="Arial" w:eastAsia="MS Gothic" w:hAnsi="Arial" w:cs="Arial"/>
                    <w:bCs/>
                    <w:iCs/>
                    <w:sz w:val="20"/>
                    <w:szCs w:val="20"/>
                    <w:lang w:val="en-US"/>
                  </w:rPr>
                  <w:t>☐</w:t>
                </w:r>
              </w:sdtContent>
            </w:sdt>
            <w:r w:rsidR="0000536F" w:rsidRPr="000F5A61">
              <w:rPr>
                <w:rFonts w:ascii="Arial" w:eastAsia="Calibri" w:hAnsi="Arial" w:cs="Arial"/>
                <w:bCs/>
                <w:iCs/>
                <w:sz w:val="20"/>
                <w:szCs w:val="20"/>
                <w:lang w:val="en-US"/>
              </w:rPr>
              <w:t xml:space="preserve"> Yes         </w:t>
            </w:r>
            <w:sdt>
              <w:sdtPr>
                <w:rPr>
                  <w:rFonts w:ascii="Arial" w:eastAsia="Calibri" w:hAnsi="Arial" w:cs="Arial"/>
                  <w:bCs/>
                  <w:iCs/>
                  <w:sz w:val="20"/>
                  <w:szCs w:val="20"/>
                  <w:lang w:val="en-US"/>
                </w:rPr>
                <w:id w:val="763809565"/>
              </w:sdtPr>
              <w:sdtContent>
                <w:r w:rsidR="0000536F" w:rsidRPr="000F5A61">
                  <w:rPr>
                    <w:rFonts w:ascii="Arial" w:eastAsia="Calibri" w:hAnsi="Arial" w:cs="Arial"/>
                    <w:bCs/>
                    <w:iCs/>
                    <w:sz w:val="20"/>
                    <w:szCs w:val="20"/>
                    <w:lang w:val="en-US"/>
                  </w:rPr>
                  <w:t>☐</w:t>
                </w:r>
              </w:sdtContent>
            </w:sdt>
            <w:r w:rsidR="0000536F" w:rsidRPr="000F5A61">
              <w:rPr>
                <w:rFonts w:ascii="Arial" w:eastAsia="Calibri" w:hAnsi="Arial" w:cs="Arial"/>
                <w:bCs/>
                <w:iCs/>
                <w:sz w:val="20"/>
                <w:szCs w:val="20"/>
                <w:lang w:val="en-US"/>
              </w:rPr>
              <w:t xml:space="preserve"> No</w:t>
            </w:r>
          </w:p>
        </w:tc>
      </w:tr>
      <w:tr w:rsidR="0000536F" w:rsidRPr="000F5A61" w:rsidTr="00FE411C">
        <w:trPr>
          <w:trHeight w:val="746"/>
        </w:trPr>
        <w:tc>
          <w:tcPr>
            <w:tcW w:w="9073" w:type="dxa"/>
            <w:gridSpan w:val="2"/>
            <w:shd w:val="clear" w:color="auto" w:fill="F2F2F2" w:themeFill="background1" w:themeFillShade="F2"/>
            <w:vAlign w:val="center"/>
          </w:tcPr>
          <w:p w:rsidR="0000536F" w:rsidRPr="000F5A61" w:rsidRDefault="00027F87" w:rsidP="00027F87">
            <w:pPr>
              <w:keepNext/>
              <w:keepLines/>
              <w:spacing w:before="120" w:after="120" w:line="240" w:lineRule="auto"/>
              <w:jc w:val="both"/>
              <w:rPr>
                <w:rFonts w:ascii="Arial" w:eastAsia="Calibri" w:hAnsi="Arial" w:cs="Arial"/>
                <w:b/>
                <w:sz w:val="20"/>
                <w:szCs w:val="20"/>
                <w:lang w:val="en-US"/>
              </w:rPr>
            </w:pPr>
            <w:r w:rsidRPr="000F5A61">
              <w:rPr>
                <w:rFonts w:ascii="Arial" w:eastAsia="Calibri" w:hAnsi="Arial" w:cs="Arial"/>
                <w:b/>
                <w:bCs/>
                <w:sz w:val="20"/>
                <w:szCs w:val="20"/>
                <w:lang w:val="en-US"/>
              </w:rPr>
              <w:t>E</w:t>
            </w:r>
            <w:r w:rsidR="0000536F" w:rsidRPr="000F5A61">
              <w:rPr>
                <w:rFonts w:ascii="Arial" w:eastAsia="Calibri" w:hAnsi="Arial" w:cs="Arial"/>
                <w:b/>
                <w:bCs/>
                <w:sz w:val="20"/>
                <w:szCs w:val="20"/>
                <w:lang w:val="en-US"/>
              </w:rPr>
              <w:t xml:space="preserve">nsure that the funding request as described in </w:t>
            </w:r>
            <w:r w:rsidRPr="000F5A61">
              <w:rPr>
                <w:rFonts w:ascii="Arial" w:eastAsia="Calibri" w:hAnsi="Arial" w:cs="Arial"/>
                <w:b/>
                <w:bCs/>
                <w:sz w:val="20"/>
                <w:szCs w:val="20"/>
                <w:lang w:val="en-US"/>
              </w:rPr>
              <w:t>questions</w:t>
            </w:r>
            <w:r w:rsidR="0000536F" w:rsidRPr="000F5A61">
              <w:rPr>
                <w:rFonts w:ascii="Arial" w:eastAsia="Calibri" w:hAnsi="Arial" w:cs="Arial"/>
                <w:b/>
                <w:bCs/>
                <w:sz w:val="20"/>
                <w:szCs w:val="20"/>
                <w:lang w:val="en-US"/>
              </w:rPr>
              <w:t xml:space="preserve"> 2.1 and/or 2.2 meet</w:t>
            </w:r>
            <w:r w:rsidR="008945F5" w:rsidRPr="000F5A61">
              <w:rPr>
                <w:rFonts w:ascii="Arial" w:eastAsia="Calibri" w:hAnsi="Arial" w:cs="Arial"/>
                <w:b/>
                <w:bCs/>
                <w:sz w:val="20"/>
                <w:szCs w:val="20"/>
                <w:lang w:val="en-US"/>
              </w:rPr>
              <w:t>s</w:t>
            </w:r>
            <w:r w:rsidR="0000536F" w:rsidRPr="000F5A61">
              <w:rPr>
                <w:rFonts w:ascii="Arial" w:eastAsia="Calibri" w:hAnsi="Arial" w:cs="Arial"/>
                <w:b/>
                <w:bCs/>
                <w:sz w:val="20"/>
                <w:szCs w:val="20"/>
                <w:lang w:val="en-US"/>
              </w:rPr>
              <w:t xml:space="preserve"> this focus of application requirement. </w:t>
            </w:r>
          </w:p>
        </w:tc>
      </w:tr>
    </w:tbl>
    <w:p w:rsidR="00FC77AC" w:rsidRPr="000F5A61" w:rsidRDefault="00961897" w:rsidP="00366E9D">
      <w:pPr>
        <w:spacing w:before="240"/>
        <w:rPr>
          <w:rFonts w:ascii="Arial" w:hAnsi="Arial" w:cs="Arial"/>
          <w:sz w:val="20"/>
          <w:szCs w:val="20"/>
        </w:rPr>
      </w:pPr>
      <w:r w:rsidRPr="000F5A61">
        <w:rPr>
          <w:rFonts w:ascii="Arial" w:hAnsi="Arial" w:cs="Arial"/>
          <w:sz w:val="20"/>
          <w:szCs w:val="20"/>
        </w:rPr>
        <w:t>N</w:t>
      </w:r>
      <w:r w:rsidR="002E4845" w:rsidRPr="000F5A61">
        <w:rPr>
          <w:rFonts w:ascii="Arial" w:hAnsi="Arial" w:cs="Arial"/>
          <w:sz w:val="20"/>
          <w:szCs w:val="20"/>
        </w:rPr>
        <w:t>ot applicable - Nepal is a low-income country.</w:t>
      </w:r>
      <w:r w:rsidR="00FC77AC" w:rsidRPr="000F5A61">
        <w:rPr>
          <w:rFonts w:ascii="Arial" w:hAnsi="Arial" w:cs="Arial"/>
          <w:sz w:val="20"/>
          <w:szCs w:val="20"/>
        </w:rPr>
        <w:br w:type="page"/>
      </w:r>
    </w:p>
    <w:tbl>
      <w:tblPr>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A0"/>
      </w:tblPr>
      <w:tblGrid>
        <w:gridCol w:w="9045"/>
      </w:tblGrid>
      <w:tr w:rsidR="005A62F6" w:rsidRPr="000F5A61" w:rsidTr="008547FF">
        <w:trPr>
          <w:trHeight w:val="409"/>
          <w:jc w:val="center"/>
        </w:trPr>
        <w:tc>
          <w:tcPr>
            <w:tcW w:w="9045" w:type="dxa"/>
            <w:shd w:val="clear" w:color="auto" w:fill="1F497D"/>
            <w:vAlign w:val="center"/>
          </w:tcPr>
          <w:p w:rsidR="005A62F6" w:rsidRPr="000F5A61" w:rsidRDefault="005A62F6" w:rsidP="005A62F6">
            <w:pPr>
              <w:spacing w:after="0" w:line="240" w:lineRule="auto"/>
              <w:rPr>
                <w:rFonts w:ascii="Arial" w:eastAsia="Calibri" w:hAnsi="Arial" w:cs="Arial"/>
                <w:b/>
                <w:bCs/>
                <w:sz w:val="20"/>
                <w:szCs w:val="20"/>
                <w:lang w:val="en-US"/>
              </w:rPr>
            </w:pPr>
            <w:r w:rsidRPr="000F5A61">
              <w:rPr>
                <w:rFonts w:ascii="Arial" w:eastAsia="SimSun" w:hAnsi="Arial" w:cs="Arial"/>
                <w:b/>
                <w:sz w:val="20"/>
                <w:szCs w:val="20"/>
                <w:lang w:val="en-US" w:eastAsia="zh-CN"/>
              </w:rPr>
              <w:lastRenderedPageBreak/>
              <w:t>SECTION 3: OPERATIONALIZATION AND RISK MITIGATION</w:t>
            </w:r>
          </w:p>
        </w:tc>
      </w:tr>
      <w:tr w:rsidR="005A62F6" w:rsidRPr="000F5A61" w:rsidTr="008547FF">
        <w:trPr>
          <w:trHeight w:val="847"/>
          <w:jc w:val="center"/>
        </w:trPr>
        <w:tc>
          <w:tcPr>
            <w:tcW w:w="9045" w:type="dxa"/>
            <w:shd w:val="clear" w:color="auto" w:fill="F2F2F2" w:themeFill="background1" w:themeFillShade="F2"/>
            <w:vAlign w:val="center"/>
          </w:tcPr>
          <w:p w:rsidR="005A62F6" w:rsidRPr="000F5A61" w:rsidRDefault="002174A0" w:rsidP="006C0AFC">
            <w:pPr>
              <w:spacing w:after="0" w:line="240" w:lineRule="auto"/>
              <w:jc w:val="both"/>
              <w:rPr>
                <w:rFonts w:ascii="Arial" w:eastAsia="Calibri" w:hAnsi="Arial" w:cs="Arial"/>
                <w:b/>
                <w:bCs/>
                <w:iCs/>
                <w:sz w:val="20"/>
                <w:szCs w:val="20"/>
                <w:lang w:val="en-US"/>
              </w:rPr>
            </w:pPr>
            <w:r w:rsidRPr="000F5A61">
              <w:rPr>
                <w:rFonts w:ascii="Arial" w:hAnsi="Arial" w:cs="Arial"/>
                <w:bCs/>
                <w:iCs/>
                <w:sz w:val="20"/>
                <w:szCs w:val="20"/>
              </w:rPr>
              <w:t>This section describes the</w:t>
            </w:r>
            <w:r w:rsidR="006E048B" w:rsidRPr="000F5A61">
              <w:rPr>
                <w:rFonts w:ascii="Arial" w:hAnsi="Arial" w:cs="Arial"/>
                <w:bCs/>
                <w:iCs/>
                <w:sz w:val="20"/>
                <w:szCs w:val="20"/>
              </w:rPr>
              <w:t xml:space="preserve"> planned</w:t>
            </w:r>
            <w:r w:rsidR="00E16725" w:rsidRPr="000F5A61">
              <w:rPr>
                <w:rFonts w:ascii="Arial" w:hAnsi="Arial" w:cs="Arial"/>
                <w:bCs/>
                <w:iCs/>
                <w:sz w:val="20"/>
                <w:szCs w:val="20"/>
              </w:rPr>
              <w:t>implementation</w:t>
            </w:r>
            <w:r w:rsidR="008945F5" w:rsidRPr="000F5A61">
              <w:rPr>
                <w:rFonts w:ascii="Arial" w:hAnsi="Arial" w:cs="Arial"/>
                <w:bCs/>
                <w:iCs/>
                <w:sz w:val="20"/>
                <w:szCs w:val="20"/>
              </w:rPr>
              <w:t xml:space="preserve"> arrang</w:t>
            </w:r>
            <w:r w:rsidR="00E16725" w:rsidRPr="000F5A61">
              <w:rPr>
                <w:rFonts w:ascii="Arial" w:hAnsi="Arial" w:cs="Arial"/>
                <w:bCs/>
                <w:iCs/>
                <w:sz w:val="20"/>
                <w:szCs w:val="20"/>
              </w:rPr>
              <w:t>ements and foreseen risks for</w:t>
            </w:r>
            <w:r w:rsidRPr="000F5A61">
              <w:rPr>
                <w:rFonts w:ascii="Arial" w:hAnsi="Arial" w:cs="Arial"/>
                <w:bCs/>
                <w:iCs/>
                <w:sz w:val="20"/>
                <w:szCs w:val="20"/>
              </w:rPr>
              <w:t xml:space="preserve"> the </w:t>
            </w:r>
            <w:r w:rsidR="00E16725" w:rsidRPr="000F5A61">
              <w:rPr>
                <w:rFonts w:ascii="Arial" w:hAnsi="Arial" w:cs="Arial"/>
                <w:bCs/>
                <w:iCs/>
                <w:sz w:val="20"/>
                <w:szCs w:val="20"/>
              </w:rPr>
              <w:t>proposed program(s)</w:t>
            </w:r>
            <w:r w:rsidRPr="000F5A61">
              <w:rPr>
                <w:rFonts w:ascii="Arial" w:hAnsi="Arial" w:cs="Arial"/>
                <w:bCs/>
                <w:iCs/>
                <w:sz w:val="20"/>
                <w:szCs w:val="20"/>
              </w:rPr>
              <w:t xml:space="preserve">. </w:t>
            </w:r>
            <w:r w:rsidR="006C0AFC" w:rsidRPr="000F5A61">
              <w:rPr>
                <w:rFonts w:ascii="Arial" w:hAnsi="Arial" w:cs="Arial"/>
                <w:bCs/>
                <w:iCs/>
                <w:sz w:val="20"/>
                <w:szCs w:val="20"/>
              </w:rPr>
              <w:t xml:space="preserve">Applicants are encouraged to </w:t>
            </w:r>
            <w:r w:rsidR="006C0AFC" w:rsidRPr="000F5A61">
              <w:rPr>
                <w:rFonts w:ascii="Arial" w:hAnsi="Arial" w:cs="Arial"/>
                <w:b/>
                <w:bCs/>
                <w:iCs/>
                <w:sz w:val="20"/>
                <w:szCs w:val="20"/>
              </w:rPr>
              <w:t>a</w:t>
            </w:r>
            <w:r w:rsidR="0020041F" w:rsidRPr="000F5A61">
              <w:rPr>
                <w:rFonts w:ascii="Arial" w:hAnsi="Arial" w:cs="Arial"/>
                <w:b/>
                <w:bCs/>
                <w:iCs/>
                <w:sz w:val="20"/>
                <w:szCs w:val="20"/>
              </w:rPr>
              <w:t>ttach</w:t>
            </w:r>
            <w:r w:rsidR="005A62F6" w:rsidRPr="000F5A61">
              <w:rPr>
                <w:rFonts w:ascii="Arial" w:eastAsia="Calibri" w:hAnsi="Arial" w:cs="Arial"/>
                <w:b/>
                <w:bCs/>
                <w:iCs/>
                <w:sz w:val="20"/>
                <w:szCs w:val="20"/>
                <w:lang w:val="en-US"/>
              </w:rPr>
              <w:t xml:space="preserve"> an </w:t>
            </w:r>
            <w:r w:rsidR="006C0AFC" w:rsidRPr="000F5A61">
              <w:rPr>
                <w:rFonts w:ascii="Arial" w:eastAsia="Calibri" w:hAnsi="Arial" w:cs="Arial"/>
                <w:b/>
                <w:bCs/>
                <w:iCs/>
                <w:sz w:val="20"/>
                <w:szCs w:val="20"/>
                <w:lang w:val="en-US"/>
              </w:rPr>
              <w:t xml:space="preserve">updated </w:t>
            </w:r>
            <w:r w:rsidR="005A62F6" w:rsidRPr="000F5A61">
              <w:rPr>
                <w:rFonts w:ascii="Arial" w:eastAsia="Calibri" w:hAnsi="Arial" w:cs="Arial"/>
                <w:b/>
                <w:bCs/>
                <w:iCs/>
                <w:sz w:val="20"/>
                <w:szCs w:val="20"/>
                <w:lang w:val="en-US"/>
              </w:rPr>
              <w:t xml:space="preserve">Implementation Arrangements </w:t>
            </w:r>
            <w:r w:rsidR="00C77493" w:rsidRPr="000F5A61">
              <w:rPr>
                <w:rFonts w:ascii="Arial" w:eastAsia="Calibri" w:hAnsi="Arial" w:cs="Arial"/>
                <w:b/>
                <w:bCs/>
                <w:iCs/>
                <w:sz w:val="20"/>
                <w:szCs w:val="20"/>
                <w:lang w:val="en-US"/>
              </w:rPr>
              <w:t>Map</w:t>
            </w:r>
            <w:r w:rsidR="005A62F6" w:rsidRPr="000F5A61">
              <w:rPr>
                <w:rFonts w:ascii="Arial" w:eastAsia="Calibri" w:hAnsi="Arial" w:cs="Arial"/>
                <w:b/>
                <w:bCs/>
                <w:iCs/>
                <w:sz w:val="20"/>
                <w:szCs w:val="20"/>
                <w:lang w:val="en-US"/>
              </w:rPr>
              <w:t>.</w:t>
            </w:r>
            <w:r w:rsidR="00972638" w:rsidRPr="000F5A61">
              <w:rPr>
                <w:rFonts w:ascii="Arial" w:eastAsia="Calibri" w:hAnsi="Arial" w:cs="Arial"/>
                <w:bCs/>
                <w:iCs/>
                <w:sz w:val="20"/>
                <w:szCs w:val="20"/>
                <w:lang w:val="en-US"/>
              </w:rPr>
              <w:t>To respond, r</w:t>
            </w:r>
            <w:r w:rsidR="005A62F6" w:rsidRPr="000F5A61">
              <w:rPr>
                <w:rFonts w:ascii="Arial" w:eastAsia="Calibri" w:hAnsi="Arial" w:cs="Arial"/>
                <w:bCs/>
                <w:iCs/>
                <w:sz w:val="20"/>
                <w:szCs w:val="20"/>
                <w:lang w:val="en-US"/>
              </w:rPr>
              <w:t>efer to</w:t>
            </w:r>
            <w:r w:rsidR="006E048B" w:rsidRPr="000F5A61">
              <w:rPr>
                <w:rFonts w:ascii="Arial" w:eastAsia="Calibri" w:hAnsi="Arial" w:cs="Arial"/>
                <w:sz w:val="20"/>
                <w:szCs w:val="20"/>
                <w:lang w:val="en-US"/>
              </w:rPr>
              <w:t>additional</w:t>
            </w:r>
            <w:r w:rsidR="005265DB" w:rsidRPr="000F5A61">
              <w:rPr>
                <w:rFonts w:ascii="Arial" w:eastAsia="Calibri" w:hAnsi="Arial" w:cs="Arial"/>
                <w:bCs/>
                <w:iCs/>
                <w:sz w:val="20"/>
                <w:szCs w:val="20"/>
                <w:lang w:val="en-US"/>
              </w:rPr>
              <w:t xml:space="preserve">guidance </w:t>
            </w:r>
            <w:r w:rsidR="00B72573" w:rsidRPr="000F5A61">
              <w:rPr>
                <w:rFonts w:ascii="Arial" w:eastAsia="Calibri" w:hAnsi="Arial" w:cs="Arial"/>
                <w:bCs/>
                <w:iCs/>
                <w:sz w:val="20"/>
                <w:szCs w:val="20"/>
                <w:lang w:val="en-US"/>
              </w:rPr>
              <w:t xml:space="preserve">provided </w:t>
            </w:r>
            <w:r w:rsidR="005265DB" w:rsidRPr="000F5A61">
              <w:rPr>
                <w:rFonts w:ascii="Arial" w:eastAsia="Calibri" w:hAnsi="Arial" w:cs="Arial"/>
                <w:bCs/>
                <w:iCs/>
                <w:sz w:val="20"/>
                <w:szCs w:val="20"/>
                <w:lang w:val="en-US"/>
              </w:rPr>
              <w:t xml:space="preserve">in the </w:t>
            </w:r>
            <w:r w:rsidR="00B7710C" w:rsidRPr="000F5A61">
              <w:rPr>
                <w:rFonts w:ascii="Arial" w:hAnsi="Arial" w:cs="Arial"/>
                <w:bCs/>
                <w:i/>
                <w:iCs/>
                <w:sz w:val="20"/>
                <w:szCs w:val="20"/>
              </w:rPr>
              <w:t>Instructions</w:t>
            </w:r>
            <w:r w:rsidR="00485F5B" w:rsidRPr="000F5A61">
              <w:rPr>
                <w:rFonts w:ascii="Arial" w:hAnsi="Arial" w:cs="Arial"/>
                <w:bCs/>
                <w:i/>
                <w:iCs/>
                <w:sz w:val="20"/>
                <w:szCs w:val="20"/>
              </w:rPr>
              <w:t>.</w:t>
            </w:r>
          </w:p>
        </w:tc>
      </w:tr>
    </w:tbl>
    <w:p w:rsidR="00961897" w:rsidRPr="000F5A61" w:rsidRDefault="00961897" w:rsidP="00827D9E">
      <w:pPr>
        <w:spacing w:after="0"/>
        <w:rPr>
          <w:rFonts w:ascii="Arial" w:hAnsi="Arial" w:cs="Arial"/>
          <w:sz w:val="20"/>
          <w:szCs w:val="20"/>
        </w:rPr>
      </w:pPr>
    </w:p>
    <w:p w:rsidR="00C71D93" w:rsidRPr="000F5A61" w:rsidRDefault="0011240B" w:rsidP="00C71D93">
      <w:pPr>
        <w:widowControl w:val="0"/>
        <w:autoSpaceDE w:val="0"/>
        <w:autoSpaceDN w:val="0"/>
        <w:adjustRightInd w:val="0"/>
        <w:spacing w:after="120" w:line="240" w:lineRule="auto"/>
        <w:rPr>
          <w:rFonts w:ascii="Arial" w:hAnsi="Arial" w:cs="Arial"/>
          <w:sz w:val="20"/>
          <w:szCs w:val="20"/>
          <w:lang w:val="en-US"/>
        </w:rPr>
      </w:pPr>
      <w:r w:rsidRPr="000F5A61">
        <w:rPr>
          <w:rFonts w:ascii="Arial" w:hAnsi="Arial" w:cs="Arial"/>
          <w:bCs/>
          <w:sz w:val="20"/>
          <w:szCs w:val="20"/>
        </w:rPr>
        <w:t xml:space="preserve">Please refer to the ‘NEP implementation arrangements map 170821.xlsx’ (annex </w:t>
      </w:r>
      <w:r w:rsidR="008B1AD7" w:rsidRPr="000F5A61">
        <w:rPr>
          <w:rFonts w:ascii="Arial" w:hAnsi="Arial" w:cs="Arial"/>
          <w:bCs/>
          <w:sz w:val="20"/>
          <w:szCs w:val="20"/>
        </w:rPr>
        <w:t>12</w:t>
      </w:r>
      <w:r w:rsidRPr="000F5A61">
        <w:rPr>
          <w:rFonts w:ascii="Arial" w:hAnsi="Arial" w:cs="Arial"/>
          <w:bCs/>
          <w:sz w:val="20"/>
          <w:szCs w:val="20"/>
        </w:rPr>
        <w:t xml:space="preserve">). </w:t>
      </w:r>
      <w:r w:rsidR="00C71D93" w:rsidRPr="000F5A61">
        <w:rPr>
          <w:rFonts w:ascii="Arial" w:hAnsi="Arial" w:cs="Arial"/>
          <w:bCs/>
          <w:sz w:val="20"/>
          <w:szCs w:val="20"/>
        </w:rPr>
        <w:t>The</w:t>
      </w:r>
      <w:r w:rsidR="00C71D93" w:rsidRPr="000F5A61">
        <w:rPr>
          <w:rFonts w:ascii="Arial" w:hAnsi="Arial" w:cs="Arial"/>
          <w:sz w:val="20"/>
          <w:szCs w:val="20"/>
        </w:rPr>
        <w:t xml:space="preserve"> MoH is the lead organization for policy formulation, planning and decision making at macro level. Under MoH, and within the Department of Health Services (DoHS), the EDCD is responsible for the NM</w:t>
      </w:r>
      <w:r w:rsidR="00D90C84" w:rsidRPr="000F5A61">
        <w:rPr>
          <w:rFonts w:ascii="Arial" w:hAnsi="Arial" w:cs="Arial"/>
          <w:sz w:val="20"/>
          <w:szCs w:val="20"/>
        </w:rPr>
        <w:t>E</w:t>
      </w:r>
      <w:r w:rsidR="00C71D93" w:rsidRPr="000F5A61">
        <w:rPr>
          <w:rFonts w:ascii="Arial" w:hAnsi="Arial" w:cs="Arial"/>
          <w:sz w:val="20"/>
          <w:szCs w:val="20"/>
        </w:rPr>
        <w:t>P. EDCD is responsible for developing strategies and guidelines, and for planning and monitoring the implementation of malaria elimination (plus the control/elimination of other vector-borne diseases).  It is supported by the Vector-Borne Disease Research and Training Centre (VBDRTC)</w:t>
      </w:r>
      <w:r w:rsidR="00C71D93" w:rsidRPr="000F5A61">
        <w:rPr>
          <w:rStyle w:val="FootnoteReference"/>
          <w:rFonts w:ascii="Arial" w:hAnsi="Arial" w:cs="Arial"/>
          <w:sz w:val="20"/>
          <w:szCs w:val="20"/>
        </w:rPr>
        <w:footnoteReference w:id="24"/>
      </w:r>
      <w:r w:rsidR="00C71D93" w:rsidRPr="000F5A61">
        <w:rPr>
          <w:rFonts w:ascii="Arial" w:hAnsi="Arial" w:cs="Arial"/>
          <w:sz w:val="20"/>
          <w:szCs w:val="20"/>
        </w:rPr>
        <w:t xml:space="preserve">, which is currently being revitalized to take a key role in entomological and epidemiological research and monitoring, and training. At each of the five regions (soon to be 7 provinces), there is a Disease Control Section (DCS) under the Public Health Section of the Regional Health Directorate (RHD). At each of the 75 Districts, Malaria and Vector Borne Disease Units should be staffed with one District health officer/District public health officer (DHO/DPHO), one vector control officer/inspector (VCO/VCI), one malaria inspector (MI), one SA, one MR, an accountant and a storekeeper.  A significant number of staff </w:t>
      </w:r>
      <w:r w:rsidR="00C71D93" w:rsidRPr="000F5A61">
        <w:rPr>
          <w:rFonts w:ascii="Arial" w:hAnsi="Arial" w:cs="Arial"/>
          <w:sz w:val="20"/>
          <w:szCs w:val="20"/>
          <w:lang w:val="en-US"/>
        </w:rPr>
        <w:t>positions at all levels have been lying vacant for many years.</w:t>
      </w:r>
    </w:p>
    <w:p w:rsidR="00C71D93" w:rsidRPr="000F5A61" w:rsidRDefault="00C71D93" w:rsidP="00C71D93">
      <w:pPr>
        <w:spacing w:after="120" w:line="240" w:lineRule="auto"/>
        <w:rPr>
          <w:rFonts w:ascii="Arial" w:hAnsi="Arial" w:cs="Arial"/>
          <w:sz w:val="20"/>
          <w:szCs w:val="20"/>
        </w:rPr>
      </w:pPr>
      <w:r w:rsidRPr="000F5A61">
        <w:rPr>
          <w:rFonts w:ascii="Arial" w:hAnsi="Arial" w:cs="Arial"/>
          <w:sz w:val="20"/>
          <w:szCs w:val="20"/>
        </w:rPr>
        <w:t xml:space="preserve">SCI, the current PR for the </w:t>
      </w:r>
      <w:r w:rsidR="009251EC" w:rsidRPr="000F5A61">
        <w:rPr>
          <w:rFonts w:ascii="Arial" w:hAnsi="Arial" w:cs="Arial"/>
          <w:sz w:val="20"/>
          <w:szCs w:val="20"/>
        </w:rPr>
        <w:t>GFATM</w:t>
      </w:r>
      <w:r w:rsidRPr="000F5A61">
        <w:rPr>
          <w:rFonts w:ascii="Arial" w:hAnsi="Arial" w:cs="Arial"/>
          <w:sz w:val="20"/>
          <w:szCs w:val="20"/>
        </w:rPr>
        <w:t xml:space="preserve"> grant in Nepal, has a total of 23 full time staff supporting the government with implementation of malaria related activities. </w:t>
      </w:r>
    </w:p>
    <w:p w:rsidR="00C71D93" w:rsidRPr="000F5A61" w:rsidRDefault="00D90C84" w:rsidP="0011240B">
      <w:pPr>
        <w:spacing w:after="120" w:line="240" w:lineRule="auto"/>
        <w:rPr>
          <w:rFonts w:ascii="Arial" w:hAnsi="Arial" w:cs="Arial"/>
          <w:sz w:val="20"/>
          <w:szCs w:val="20"/>
        </w:rPr>
      </w:pPr>
      <w:r w:rsidRPr="000F5A61">
        <w:rPr>
          <w:rFonts w:ascii="Arial" w:hAnsi="Arial" w:cs="Arial"/>
          <w:sz w:val="20"/>
          <w:szCs w:val="20"/>
        </w:rPr>
        <w:t>The</w:t>
      </w:r>
      <w:r w:rsidR="00C71D93" w:rsidRPr="000F5A61">
        <w:rPr>
          <w:rFonts w:ascii="Arial" w:hAnsi="Arial" w:cs="Arial"/>
          <w:sz w:val="20"/>
          <w:szCs w:val="20"/>
          <w:lang w:val="en-US"/>
        </w:rPr>
        <w:t xml:space="preserve">ministerial level committee - the </w:t>
      </w:r>
      <w:r w:rsidR="00C71D93" w:rsidRPr="000F5A61">
        <w:rPr>
          <w:rFonts w:ascii="Arial" w:hAnsi="Arial" w:cs="Arial"/>
          <w:sz w:val="20"/>
          <w:szCs w:val="20"/>
        </w:rPr>
        <w:t xml:space="preserve">NMESC- </w:t>
      </w:r>
      <w:r w:rsidR="00C71D93" w:rsidRPr="000F5A61">
        <w:rPr>
          <w:rFonts w:ascii="Arial" w:hAnsi="Arial" w:cs="Arial"/>
          <w:sz w:val="20"/>
          <w:szCs w:val="20"/>
          <w:lang w:val="en-US"/>
        </w:rPr>
        <w:t xml:space="preserve">will oversee malaria elimination efforts. </w:t>
      </w:r>
      <w:r w:rsidR="00C71D93" w:rsidRPr="000F5A61">
        <w:rPr>
          <w:rFonts w:ascii="Arial" w:hAnsi="Arial" w:cs="Arial"/>
          <w:sz w:val="20"/>
          <w:szCs w:val="20"/>
        </w:rPr>
        <w:t>The NMESC will be supported by the Programme’s NMET</w:t>
      </w:r>
      <w:r w:rsidRPr="000F5A61">
        <w:rPr>
          <w:rFonts w:ascii="Arial" w:hAnsi="Arial" w:cs="Arial"/>
          <w:sz w:val="20"/>
          <w:szCs w:val="20"/>
        </w:rPr>
        <w:t xml:space="preserve">, </w:t>
      </w:r>
      <w:r w:rsidR="00C71D93" w:rsidRPr="000F5A61">
        <w:rPr>
          <w:rFonts w:ascii="Arial" w:hAnsi="Arial" w:cs="Arial"/>
          <w:sz w:val="20"/>
          <w:szCs w:val="20"/>
        </w:rPr>
        <w:t>and both the NMET and the NMESC will be supported by the Malaria TWG.</w:t>
      </w:r>
    </w:p>
    <w:p w:rsidR="00C71D93" w:rsidRPr="000F5A61" w:rsidRDefault="00C71D93" w:rsidP="00827D9E">
      <w:pPr>
        <w:spacing w:after="0"/>
        <w:rPr>
          <w:rFonts w:ascii="Arial" w:hAnsi="Arial" w:cs="Arial"/>
          <w:sz w:val="20"/>
          <w:szCs w:val="20"/>
        </w:rPr>
      </w:pPr>
    </w:p>
    <w:tbl>
      <w:tblPr>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A0"/>
      </w:tblPr>
      <w:tblGrid>
        <w:gridCol w:w="7264"/>
        <w:gridCol w:w="1815"/>
      </w:tblGrid>
      <w:tr w:rsidR="005A62F6" w:rsidRPr="000F5A61" w:rsidTr="008547FF">
        <w:trPr>
          <w:trHeight w:val="274"/>
          <w:jc w:val="center"/>
        </w:trPr>
        <w:tc>
          <w:tcPr>
            <w:tcW w:w="9079" w:type="dxa"/>
            <w:gridSpan w:val="2"/>
            <w:shd w:val="clear" w:color="auto" w:fill="C6D9F1"/>
          </w:tcPr>
          <w:p w:rsidR="005A62F6" w:rsidRPr="000F5A61" w:rsidRDefault="005A62F6" w:rsidP="005A62F6">
            <w:pPr>
              <w:spacing w:before="120" w:after="120" w:line="240" w:lineRule="auto"/>
              <w:jc w:val="both"/>
              <w:rPr>
                <w:rFonts w:ascii="Arial" w:eastAsia="Calibri" w:hAnsi="Arial" w:cs="Arial"/>
                <w:b/>
                <w:bCs/>
                <w:sz w:val="20"/>
                <w:szCs w:val="20"/>
                <w:lang w:val="en-US"/>
              </w:rPr>
            </w:pPr>
            <w:r w:rsidRPr="000F5A61">
              <w:rPr>
                <w:rFonts w:ascii="Arial" w:eastAsia="Calibri" w:hAnsi="Arial" w:cs="Arial"/>
                <w:b/>
                <w:bCs/>
                <w:sz w:val="20"/>
                <w:szCs w:val="20"/>
                <w:lang w:val="en-US"/>
              </w:rPr>
              <w:t>3.1 Implementation arrangements summary</w:t>
            </w:r>
          </w:p>
        </w:tc>
      </w:tr>
      <w:tr w:rsidR="005A62F6" w:rsidRPr="000F5A61" w:rsidTr="008547FF">
        <w:trPr>
          <w:trHeight w:val="274"/>
          <w:jc w:val="center"/>
        </w:trPr>
        <w:tc>
          <w:tcPr>
            <w:tcW w:w="7264" w:type="dxa"/>
            <w:tcBorders>
              <w:bottom w:val="nil"/>
            </w:tcBorders>
            <w:shd w:val="clear" w:color="auto" w:fill="F2F2F2" w:themeFill="background1" w:themeFillShade="F2"/>
          </w:tcPr>
          <w:p w:rsidR="005A62F6" w:rsidRPr="000F5A61" w:rsidRDefault="005A62F6" w:rsidP="00B72573">
            <w:pPr>
              <w:spacing w:before="120" w:after="120" w:line="240" w:lineRule="auto"/>
              <w:rPr>
                <w:rFonts w:ascii="Arial" w:eastAsia="Calibri" w:hAnsi="Arial" w:cs="Arial"/>
                <w:bCs/>
                <w:sz w:val="20"/>
                <w:szCs w:val="20"/>
                <w:lang w:val="en-US"/>
              </w:rPr>
            </w:pPr>
            <w:r w:rsidRPr="000F5A61">
              <w:rPr>
                <w:rFonts w:ascii="Arial" w:eastAsia="Calibri" w:hAnsi="Arial" w:cs="Arial"/>
                <w:bCs/>
                <w:sz w:val="20"/>
                <w:szCs w:val="20"/>
                <w:lang w:val="en-US"/>
              </w:rPr>
              <w:t>Do you propose major changes from past implementation arrange</w:t>
            </w:r>
            <w:r w:rsidR="00A02D0B" w:rsidRPr="000F5A61">
              <w:rPr>
                <w:rFonts w:ascii="Arial" w:eastAsia="Calibri" w:hAnsi="Arial" w:cs="Arial"/>
                <w:bCs/>
                <w:sz w:val="20"/>
                <w:szCs w:val="20"/>
                <w:lang w:val="en-US"/>
              </w:rPr>
              <w:t xml:space="preserve">ments, e.g. in key implementers, </w:t>
            </w:r>
            <w:r w:rsidRPr="000F5A61">
              <w:rPr>
                <w:rFonts w:ascii="Arial" w:eastAsia="Calibri" w:hAnsi="Arial" w:cs="Arial"/>
                <w:bCs/>
                <w:sz w:val="20"/>
                <w:szCs w:val="20"/>
                <w:lang w:val="en-US"/>
              </w:rPr>
              <w:t>flow of funds or commodities?</w:t>
            </w:r>
          </w:p>
        </w:tc>
        <w:tc>
          <w:tcPr>
            <w:tcW w:w="1815" w:type="dxa"/>
            <w:shd w:val="clear" w:color="auto" w:fill="FFFFFF"/>
          </w:tcPr>
          <w:p w:rsidR="005A62F6" w:rsidRPr="000F5A61" w:rsidRDefault="00035C1E" w:rsidP="005A62F6">
            <w:pPr>
              <w:spacing w:before="120" w:after="120" w:line="240" w:lineRule="auto"/>
              <w:jc w:val="both"/>
              <w:rPr>
                <w:rFonts w:ascii="Arial" w:eastAsia="Calibri" w:hAnsi="Arial" w:cs="Arial"/>
                <w:b/>
                <w:bCs/>
                <w:sz w:val="20"/>
                <w:szCs w:val="20"/>
                <w:lang w:val="en-US"/>
              </w:rPr>
            </w:pPr>
            <w:sdt>
              <w:sdtPr>
                <w:rPr>
                  <w:rFonts w:ascii="Arial" w:eastAsia="Calibri" w:hAnsi="Arial" w:cs="Arial"/>
                  <w:b/>
                  <w:bCs/>
                  <w:iCs/>
                  <w:sz w:val="20"/>
                  <w:szCs w:val="20"/>
                  <w:lang w:val="en-US"/>
                </w:rPr>
                <w:id w:val="1923065402"/>
              </w:sdtPr>
              <w:sdtContent>
                <w:r w:rsidR="002E4845" w:rsidRPr="000F5A61">
                  <w:rPr>
                    <w:rFonts w:ascii="Arial" w:eastAsia="MS Gothic" w:hAnsi="Arial" w:cs="Arial"/>
                    <w:b/>
                    <w:bCs/>
                    <w:iCs/>
                    <w:sz w:val="20"/>
                    <w:szCs w:val="20"/>
                    <w:lang w:val="en-US"/>
                  </w:rPr>
                  <w:t></w:t>
                </w:r>
              </w:sdtContent>
            </w:sdt>
            <w:r w:rsidR="005A62F6" w:rsidRPr="000F5A61">
              <w:rPr>
                <w:rFonts w:ascii="Arial" w:eastAsia="Calibri" w:hAnsi="Arial" w:cs="Arial"/>
                <w:bCs/>
                <w:iCs/>
                <w:sz w:val="20"/>
                <w:szCs w:val="20"/>
                <w:lang w:val="en-US"/>
              </w:rPr>
              <w:t xml:space="preserve"> Yes      </w:t>
            </w:r>
            <w:sdt>
              <w:sdtPr>
                <w:rPr>
                  <w:rFonts w:ascii="Arial" w:eastAsia="Calibri" w:hAnsi="Arial" w:cs="Arial"/>
                  <w:bCs/>
                  <w:iCs/>
                  <w:sz w:val="20"/>
                  <w:szCs w:val="20"/>
                  <w:lang w:val="en-US"/>
                </w:rPr>
                <w:id w:val="-1284489466"/>
              </w:sdtPr>
              <w:sdtContent>
                <w:r w:rsidR="00D4433D">
                  <w:rPr>
                    <w:rFonts w:ascii="MS Gothic" w:eastAsia="MS Gothic" w:hAnsi="MS Gothic" w:cs="Arial" w:hint="eastAsia"/>
                    <w:bCs/>
                    <w:iCs/>
                    <w:sz w:val="20"/>
                    <w:szCs w:val="20"/>
                    <w:lang w:val="en-US"/>
                  </w:rPr>
                  <w:t>☒</w:t>
                </w:r>
              </w:sdtContent>
            </w:sdt>
            <w:r w:rsidR="005A62F6" w:rsidRPr="000F5A61">
              <w:rPr>
                <w:rFonts w:ascii="Arial" w:eastAsia="Calibri" w:hAnsi="Arial" w:cs="Arial"/>
                <w:bCs/>
                <w:iCs/>
                <w:sz w:val="20"/>
                <w:szCs w:val="20"/>
                <w:lang w:val="en-US"/>
              </w:rPr>
              <w:t xml:space="preserve"> No</w:t>
            </w:r>
          </w:p>
        </w:tc>
      </w:tr>
      <w:tr w:rsidR="005A62F6" w:rsidRPr="000F5A61" w:rsidTr="008547FF">
        <w:trPr>
          <w:trHeight w:val="274"/>
          <w:jc w:val="center"/>
        </w:trPr>
        <w:tc>
          <w:tcPr>
            <w:tcW w:w="9079" w:type="dxa"/>
            <w:gridSpan w:val="2"/>
            <w:shd w:val="clear" w:color="auto" w:fill="F2F2F2" w:themeFill="background1" w:themeFillShade="F2"/>
            <w:vAlign w:val="center"/>
          </w:tcPr>
          <w:p w:rsidR="00684013" w:rsidRPr="000F5A61" w:rsidRDefault="001F2969" w:rsidP="00684013">
            <w:pPr>
              <w:spacing w:before="120" w:after="120" w:line="240" w:lineRule="auto"/>
              <w:jc w:val="both"/>
              <w:rPr>
                <w:rFonts w:ascii="Arial" w:eastAsia="Calibri" w:hAnsi="Arial" w:cs="Arial"/>
                <w:sz w:val="20"/>
                <w:szCs w:val="20"/>
                <w:lang w:val="en-US"/>
              </w:rPr>
            </w:pPr>
            <w:r w:rsidRPr="000F5A61">
              <w:rPr>
                <w:rFonts w:ascii="Arial" w:eastAsia="Calibri" w:hAnsi="Arial" w:cs="Arial"/>
                <w:sz w:val="20"/>
                <w:szCs w:val="20"/>
                <w:lang w:val="en-US"/>
              </w:rPr>
              <w:t xml:space="preserve">If </w:t>
            </w:r>
            <w:r w:rsidRPr="000F5A61">
              <w:rPr>
                <w:rFonts w:ascii="Arial" w:eastAsia="Calibri" w:hAnsi="Arial" w:cs="Arial"/>
                <w:b/>
                <w:sz w:val="20"/>
                <w:szCs w:val="20"/>
                <w:lang w:val="en-US"/>
              </w:rPr>
              <w:t>yes</w:t>
            </w:r>
            <w:r w:rsidRPr="000F5A61">
              <w:rPr>
                <w:rFonts w:ascii="Arial" w:eastAsia="Calibri" w:hAnsi="Arial" w:cs="Arial"/>
                <w:sz w:val="20"/>
                <w:szCs w:val="20"/>
                <w:lang w:val="en-US"/>
              </w:rPr>
              <w:t>, provide an overview of</w:t>
            </w:r>
            <w:r w:rsidR="009001EF" w:rsidRPr="000F5A61">
              <w:rPr>
                <w:rFonts w:ascii="Arial" w:eastAsia="Calibri" w:hAnsi="Arial" w:cs="Arial"/>
                <w:sz w:val="20"/>
                <w:szCs w:val="20"/>
                <w:lang w:val="en-US"/>
              </w:rPr>
              <w:t xml:space="preserve"> the new</w:t>
            </w:r>
            <w:r w:rsidRPr="000F5A61">
              <w:rPr>
                <w:rFonts w:ascii="Arial" w:eastAsia="Calibri" w:hAnsi="Arial" w:cs="Arial"/>
                <w:sz w:val="20"/>
                <w:szCs w:val="20"/>
                <w:lang w:val="en-US"/>
              </w:rPr>
              <w:t xml:space="preserve"> implementation arrangements </w:t>
            </w:r>
            <w:r w:rsidR="009001EF" w:rsidRPr="000F5A61">
              <w:rPr>
                <w:rFonts w:ascii="Arial" w:eastAsia="Calibri" w:hAnsi="Arial" w:cs="Arial"/>
                <w:sz w:val="20"/>
                <w:szCs w:val="20"/>
                <w:lang w:val="en-US"/>
              </w:rPr>
              <w:t>and elaborate how these changes affect the operationalization of</w:t>
            </w:r>
            <w:r w:rsidRPr="000F5A61">
              <w:rPr>
                <w:rFonts w:ascii="Arial" w:eastAsia="Calibri" w:hAnsi="Arial" w:cs="Arial"/>
                <w:sz w:val="20"/>
                <w:szCs w:val="20"/>
                <w:lang w:val="en-US"/>
              </w:rPr>
              <w:t xml:space="preserve"> the grant</w:t>
            </w:r>
            <w:r w:rsidR="009001EF" w:rsidRPr="000F5A61">
              <w:rPr>
                <w:rFonts w:ascii="Arial" w:eastAsia="Calibri" w:hAnsi="Arial" w:cs="Arial"/>
                <w:sz w:val="20"/>
                <w:szCs w:val="20"/>
                <w:lang w:val="en-US"/>
              </w:rPr>
              <w:t>.</w:t>
            </w:r>
          </w:p>
          <w:p w:rsidR="001F2969" w:rsidRPr="000F5A61" w:rsidRDefault="001F2969" w:rsidP="00684013">
            <w:pPr>
              <w:spacing w:before="120" w:after="120" w:line="240" w:lineRule="auto"/>
              <w:jc w:val="both"/>
              <w:rPr>
                <w:rFonts w:ascii="Arial" w:eastAsia="Calibri" w:hAnsi="Arial" w:cs="Arial"/>
                <w:sz w:val="20"/>
                <w:szCs w:val="20"/>
                <w:lang w:val="en-US"/>
              </w:rPr>
            </w:pPr>
            <w:r w:rsidRPr="000F5A61">
              <w:rPr>
                <w:rFonts w:ascii="Arial" w:eastAsia="Calibri" w:hAnsi="Arial" w:cs="Arial"/>
                <w:sz w:val="20"/>
                <w:szCs w:val="20"/>
                <w:lang w:val="en-US"/>
              </w:rPr>
              <w:t xml:space="preserve">If </w:t>
            </w:r>
            <w:r w:rsidRPr="000F5A61">
              <w:rPr>
                <w:rFonts w:ascii="Arial" w:eastAsia="Calibri" w:hAnsi="Arial" w:cs="Arial"/>
                <w:b/>
                <w:sz w:val="20"/>
                <w:szCs w:val="20"/>
                <w:lang w:val="en-US"/>
              </w:rPr>
              <w:t>no</w:t>
            </w:r>
            <w:r w:rsidRPr="000F5A61">
              <w:rPr>
                <w:rFonts w:ascii="Arial" w:eastAsia="Calibri" w:hAnsi="Arial" w:cs="Arial"/>
                <w:sz w:val="20"/>
                <w:szCs w:val="20"/>
                <w:lang w:val="en-US"/>
              </w:rPr>
              <w:t>, provide a summary of high-level implementation arrangements f</w:t>
            </w:r>
            <w:r w:rsidR="00A44778" w:rsidRPr="000F5A61">
              <w:rPr>
                <w:rFonts w:ascii="Arial" w:eastAsia="Calibri" w:hAnsi="Arial" w:cs="Arial"/>
                <w:sz w:val="20"/>
                <w:szCs w:val="20"/>
                <w:lang w:val="en-US"/>
              </w:rPr>
              <w:t>ocusing only on lessons learned</w:t>
            </w:r>
            <w:r w:rsidRPr="000F5A61">
              <w:rPr>
                <w:rFonts w:ascii="Arial" w:eastAsia="Calibri" w:hAnsi="Arial" w:cs="Arial"/>
                <w:sz w:val="20"/>
                <w:szCs w:val="20"/>
                <w:lang w:val="en-US"/>
              </w:rPr>
              <w:t xml:space="preserve"> for the next period.  </w:t>
            </w:r>
          </w:p>
          <w:p w:rsidR="00684013" w:rsidRPr="000F5A61" w:rsidRDefault="001F2969" w:rsidP="00684013">
            <w:pPr>
              <w:spacing w:before="120" w:after="120" w:line="240" w:lineRule="auto"/>
              <w:jc w:val="both"/>
              <w:rPr>
                <w:rFonts w:ascii="Arial" w:eastAsia="Calibri" w:hAnsi="Arial" w:cs="Arial"/>
                <w:sz w:val="20"/>
                <w:szCs w:val="20"/>
                <w:lang w:val="en-US"/>
              </w:rPr>
            </w:pPr>
            <w:r w:rsidRPr="000F5A61">
              <w:rPr>
                <w:rFonts w:ascii="Arial" w:eastAsia="Calibri" w:hAnsi="Arial" w:cs="Arial"/>
                <w:sz w:val="20"/>
                <w:szCs w:val="20"/>
                <w:lang w:val="en-US"/>
              </w:rPr>
              <w:t xml:space="preserve">In </w:t>
            </w:r>
            <w:r w:rsidRPr="000F5A61">
              <w:rPr>
                <w:rFonts w:ascii="Arial" w:eastAsia="Calibri" w:hAnsi="Arial" w:cs="Arial"/>
                <w:b/>
                <w:sz w:val="20"/>
                <w:szCs w:val="20"/>
                <w:lang w:val="en-US"/>
              </w:rPr>
              <w:t>both cases</w:t>
            </w:r>
            <w:r w:rsidRPr="000F5A61">
              <w:rPr>
                <w:rFonts w:ascii="Arial" w:eastAsia="Calibri" w:hAnsi="Arial" w:cs="Arial"/>
                <w:sz w:val="20"/>
                <w:szCs w:val="20"/>
                <w:lang w:val="en-US"/>
              </w:rPr>
              <w:t>, detail how representatives of women's organizations, key populations and people living with the disease(s)</w:t>
            </w:r>
            <w:r w:rsidR="009D2167" w:rsidRPr="000F5A61">
              <w:rPr>
                <w:rFonts w:ascii="Arial" w:eastAsia="Calibri" w:hAnsi="Arial" w:cs="Arial"/>
                <w:sz w:val="20"/>
                <w:szCs w:val="20"/>
                <w:lang w:val="en-US"/>
              </w:rPr>
              <w:t>,</w:t>
            </w:r>
            <w:r w:rsidRPr="000F5A61">
              <w:rPr>
                <w:rFonts w:ascii="Arial" w:eastAsia="Calibri" w:hAnsi="Arial" w:cs="Arial"/>
                <w:sz w:val="20"/>
                <w:szCs w:val="20"/>
                <w:lang w:val="en-US"/>
              </w:rPr>
              <w:t xml:space="preserve"> as applicable</w:t>
            </w:r>
            <w:r w:rsidR="009D2167" w:rsidRPr="000F5A61">
              <w:rPr>
                <w:rFonts w:ascii="Arial" w:eastAsia="Calibri" w:hAnsi="Arial" w:cs="Arial"/>
                <w:sz w:val="20"/>
                <w:szCs w:val="20"/>
                <w:lang w:val="en-US"/>
              </w:rPr>
              <w:t>,</w:t>
            </w:r>
            <w:r w:rsidRPr="000F5A61">
              <w:rPr>
                <w:rFonts w:ascii="Arial" w:eastAsia="Calibri" w:hAnsi="Arial" w:cs="Arial"/>
                <w:sz w:val="20"/>
                <w:szCs w:val="20"/>
                <w:lang w:val="en-US"/>
              </w:rPr>
              <w:t xml:space="preserve"> will actively participate in the implemen</w:t>
            </w:r>
            <w:r w:rsidR="00684013" w:rsidRPr="000F5A61">
              <w:rPr>
                <w:rFonts w:ascii="Arial" w:eastAsia="Calibri" w:hAnsi="Arial" w:cs="Arial"/>
                <w:sz w:val="20"/>
                <w:szCs w:val="20"/>
                <w:lang w:val="en-US"/>
              </w:rPr>
              <w:t>tation.</w:t>
            </w:r>
          </w:p>
          <w:p w:rsidR="00B72573" w:rsidRPr="000F5A61" w:rsidRDefault="001F2969" w:rsidP="00684013">
            <w:pPr>
              <w:spacing w:before="120" w:after="120" w:line="240" w:lineRule="auto"/>
              <w:jc w:val="both"/>
              <w:rPr>
                <w:rFonts w:ascii="Arial" w:eastAsia="Calibri" w:hAnsi="Arial" w:cs="Arial"/>
                <w:sz w:val="20"/>
                <w:szCs w:val="20"/>
                <w:lang w:val="en-US"/>
              </w:rPr>
            </w:pPr>
            <w:r w:rsidRPr="000F5A61">
              <w:rPr>
                <w:rFonts w:ascii="Arial" w:eastAsia="Calibri" w:hAnsi="Arial" w:cs="Arial"/>
                <w:sz w:val="20"/>
                <w:szCs w:val="20"/>
                <w:lang w:val="en-US"/>
              </w:rPr>
              <w:t>Include a description of procurem</w:t>
            </w:r>
            <w:r w:rsidR="00684013" w:rsidRPr="000F5A61">
              <w:rPr>
                <w:rFonts w:ascii="Arial" w:eastAsia="Calibri" w:hAnsi="Arial" w:cs="Arial"/>
                <w:sz w:val="20"/>
                <w:szCs w:val="20"/>
                <w:lang w:val="en-US"/>
              </w:rPr>
              <w:t>ent mechanisms</w:t>
            </w:r>
            <w:r w:rsidR="00B72573" w:rsidRPr="000F5A61">
              <w:rPr>
                <w:rFonts w:ascii="Arial" w:eastAsia="Calibri" w:hAnsi="Arial" w:cs="Arial"/>
                <w:sz w:val="20"/>
                <w:szCs w:val="20"/>
                <w:lang w:val="en-US"/>
              </w:rPr>
              <w:t>.</w:t>
            </w:r>
          </w:p>
          <w:p w:rsidR="00B72573" w:rsidRPr="000F5A61" w:rsidRDefault="001631BD" w:rsidP="00684013">
            <w:pPr>
              <w:spacing w:before="120" w:after="120" w:line="240" w:lineRule="auto"/>
              <w:jc w:val="both"/>
              <w:rPr>
                <w:rFonts w:ascii="Arial" w:eastAsia="Calibri" w:hAnsi="Arial" w:cs="Arial"/>
                <w:b/>
                <w:sz w:val="20"/>
                <w:szCs w:val="20"/>
                <w:lang w:val="en-US"/>
              </w:rPr>
            </w:pPr>
            <w:r w:rsidRPr="000F5A61">
              <w:rPr>
                <w:rFonts w:ascii="Arial" w:eastAsia="Calibri" w:hAnsi="Arial" w:cs="Arial"/>
                <w:b/>
                <w:sz w:val="20"/>
                <w:szCs w:val="20"/>
                <w:lang w:val="en-US"/>
              </w:rPr>
              <w:t>(maximum</w:t>
            </w:r>
            <w:r w:rsidR="00B72573" w:rsidRPr="000F5A61">
              <w:rPr>
                <w:rFonts w:ascii="Arial" w:eastAsia="Calibri" w:hAnsi="Arial" w:cs="Arial"/>
                <w:b/>
                <w:sz w:val="20"/>
                <w:szCs w:val="20"/>
                <w:lang w:val="en-US"/>
              </w:rPr>
              <w:t xml:space="preserve"> 1 page)</w:t>
            </w:r>
          </w:p>
        </w:tc>
      </w:tr>
    </w:tbl>
    <w:p w:rsidR="004767FE" w:rsidRPr="000F5A61" w:rsidRDefault="002E4845" w:rsidP="00C86062">
      <w:pPr>
        <w:spacing w:before="240"/>
        <w:rPr>
          <w:rFonts w:ascii="Arial" w:hAnsi="Arial" w:cs="Arial"/>
          <w:sz w:val="20"/>
          <w:szCs w:val="20"/>
          <w:lang w:val="en-US"/>
        </w:rPr>
      </w:pPr>
      <w:r w:rsidRPr="000F5A61">
        <w:rPr>
          <w:rFonts w:ascii="Arial" w:hAnsi="Arial" w:cs="Arial"/>
          <w:sz w:val="20"/>
          <w:szCs w:val="20"/>
          <w:lang w:val="en-US"/>
        </w:rPr>
        <w:t xml:space="preserve">Implementation arrangements for the current </w:t>
      </w:r>
      <w:r w:rsidR="009251EC" w:rsidRPr="000F5A61">
        <w:rPr>
          <w:rFonts w:ascii="Arial" w:hAnsi="Arial" w:cs="Arial"/>
          <w:sz w:val="20"/>
          <w:szCs w:val="20"/>
          <w:lang w:val="en-US"/>
        </w:rPr>
        <w:t>GFATM</w:t>
      </w:r>
      <w:r w:rsidRPr="000F5A61">
        <w:rPr>
          <w:rFonts w:ascii="Arial" w:hAnsi="Arial" w:cs="Arial"/>
          <w:sz w:val="20"/>
          <w:szCs w:val="20"/>
          <w:lang w:val="en-US"/>
        </w:rPr>
        <w:t xml:space="preserve"> grant are working well (the latest grant performance score is </w:t>
      </w:r>
      <w:r w:rsidR="00F75A9A" w:rsidRPr="000F5A61">
        <w:rPr>
          <w:rFonts w:ascii="Arial" w:hAnsi="Arial" w:cs="Arial"/>
          <w:sz w:val="20"/>
          <w:szCs w:val="20"/>
          <w:lang w:val="en-US"/>
        </w:rPr>
        <w:t>A1</w:t>
      </w:r>
      <w:r w:rsidRPr="000F5A61">
        <w:rPr>
          <w:rFonts w:ascii="Arial" w:hAnsi="Arial" w:cs="Arial"/>
          <w:sz w:val="20"/>
          <w:szCs w:val="20"/>
          <w:lang w:val="en-US"/>
        </w:rPr>
        <w:t xml:space="preserve">), and so for the most part implementation arrangements will remain as they are. </w:t>
      </w:r>
    </w:p>
    <w:p w:rsidR="005A5815" w:rsidRPr="000F5A61" w:rsidRDefault="004767FE" w:rsidP="00C86062">
      <w:pPr>
        <w:spacing w:before="240"/>
        <w:rPr>
          <w:rFonts w:ascii="Arial" w:hAnsi="Arial" w:cs="Arial"/>
          <w:sz w:val="20"/>
          <w:szCs w:val="20"/>
          <w:lang w:eastAsia="zh-CN"/>
        </w:rPr>
      </w:pPr>
      <w:r w:rsidRPr="000F5A61">
        <w:rPr>
          <w:rFonts w:ascii="Arial" w:hAnsi="Arial" w:cs="Arial"/>
          <w:sz w:val="20"/>
          <w:szCs w:val="20"/>
          <w:lang w:val="en-US"/>
        </w:rPr>
        <w:t xml:space="preserve">However, </w:t>
      </w:r>
      <w:r w:rsidR="00D529A8" w:rsidRPr="000F5A61">
        <w:rPr>
          <w:rFonts w:ascii="Arial" w:hAnsi="Arial" w:cs="Arial"/>
          <w:sz w:val="20"/>
          <w:szCs w:val="20"/>
          <w:lang w:val="en-US"/>
        </w:rPr>
        <w:t>i</w:t>
      </w:r>
      <w:r w:rsidR="005A5815" w:rsidRPr="000F5A61">
        <w:rPr>
          <w:rFonts w:ascii="Arial" w:eastAsia="SimSun" w:hAnsi="Arial" w:cs="Arial"/>
          <w:sz w:val="20"/>
          <w:szCs w:val="20"/>
          <w:lang w:eastAsia="zh-CN"/>
        </w:rPr>
        <w:t xml:space="preserve">n order to access Nepalese migrants in India, alliances will be formed with the National Malaria Elimination Programme in India and with the Programme Directors in the relevant States. </w:t>
      </w:r>
      <w:r w:rsidRPr="000F5A61">
        <w:rPr>
          <w:rFonts w:ascii="Arial" w:eastAsia="SimSun" w:hAnsi="Arial" w:cs="Arial"/>
          <w:sz w:val="20"/>
          <w:szCs w:val="20"/>
          <w:lang w:eastAsia="zh-CN"/>
        </w:rPr>
        <w:t xml:space="preserve">This </w:t>
      </w:r>
      <w:r w:rsidR="005A5815" w:rsidRPr="000F5A61">
        <w:rPr>
          <w:rFonts w:ascii="Arial" w:eastAsia="SimSun" w:hAnsi="Arial" w:cs="Arial"/>
          <w:sz w:val="20"/>
          <w:szCs w:val="20"/>
          <w:lang w:eastAsia="zh-CN"/>
        </w:rPr>
        <w:t xml:space="preserve">intervention </w:t>
      </w:r>
      <w:r w:rsidRPr="000F5A61">
        <w:rPr>
          <w:rFonts w:ascii="Arial" w:eastAsia="SimSun" w:hAnsi="Arial" w:cs="Arial"/>
          <w:sz w:val="20"/>
          <w:szCs w:val="20"/>
          <w:lang w:eastAsia="zh-CN"/>
        </w:rPr>
        <w:t xml:space="preserve">is </w:t>
      </w:r>
      <w:r w:rsidR="005A5815" w:rsidRPr="000F5A61">
        <w:rPr>
          <w:rFonts w:ascii="Arial" w:eastAsia="SimSun" w:hAnsi="Arial" w:cs="Arial"/>
          <w:sz w:val="20"/>
          <w:szCs w:val="20"/>
          <w:lang w:eastAsia="zh-CN"/>
        </w:rPr>
        <w:t xml:space="preserve">considered urgent and essential and so the </w:t>
      </w:r>
      <w:r w:rsidR="00803A71" w:rsidRPr="000F5A61">
        <w:rPr>
          <w:rFonts w:ascii="Arial" w:eastAsia="SimSun" w:hAnsi="Arial" w:cs="Arial"/>
          <w:sz w:val="20"/>
          <w:szCs w:val="20"/>
          <w:lang w:eastAsia="zh-CN"/>
        </w:rPr>
        <w:t>P</w:t>
      </w:r>
      <w:r w:rsidR="005A5815" w:rsidRPr="000F5A61">
        <w:rPr>
          <w:rFonts w:ascii="Arial" w:eastAsia="SimSun" w:hAnsi="Arial" w:cs="Arial"/>
          <w:sz w:val="20"/>
          <w:szCs w:val="20"/>
          <w:lang w:eastAsia="zh-CN"/>
        </w:rPr>
        <w:t xml:space="preserve">rogramme will adopt a ‘learning by doing’ approach in order to speed impact. </w:t>
      </w:r>
      <w:r w:rsidR="002F6341" w:rsidRPr="000F5A61">
        <w:rPr>
          <w:rFonts w:ascii="Arial" w:eastAsia="SimSun" w:hAnsi="Arial" w:cs="Arial"/>
          <w:sz w:val="20"/>
          <w:szCs w:val="20"/>
          <w:lang w:eastAsia="zh-CN"/>
        </w:rPr>
        <w:t xml:space="preserve">The programme will develop detailed proposals for discussion with Indian counterparts. </w:t>
      </w:r>
      <w:r w:rsidR="00E147CC" w:rsidRPr="000F5A61">
        <w:rPr>
          <w:rFonts w:ascii="Arial" w:eastAsia="SimSun" w:hAnsi="Arial" w:cs="Arial"/>
          <w:sz w:val="20"/>
          <w:szCs w:val="20"/>
          <w:lang w:eastAsia="zh-CN"/>
        </w:rPr>
        <w:t xml:space="preserve">These will focus on working with </w:t>
      </w:r>
      <w:r w:rsidR="008A4991" w:rsidRPr="000F5A61">
        <w:rPr>
          <w:rFonts w:ascii="Arial" w:eastAsia="SimSun" w:hAnsi="Arial" w:cs="Arial"/>
          <w:sz w:val="20"/>
          <w:szCs w:val="20"/>
          <w:lang w:eastAsia="zh-CN"/>
        </w:rPr>
        <w:t>‘</w:t>
      </w:r>
      <w:r w:rsidR="00E147CC" w:rsidRPr="000F5A61">
        <w:rPr>
          <w:rFonts w:ascii="Arial" w:eastAsia="SimSun" w:hAnsi="Arial" w:cs="Arial"/>
          <w:sz w:val="20"/>
          <w:szCs w:val="20"/>
          <w:lang w:eastAsia="zh-CN"/>
        </w:rPr>
        <w:t>networked individuals</w:t>
      </w:r>
      <w:r w:rsidR="008A4991" w:rsidRPr="000F5A61">
        <w:rPr>
          <w:rFonts w:ascii="Arial" w:eastAsia="SimSun" w:hAnsi="Arial" w:cs="Arial"/>
          <w:sz w:val="20"/>
          <w:szCs w:val="20"/>
          <w:lang w:eastAsia="zh-CN"/>
        </w:rPr>
        <w:t>’ to improve access to prevention and case management services.</w:t>
      </w:r>
    </w:p>
    <w:p w:rsidR="004B44D5" w:rsidRPr="000F5A61" w:rsidRDefault="004B44D5" w:rsidP="005A5815">
      <w:pPr>
        <w:pStyle w:val="ListParagraph"/>
        <w:widowControl w:val="0"/>
        <w:tabs>
          <w:tab w:val="left" w:pos="142"/>
        </w:tabs>
        <w:spacing w:after="120" w:line="240" w:lineRule="auto"/>
        <w:ind w:left="0"/>
        <w:rPr>
          <w:rFonts w:ascii="Arial" w:eastAsia="SimSun" w:hAnsi="Arial" w:cs="Arial"/>
          <w:sz w:val="20"/>
          <w:szCs w:val="20"/>
          <w:lang w:eastAsia="zh-CN"/>
        </w:rPr>
      </w:pPr>
      <w:r w:rsidRPr="000F5A61">
        <w:rPr>
          <w:rFonts w:ascii="Arial" w:eastAsia="SimSun" w:hAnsi="Arial" w:cs="Arial"/>
          <w:sz w:val="20"/>
          <w:szCs w:val="20"/>
          <w:lang w:eastAsia="zh-CN"/>
        </w:rPr>
        <w:t xml:space="preserve">Although the implementation of the current grant has been highly successful, the roll-out of elimination </w:t>
      </w:r>
      <w:r w:rsidRPr="000F5A61">
        <w:rPr>
          <w:rFonts w:ascii="Arial" w:eastAsia="SimSun" w:hAnsi="Arial" w:cs="Arial"/>
          <w:sz w:val="20"/>
          <w:szCs w:val="20"/>
          <w:lang w:eastAsia="zh-CN"/>
        </w:rPr>
        <w:lastRenderedPageBreak/>
        <w:t xml:space="preserve">will considerably increase the </w:t>
      </w:r>
      <w:r w:rsidR="00803A71" w:rsidRPr="000F5A61">
        <w:rPr>
          <w:rFonts w:ascii="Arial" w:eastAsia="SimSun" w:hAnsi="Arial" w:cs="Arial"/>
          <w:sz w:val="20"/>
          <w:szCs w:val="20"/>
          <w:lang w:eastAsia="zh-CN"/>
        </w:rPr>
        <w:t>P</w:t>
      </w:r>
      <w:r w:rsidRPr="000F5A61">
        <w:rPr>
          <w:rFonts w:ascii="Arial" w:eastAsia="SimSun" w:hAnsi="Arial" w:cs="Arial"/>
          <w:sz w:val="20"/>
          <w:szCs w:val="20"/>
          <w:lang w:eastAsia="zh-CN"/>
        </w:rPr>
        <w:t>rogramme’s workload</w:t>
      </w:r>
      <w:r w:rsidRPr="00352AE5">
        <w:rPr>
          <w:rFonts w:ascii="Arial" w:eastAsia="SimSun" w:hAnsi="Arial" w:cs="Arial"/>
          <w:sz w:val="20"/>
          <w:szCs w:val="20"/>
          <w:lang w:eastAsia="zh-CN"/>
        </w:rPr>
        <w:t xml:space="preserve">. As recommended in the 2017 MPR, the capacity of the </w:t>
      </w:r>
      <w:r w:rsidR="00803A71" w:rsidRPr="00352AE5">
        <w:rPr>
          <w:rFonts w:ascii="Arial" w:eastAsia="SimSun" w:hAnsi="Arial" w:cs="Arial"/>
          <w:sz w:val="20"/>
          <w:szCs w:val="20"/>
          <w:lang w:eastAsia="zh-CN"/>
        </w:rPr>
        <w:t>P</w:t>
      </w:r>
      <w:r w:rsidRPr="00352AE5">
        <w:rPr>
          <w:rFonts w:ascii="Arial" w:eastAsia="SimSun" w:hAnsi="Arial" w:cs="Arial"/>
          <w:sz w:val="20"/>
          <w:szCs w:val="20"/>
          <w:lang w:eastAsia="zh-CN"/>
        </w:rPr>
        <w:t>rogramme will therefor</w:t>
      </w:r>
      <w:r w:rsidR="00352AE5">
        <w:rPr>
          <w:rFonts w:ascii="Arial" w:eastAsia="SimSun" w:hAnsi="Arial" w:cs="Arial"/>
          <w:sz w:val="20"/>
          <w:szCs w:val="20"/>
          <w:lang w:eastAsia="zh-CN"/>
        </w:rPr>
        <w:t>e</w:t>
      </w:r>
      <w:r w:rsidRPr="00352AE5">
        <w:rPr>
          <w:rFonts w:ascii="Arial" w:eastAsia="SimSun" w:hAnsi="Arial" w:cs="Arial"/>
          <w:sz w:val="20"/>
          <w:szCs w:val="20"/>
          <w:lang w:eastAsia="zh-CN"/>
        </w:rPr>
        <w:t xml:space="preserve"> be increased through training </w:t>
      </w:r>
      <w:r w:rsidR="00352AE5" w:rsidRPr="00352AE5">
        <w:rPr>
          <w:rFonts w:ascii="Arial" w:hAnsi="Arial" w:cs="Arial"/>
          <w:sz w:val="20"/>
          <w:szCs w:val="20"/>
        </w:rPr>
        <w:t>and</w:t>
      </w:r>
      <w:r w:rsidR="00924615">
        <w:rPr>
          <w:rFonts w:ascii="Arial" w:hAnsi="Arial" w:cs="Arial"/>
          <w:sz w:val="20"/>
          <w:szCs w:val="20"/>
        </w:rPr>
        <w:t xml:space="preserve">, </w:t>
      </w:r>
      <w:r w:rsidR="00924615" w:rsidRPr="00352AE5">
        <w:rPr>
          <w:rFonts w:ascii="Arial" w:hAnsi="Arial" w:cs="Arial"/>
          <w:sz w:val="20"/>
          <w:szCs w:val="20"/>
        </w:rPr>
        <w:t>in case of availability of additional fund</w:t>
      </w:r>
      <w:r w:rsidR="00924615">
        <w:rPr>
          <w:rFonts w:ascii="Arial" w:hAnsi="Arial" w:cs="Arial"/>
          <w:sz w:val="20"/>
          <w:szCs w:val="20"/>
        </w:rPr>
        <w:t>ing sources,</w:t>
      </w:r>
      <w:r w:rsidR="00352AE5" w:rsidRPr="00352AE5">
        <w:rPr>
          <w:rFonts w:ascii="Arial" w:hAnsi="Arial" w:cs="Arial"/>
          <w:sz w:val="20"/>
          <w:szCs w:val="20"/>
        </w:rPr>
        <w:t xml:space="preserve"> by hir</w:t>
      </w:r>
      <w:r w:rsidR="00924615">
        <w:rPr>
          <w:rFonts w:ascii="Arial" w:hAnsi="Arial" w:cs="Arial"/>
          <w:sz w:val="20"/>
          <w:szCs w:val="20"/>
        </w:rPr>
        <w:t>ing additional staff</w:t>
      </w:r>
      <w:r w:rsidR="00352AE5" w:rsidRPr="00352AE5">
        <w:rPr>
          <w:rFonts w:ascii="Arial" w:hAnsi="Arial" w:cs="Arial"/>
          <w:sz w:val="20"/>
          <w:szCs w:val="20"/>
        </w:rPr>
        <w:t>.</w:t>
      </w:r>
    </w:p>
    <w:p w:rsidR="004B44D5" w:rsidRPr="000F5A61" w:rsidRDefault="004B44D5" w:rsidP="005A5815">
      <w:pPr>
        <w:pStyle w:val="ListParagraph"/>
        <w:widowControl w:val="0"/>
        <w:tabs>
          <w:tab w:val="left" w:pos="142"/>
        </w:tabs>
        <w:spacing w:after="120" w:line="240" w:lineRule="auto"/>
        <w:ind w:left="0"/>
        <w:rPr>
          <w:rFonts w:ascii="Arial" w:eastAsia="SimSun" w:hAnsi="Arial" w:cs="Arial"/>
          <w:sz w:val="20"/>
          <w:szCs w:val="20"/>
          <w:lang w:eastAsia="zh-CN"/>
        </w:rPr>
      </w:pPr>
    </w:p>
    <w:p w:rsidR="005A5815" w:rsidRPr="000F5A61" w:rsidRDefault="005A5815" w:rsidP="005A5815">
      <w:pPr>
        <w:pStyle w:val="ListParagraph"/>
        <w:widowControl w:val="0"/>
        <w:tabs>
          <w:tab w:val="left" w:pos="142"/>
        </w:tabs>
        <w:spacing w:after="120" w:line="240" w:lineRule="auto"/>
        <w:ind w:left="0"/>
        <w:rPr>
          <w:rFonts w:ascii="Arial" w:eastAsia="SimSun" w:hAnsi="Arial" w:cs="Arial"/>
          <w:sz w:val="20"/>
          <w:szCs w:val="20"/>
          <w:lang w:eastAsia="zh-CN"/>
        </w:rPr>
      </w:pPr>
      <w:r w:rsidRPr="000F5A61">
        <w:rPr>
          <w:rFonts w:ascii="Arial" w:hAnsi="Arial" w:cs="Arial"/>
          <w:sz w:val="20"/>
          <w:szCs w:val="20"/>
        </w:rPr>
        <w:t xml:space="preserve">Regarding participation in implementation and oversight, the vast majority of </w:t>
      </w:r>
      <w:r w:rsidR="004B44D5" w:rsidRPr="000F5A61">
        <w:rPr>
          <w:rFonts w:ascii="Arial" w:hAnsi="Arial" w:cs="Arial"/>
          <w:sz w:val="20"/>
          <w:szCs w:val="20"/>
        </w:rPr>
        <w:t xml:space="preserve">health workers and volunteers </w:t>
      </w:r>
      <w:r w:rsidRPr="000F5A61">
        <w:rPr>
          <w:rFonts w:ascii="Arial" w:hAnsi="Arial" w:cs="Arial"/>
          <w:sz w:val="20"/>
          <w:szCs w:val="20"/>
        </w:rPr>
        <w:t>are women, and almost all are employed locally from malaria endemic areas. Women are represented on the CCM</w:t>
      </w:r>
      <w:r w:rsidR="00DE7D90" w:rsidRPr="000F5A61">
        <w:rPr>
          <w:rFonts w:ascii="Arial" w:hAnsi="Arial" w:cs="Arial"/>
          <w:sz w:val="20"/>
          <w:szCs w:val="20"/>
        </w:rPr>
        <w:t>(</w:t>
      </w:r>
      <w:r w:rsidR="00A5261A" w:rsidRPr="000F5A61">
        <w:rPr>
          <w:rFonts w:ascii="Arial" w:hAnsi="Arial" w:cs="Arial"/>
          <w:sz w:val="20"/>
          <w:szCs w:val="20"/>
        </w:rPr>
        <w:t>8/23</w:t>
      </w:r>
      <w:r w:rsidR="00DE7D90" w:rsidRPr="000F5A61">
        <w:rPr>
          <w:rFonts w:ascii="Arial" w:hAnsi="Arial" w:cs="Arial"/>
          <w:sz w:val="20"/>
          <w:szCs w:val="20"/>
        </w:rPr>
        <w:t xml:space="preserve"> members), </w:t>
      </w:r>
      <w:r w:rsidRPr="000F5A61">
        <w:rPr>
          <w:rFonts w:ascii="Arial" w:hAnsi="Arial" w:cs="Arial"/>
          <w:sz w:val="20"/>
          <w:szCs w:val="20"/>
        </w:rPr>
        <w:t xml:space="preserve">which ensures their participation in </w:t>
      </w:r>
      <w:r w:rsidR="00803A71" w:rsidRPr="000F5A61">
        <w:rPr>
          <w:rFonts w:ascii="Arial" w:hAnsi="Arial" w:cs="Arial"/>
          <w:sz w:val="20"/>
          <w:szCs w:val="20"/>
        </w:rPr>
        <w:t>P</w:t>
      </w:r>
      <w:r w:rsidRPr="000F5A61">
        <w:rPr>
          <w:rFonts w:ascii="Arial" w:hAnsi="Arial" w:cs="Arial"/>
          <w:sz w:val="20"/>
          <w:szCs w:val="20"/>
        </w:rPr>
        <w:t xml:space="preserve">rogramme oversight. </w:t>
      </w:r>
      <w:r w:rsidR="006A271C" w:rsidRPr="000F5A61">
        <w:rPr>
          <w:rFonts w:ascii="Arial" w:hAnsi="Arial" w:cs="Arial"/>
          <w:sz w:val="20"/>
          <w:szCs w:val="20"/>
        </w:rPr>
        <w:t>Extensive community consultations informed the development of the ‘</w:t>
      </w:r>
      <w:r w:rsidR="006A271C" w:rsidRPr="000F5A61">
        <w:rPr>
          <w:rFonts w:ascii="Arial" w:eastAsia="Calibri" w:hAnsi="Arial" w:cs="Arial"/>
          <w:bCs/>
          <w:iCs/>
          <w:sz w:val="20"/>
          <w:szCs w:val="20"/>
        </w:rPr>
        <w:t xml:space="preserve">Addendum’ </w:t>
      </w:r>
      <w:r w:rsidR="006A271C" w:rsidRPr="000F5A61">
        <w:rPr>
          <w:rFonts w:ascii="Arial" w:hAnsi="Arial" w:cs="Arial"/>
          <w:sz w:val="20"/>
          <w:szCs w:val="20"/>
        </w:rPr>
        <w:t>and the ‘</w:t>
      </w:r>
      <w:r w:rsidR="006A271C" w:rsidRPr="000F5A61">
        <w:rPr>
          <w:rFonts w:ascii="Arial" w:eastAsia="Calibri" w:hAnsi="Arial" w:cs="Arial"/>
          <w:bCs/>
          <w:iCs/>
          <w:sz w:val="20"/>
          <w:szCs w:val="20"/>
        </w:rPr>
        <w:t>Operational Framework</w:t>
      </w:r>
      <w:r w:rsidR="00DE0D88" w:rsidRPr="000F5A61">
        <w:rPr>
          <w:rFonts w:ascii="Arial" w:eastAsia="Calibri" w:hAnsi="Arial" w:cs="Arial"/>
          <w:bCs/>
          <w:iCs/>
          <w:sz w:val="20"/>
          <w:szCs w:val="20"/>
        </w:rPr>
        <w:t>‘</w:t>
      </w:r>
      <w:r w:rsidR="006A271C" w:rsidRPr="000F5A61">
        <w:rPr>
          <w:rFonts w:ascii="Arial" w:hAnsi="Arial" w:cs="Arial"/>
          <w:sz w:val="20"/>
          <w:szCs w:val="20"/>
        </w:rPr>
        <w:t xml:space="preserve"> on which this application is based (see 1.2)</w:t>
      </w:r>
      <w:r w:rsidR="00452E8E" w:rsidRPr="000F5A61">
        <w:rPr>
          <w:rFonts w:ascii="Arial" w:hAnsi="Arial" w:cs="Arial"/>
          <w:sz w:val="20"/>
          <w:szCs w:val="20"/>
        </w:rPr>
        <w:t xml:space="preserve"> and so key affected populations from target areas have positively influenced strategy development</w:t>
      </w:r>
      <w:r w:rsidR="006A271C" w:rsidRPr="000F5A61">
        <w:rPr>
          <w:rFonts w:ascii="Arial" w:hAnsi="Arial" w:cs="Arial"/>
          <w:sz w:val="20"/>
          <w:szCs w:val="20"/>
        </w:rPr>
        <w:t>.</w:t>
      </w:r>
    </w:p>
    <w:p w:rsidR="005A5815" w:rsidRPr="000F5A61" w:rsidRDefault="004B44D5" w:rsidP="005A5815">
      <w:pPr>
        <w:spacing w:after="120" w:line="240" w:lineRule="auto"/>
        <w:rPr>
          <w:rFonts w:ascii="Arial" w:hAnsi="Arial" w:cs="Arial"/>
          <w:bCs/>
          <w:sz w:val="20"/>
          <w:szCs w:val="20"/>
          <w:lang w:val="en-US"/>
        </w:rPr>
      </w:pPr>
      <w:r w:rsidRPr="000F5A61">
        <w:rPr>
          <w:rFonts w:ascii="Arial" w:hAnsi="Arial" w:cs="Arial"/>
          <w:bCs/>
          <w:sz w:val="20"/>
          <w:szCs w:val="20"/>
          <w:lang w:val="en-US"/>
        </w:rPr>
        <w:t>The PR</w:t>
      </w:r>
      <w:r w:rsidR="005A5815" w:rsidRPr="000F5A61">
        <w:rPr>
          <w:rFonts w:ascii="Arial" w:hAnsi="Arial" w:cs="Arial"/>
          <w:bCs/>
          <w:sz w:val="20"/>
          <w:szCs w:val="20"/>
          <w:lang w:val="en-US"/>
        </w:rPr>
        <w:t xml:space="preserve"> is responsible for procurement of health products and pharmaceuticals under </w:t>
      </w:r>
      <w:r w:rsidR="009251EC" w:rsidRPr="000F5A61">
        <w:rPr>
          <w:rFonts w:ascii="Arial" w:hAnsi="Arial" w:cs="Arial"/>
          <w:bCs/>
          <w:sz w:val="20"/>
          <w:szCs w:val="20"/>
          <w:lang w:val="en-US"/>
        </w:rPr>
        <w:t>GFATM</w:t>
      </w:r>
      <w:r w:rsidR="005A5815" w:rsidRPr="000F5A61">
        <w:rPr>
          <w:rFonts w:ascii="Arial" w:hAnsi="Arial" w:cs="Arial"/>
          <w:bCs/>
          <w:sz w:val="20"/>
          <w:szCs w:val="20"/>
          <w:lang w:val="en-US"/>
        </w:rPr>
        <w:t xml:space="preserve"> grants. All its procedures are in-line with </w:t>
      </w:r>
      <w:r w:rsidR="009251EC" w:rsidRPr="000F5A61">
        <w:rPr>
          <w:rFonts w:ascii="Arial" w:hAnsi="Arial" w:cs="Arial"/>
          <w:bCs/>
          <w:sz w:val="20"/>
          <w:szCs w:val="20"/>
          <w:lang w:val="en-US"/>
        </w:rPr>
        <w:t>GFATM</w:t>
      </w:r>
      <w:r w:rsidR="005A5815" w:rsidRPr="000F5A61">
        <w:rPr>
          <w:rFonts w:ascii="Arial" w:hAnsi="Arial" w:cs="Arial"/>
          <w:bCs/>
          <w:sz w:val="20"/>
          <w:szCs w:val="20"/>
          <w:lang w:val="en-US"/>
        </w:rPr>
        <w:t xml:space="preserve"> requirements. </w:t>
      </w:r>
      <w:r w:rsidRPr="000F5A61">
        <w:rPr>
          <w:rFonts w:ascii="Arial" w:hAnsi="Arial" w:cs="Arial"/>
          <w:bCs/>
          <w:sz w:val="20"/>
          <w:szCs w:val="20"/>
          <w:lang w:val="en-US"/>
        </w:rPr>
        <w:t>The Malaria TWG,</w:t>
      </w:r>
      <w:r w:rsidR="005A5815" w:rsidRPr="000F5A61">
        <w:rPr>
          <w:rFonts w:ascii="Arial" w:hAnsi="Arial" w:cs="Arial"/>
          <w:bCs/>
          <w:sz w:val="20"/>
          <w:szCs w:val="20"/>
          <w:lang w:val="en-US"/>
        </w:rPr>
        <w:t xml:space="preserve"> with members from </w:t>
      </w:r>
      <w:r w:rsidR="00DE0D88" w:rsidRPr="000F5A61">
        <w:rPr>
          <w:rFonts w:ascii="Arial" w:hAnsi="Arial" w:cs="Arial"/>
          <w:bCs/>
          <w:sz w:val="20"/>
          <w:szCs w:val="20"/>
          <w:lang w:val="en-US"/>
        </w:rPr>
        <w:t xml:space="preserve">EDCD, </w:t>
      </w:r>
      <w:r w:rsidRPr="000F5A61">
        <w:rPr>
          <w:rFonts w:ascii="Arial" w:hAnsi="Arial" w:cs="Arial"/>
          <w:bCs/>
          <w:sz w:val="20"/>
          <w:szCs w:val="20"/>
          <w:lang w:val="en-US"/>
        </w:rPr>
        <w:t xml:space="preserve">SCI </w:t>
      </w:r>
      <w:r w:rsidR="005A5815" w:rsidRPr="000F5A61">
        <w:rPr>
          <w:rFonts w:ascii="Arial" w:hAnsi="Arial" w:cs="Arial"/>
          <w:bCs/>
          <w:sz w:val="20"/>
          <w:szCs w:val="20"/>
          <w:lang w:val="en-US"/>
        </w:rPr>
        <w:t>and WHO</w:t>
      </w:r>
      <w:r w:rsidRPr="000F5A61">
        <w:rPr>
          <w:rFonts w:ascii="Arial" w:hAnsi="Arial" w:cs="Arial"/>
          <w:bCs/>
          <w:sz w:val="20"/>
          <w:szCs w:val="20"/>
          <w:lang w:val="en-US"/>
        </w:rPr>
        <w:t>,</w:t>
      </w:r>
      <w:r w:rsidR="00636EC7" w:rsidRPr="000F5A61">
        <w:rPr>
          <w:rFonts w:ascii="Arial" w:hAnsi="Arial" w:cs="Arial"/>
          <w:bCs/>
          <w:sz w:val="20"/>
          <w:szCs w:val="20"/>
          <w:lang w:val="en-US"/>
        </w:rPr>
        <w:t xml:space="preserve">will </w:t>
      </w:r>
      <w:r w:rsidRPr="000F5A61">
        <w:rPr>
          <w:rFonts w:ascii="Arial" w:hAnsi="Arial" w:cs="Arial"/>
          <w:bCs/>
          <w:sz w:val="20"/>
          <w:szCs w:val="20"/>
          <w:lang w:val="en-US"/>
        </w:rPr>
        <w:t>support the</w:t>
      </w:r>
      <w:r w:rsidR="005A5815" w:rsidRPr="000F5A61">
        <w:rPr>
          <w:rFonts w:ascii="Arial" w:hAnsi="Arial" w:cs="Arial"/>
          <w:bCs/>
          <w:sz w:val="20"/>
          <w:szCs w:val="20"/>
          <w:lang w:val="en-US"/>
        </w:rPr>
        <w:t xml:space="preserve"> proper forecasting and planning of procurement</w:t>
      </w:r>
      <w:r w:rsidR="00FB489A" w:rsidRPr="000F5A61">
        <w:rPr>
          <w:rFonts w:ascii="Arial" w:hAnsi="Arial" w:cs="Arial"/>
          <w:bCs/>
          <w:sz w:val="20"/>
          <w:szCs w:val="20"/>
          <w:lang w:val="en-US"/>
        </w:rPr>
        <w:t xml:space="preserve"> and supply of these products up to end user level. Coordination </w:t>
      </w:r>
      <w:r w:rsidR="00917419" w:rsidRPr="000F5A61">
        <w:rPr>
          <w:rFonts w:ascii="Arial" w:hAnsi="Arial" w:cs="Arial"/>
          <w:bCs/>
          <w:sz w:val="20"/>
          <w:szCs w:val="20"/>
          <w:lang w:val="en-US"/>
        </w:rPr>
        <w:t>will be</w:t>
      </w:r>
      <w:r w:rsidR="00FB489A" w:rsidRPr="000F5A61">
        <w:rPr>
          <w:rFonts w:ascii="Arial" w:hAnsi="Arial" w:cs="Arial"/>
          <w:bCs/>
          <w:sz w:val="20"/>
          <w:szCs w:val="20"/>
          <w:lang w:val="en-US"/>
        </w:rPr>
        <w:t xml:space="preserve"> maintained at all levels</w:t>
      </w:r>
      <w:r w:rsidR="00917419" w:rsidRPr="000F5A61">
        <w:rPr>
          <w:rFonts w:ascii="Arial" w:hAnsi="Arial" w:cs="Arial"/>
          <w:bCs/>
          <w:sz w:val="20"/>
          <w:szCs w:val="20"/>
          <w:lang w:val="en-US"/>
        </w:rPr>
        <w:t xml:space="preserve"> (</w:t>
      </w:r>
      <w:r w:rsidR="00FB489A" w:rsidRPr="000F5A61">
        <w:rPr>
          <w:rFonts w:ascii="Arial" w:hAnsi="Arial" w:cs="Arial"/>
          <w:bCs/>
          <w:sz w:val="20"/>
          <w:szCs w:val="20"/>
          <w:lang w:val="en-US"/>
        </w:rPr>
        <w:t>includ</w:t>
      </w:r>
      <w:r w:rsidR="00917419" w:rsidRPr="000F5A61">
        <w:rPr>
          <w:rFonts w:ascii="Arial" w:hAnsi="Arial" w:cs="Arial"/>
          <w:bCs/>
          <w:sz w:val="20"/>
          <w:szCs w:val="20"/>
          <w:lang w:val="en-US"/>
        </w:rPr>
        <w:t>ing</w:t>
      </w:r>
      <w:r w:rsidR="00FB489A" w:rsidRPr="000F5A61">
        <w:rPr>
          <w:rFonts w:ascii="Arial" w:hAnsi="Arial" w:cs="Arial"/>
          <w:bCs/>
          <w:sz w:val="20"/>
          <w:szCs w:val="20"/>
          <w:lang w:val="en-US"/>
        </w:rPr>
        <w:t xml:space="preserve"> port authorities, DPHOs and implementing NGO managers</w:t>
      </w:r>
      <w:r w:rsidR="00917419" w:rsidRPr="000F5A61">
        <w:rPr>
          <w:rFonts w:ascii="Arial" w:hAnsi="Arial" w:cs="Arial"/>
          <w:bCs/>
          <w:sz w:val="20"/>
          <w:szCs w:val="20"/>
          <w:lang w:val="en-US"/>
        </w:rPr>
        <w:t>)</w:t>
      </w:r>
      <w:r w:rsidR="00FB489A" w:rsidRPr="000F5A61">
        <w:rPr>
          <w:rFonts w:ascii="Arial" w:hAnsi="Arial" w:cs="Arial"/>
          <w:bCs/>
          <w:sz w:val="20"/>
          <w:szCs w:val="20"/>
          <w:lang w:val="en-US"/>
        </w:rPr>
        <w:t xml:space="preserve"> to ensure </w:t>
      </w:r>
      <w:r w:rsidR="00454458" w:rsidRPr="000F5A61">
        <w:rPr>
          <w:rFonts w:ascii="Arial" w:hAnsi="Arial" w:cs="Arial"/>
          <w:bCs/>
          <w:sz w:val="20"/>
          <w:szCs w:val="20"/>
          <w:lang w:val="en-US"/>
        </w:rPr>
        <w:t>smooth transportation of goods.</w:t>
      </w:r>
      <w:r w:rsidR="00FB489A" w:rsidRPr="000F5A61">
        <w:rPr>
          <w:rFonts w:ascii="Arial" w:hAnsi="Arial" w:cs="Arial"/>
          <w:bCs/>
          <w:sz w:val="20"/>
          <w:szCs w:val="20"/>
          <w:lang w:val="en-US"/>
        </w:rPr>
        <w:t>MoH</w:t>
      </w:r>
      <w:r w:rsidR="005A5815" w:rsidRPr="000F5A61">
        <w:rPr>
          <w:rFonts w:ascii="Arial" w:hAnsi="Arial" w:cs="Arial"/>
          <w:bCs/>
          <w:sz w:val="20"/>
          <w:szCs w:val="20"/>
          <w:lang w:val="en-US"/>
        </w:rPr>
        <w:t xml:space="preserve"> has a </w:t>
      </w:r>
      <w:r w:rsidR="00066729" w:rsidRPr="000F5A61">
        <w:rPr>
          <w:rFonts w:ascii="Arial" w:hAnsi="Arial" w:cs="Arial"/>
          <w:bCs/>
          <w:sz w:val="20"/>
          <w:szCs w:val="20"/>
          <w:lang w:val="en-US"/>
        </w:rPr>
        <w:t>Central</w:t>
      </w:r>
      <w:r w:rsidR="005A5815" w:rsidRPr="000F5A61">
        <w:rPr>
          <w:rFonts w:ascii="Arial" w:hAnsi="Arial" w:cs="Arial"/>
          <w:bCs/>
          <w:sz w:val="20"/>
          <w:szCs w:val="20"/>
          <w:lang w:val="en-US"/>
        </w:rPr>
        <w:t xml:space="preserve"> level warehouse, </w:t>
      </w:r>
      <w:r w:rsidR="00454458" w:rsidRPr="000F5A61">
        <w:rPr>
          <w:rFonts w:ascii="Arial" w:hAnsi="Arial" w:cs="Arial"/>
          <w:bCs/>
          <w:sz w:val="20"/>
          <w:szCs w:val="20"/>
          <w:lang w:val="en-US"/>
        </w:rPr>
        <w:t>as well as</w:t>
      </w:r>
      <w:r w:rsidR="005A5815" w:rsidRPr="000F5A61">
        <w:rPr>
          <w:rFonts w:ascii="Arial" w:hAnsi="Arial" w:cs="Arial"/>
          <w:bCs/>
          <w:sz w:val="20"/>
          <w:szCs w:val="20"/>
          <w:lang w:val="en-US"/>
        </w:rPr>
        <w:t xml:space="preserve"> warehouses </w:t>
      </w:r>
      <w:r w:rsidR="00454458" w:rsidRPr="000F5A61">
        <w:rPr>
          <w:rFonts w:ascii="Arial" w:hAnsi="Arial" w:cs="Arial"/>
          <w:bCs/>
          <w:sz w:val="20"/>
          <w:szCs w:val="20"/>
          <w:lang w:val="en-US"/>
        </w:rPr>
        <w:t xml:space="preserve">at </w:t>
      </w:r>
      <w:r w:rsidR="00066729" w:rsidRPr="000F5A61">
        <w:rPr>
          <w:rFonts w:ascii="Arial" w:hAnsi="Arial" w:cs="Arial"/>
          <w:bCs/>
          <w:sz w:val="20"/>
          <w:szCs w:val="20"/>
          <w:lang w:val="en-US"/>
        </w:rPr>
        <w:t>Regional</w:t>
      </w:r>
      <w:r w:rsidR="00454458" w:rsidRPr="000F5A61">
        <w:rPr>
          <w:rFonts w:ascii="Arial" w:hAnsi="Arial" w:cs="Arial"/>
          <w:bCs/>
          <w:sz w:val="20"/>
          <w:szCs w:val="20"/>
          <w:lang w:val="en-US"/>
        </w:rPr>
        <w:t xml:space="preserve"> and </w:t>
      </w:r>
      <w:r w:rsidR="00066729" w:rsidRPr="000F5A61">
        <w:rPr>
          <w:rFonts w:ascii="Arial" w:hAnsi="Arial" w:cs="Arial"/>
          <w:bCs/>
          <w:sz w:val="20"/>
          <w:szCs w:val="20"/>
          <w:lang w:val="en-US"/>
        </w:rPr>
        <w:t>District</w:t>
      </w:r>
      <w:r w:rsidR="00454458" w:rsidRPr="000F5A61">
        <w:rPr>
          <w:rFonts w:ascii="Arial" w:hAnsi="Arial" w:cs="Arial"/>
          <w:bCs/>
          <w:sz w:val="20"/>
          <w:szCs w:val="20"/>
          <w:lang w:val="en-US"/>
        </w:rPr>
        <w:t xml:space="preserve"> levels </w:t>
      </w:r>
      <w:r w:rsidR="005A5815" w:rsidRPr="000F5A61">
        <w:rPr>
          <w:rFonts w:ascii="Arial" w:hAnsi="Arial" w:cs="Arial"/>
          <w:bCs/>
          <w:sz w:val="20"/>
          <w:szCs w:val="20"/>
          <w:lang w:val="en-US"/>
        </w:rPr>
        <w:t xml:space="preserve">and stores </w:t>
      </w:r>
      <w:r w:rsidR="00454458" w:rsidRPr="000F5A61">
        <w:rPr>
          <w:rFonts w:ascii="Arial" w:hAnsi="Arial" w:cs="Arial"/>
          <w:bCs/>
          <w:sz w:val="20"/>
          <w:szCs w:val="20"/>
          <w:lang w:val="en-US"/>
        </w:rPr>
        <w:t>at</w:t>
      </w:r>
      <w:r w:rsidR="00452E8E" w:rsidRPr="000F5A61">
        <w:rPr>
          <w:rFonts w:ascii="Arial" w:hAnsi="Arial" w:cs="Arial"/>
          <w:bCs/>
          <w:sz w:val="20"/>
          <w:szCs w:val="20"/>
          <w:lang w:val="en-US"/>
        </w:rPr>
        <w:t xml:space="preserve">peripheral </w:t>
      </w:r>
      <w:r w:rsidR="00454458" w:rsidRPr="000F5A61">
        <w:rPr>
          <w:rFonts w:ascii="Arial" w:hAnsi="Arial" w:cs="Arial"/>
          <w:bCs/>
          <w:sz w:val="20"/>
          <w:szCs w:val="20"/>
          <w:lang w:val="en-US"/>
        </w:rPr>
        <w:t>health facilities</w:t>
      </w:r>
      <w:r w:rsidR="005A5815" w:rsidRPr="000F5A61">
        <w:rPr>
          <w:rFonts w:ascii="Arial" w:hAnsi="Arial" w:cs="Arial"/>
          <w:bCs/>
          <w:sz w:val="20"/>
          <w:szCs w:val="20"/>
          <w:lang w:val="en-US"/>
        </w:rPr>
        <w:t xml:space="preserve">. All are </w:t>
      </w:r>
      <w:r w:rsidR="00454458" w:rsidRPr="000F5A61">
        <w:rPr>
          <w:rFonts w:ascii="Arial" w:hAnsi="Arial" w:cs="Arial"/>
          <w:bCs/>
          <w:sz w:val="20"/>
          <w:szCs w:val="20"/>
          <w:lang w:val="en-US"/>
        </w:rPr>
        <w:t xml:space="preserve">required to be </w:t>
      </w:r>
      <w:r w:rsidR="005A5815" w:rsidRPr="000F5A61">
        <w:rPr>
          <w:rFonts w:ascii="Arial" w:hAnsi="Arial" w:cs="Arial"/>
          <w:bCs/>
          <w:sz w:val="20"/>
          <w:szCs w:val="20"/>
          <w:lang w:val="en-US"/>
        </w:rPr>
        <w:t>managed in accordance with good storage practices</w:t>
      </w:r>
      <w:r w:rsidR="00454458" w:rsidRPr="000F5A61">
        <w:rPr>
          <w:rFonts w:ascii="Arial" w:hAnsi="Arial" w:cs="Arial"/>
          <w:bCs/>
          <w:sz w:val="20"/>
          <w:szCs w:val="20"/>
          <w:lang w:val="en-US"/>
        </w:rPr>
        <w:t xml:space="preserve"> but this area requires strengthening, particularly in the periphery</w:t>
      </w:r>
      <w:r w:rsidR="005A5815" w:rsidRPr="000F5A61">
        <w:rPr>
          <w:rFonts w:ascii="Arial" w:hAnsi="Arial" w:cs="Arial"/>
          <w:bCs/>
          <w:sz w:val="20"/>
          <w:szCs w:val="20"/>
          <w:lang w:val="en-US"/>
        </w:rPr>
        <w:t>.</w:t>
      </w:r>
      <w:r w:rsidR="00454458" w:rsidRPr="000F5A61">
        <w:rPr>
          <w:rFonts w:ascii="Arial" w:hAnsi="Arial" w:cs="Arial"/>
          <w:bCs/>
          <w:sz w:val="20"/>
          <w:szCs w:val="20"/>
          <w:lang w:val="en-US"/>
        </w:rPr>
        <w:t xml:space="preserve"> This will be addressed through improved supervision and </w:t>
      </w:r>
      <w:r w:rsidR="00452E8E" w:rsidRPr="000F5A61">
        <w:rPr>
          <w:rFonts w:ascii="Arial" w:hAnsi="Arial" w:cs="Arial"/>
          <w:bCs/>
          <w:sz w:val="20"/>
          <w:szCs w:val="20"/>
          <w:lang w:val="en-US"/>
        </w:rPr>
        <w:t>needs-</w:t>
      </w:r>
      <w:r w:rsidR="00454458" w:rsidRPr="000F5A61">
        <w:rPr>
          <w:rFonts w:ascii="Arial" w:hAnsi="Arial" w:cs="Arial"/>
          <w:bCs/>
          <w:sz w:val="20"/>
          <w:szCs w:val="20"/>
          <w:lang w:val="en-US"/>
        </w:rPr>
        <w:t>based on-the-job training.</w:t>
      </w:r>
      <w:r w:rsidR="005A5815" w:rsidRPr="000F5A61">
        <w:rPr>
          <w:rFonts w:ascii="Arial" w:hAnsi="Arial" w:cs="Arial"/>
          <w:bCs/>
          <w:sz w:val="20"/>
          <w:szCs w:val="20"/>
          <w:lang w:val="en-US"/>
        </w:rPr>
        <w:t xml:space="preserve"> SOP</w:t>
      </w:r>
      <w:r w:rsidR="00454458" w:rsidRPr="000F5A61">
        <w:rPr>
          <w:rFonts w:ascii="Arial" w:hAnsi="Arial" w:cs="Arial"/>
          <w:bCs/>
          <w:sz w:val="20"/>
          <w:szCs w:val="20"/>
          <w:lang w:val="en-US"/>
        </w:rPr>
        <w:t>s</w:t>
      </w:r>
      <w:r w:rsidR="005A5815" w:rsidRPr="000F5A61">
        <w:rPr>
          <w:rFonts w:ascii="Arial" w:hAnsi="Arial" w:cs="Arial"/>
          <w:bCs/>
          <w:sz w:val="20"/>
          <w:szCs w:val="20"/>
          <w:lang w:val="en-US"/>
        </w:rPr>
        <w:t xml:space="preserve"> for health product management </w:t>
      </w:r>
      <w:r w:rsidR="00454458" w:rsidRPr="000F5A61">
        <w:rPr>
          <w:rFonts w:ascii="Arial" w:hAnsi="Arial" w:cs="Arial"/>
          <w:bCs/>
          <w:sz w:val="20"/>
          <w:szCs w:val="20"/>
          <w:lang w:val="en-US"/>
        </w:rPr>
        <w:t>will be updated</w:t>
      </w:r>
      <w:r w:rsidR="005A5815" w:rsidRPr="000F5A61">
        <w:rPr>
          <w:rFonts w:ascii="Arial" w:hAnsi="Arial" w:cs="Arial"/>
          <w:bCs/>
          <w:sz w:val="20"/>
          <w:szCs w:val="20"/>
          <w:lang w:val="en-US"/>
        </w:rPr>
        <w:t xml:space="preserve">. Stock registers </w:t>
      </w:r>
      <w:r w:rsidR="00917419" w:rsidRPr="000F5A61">
        <w:rPr>
          <w:rFonts w:ascii="Arial" w:hAnsi="Arial" w:cs="Arial"/>
          <w:bCs/>
          <w:sz w:val="20"/>
          <w:szCs w:val="20"/>
          <w:lang w:val="en-US"/>
        </w:rPr>
        <w:t>will bekept</w:t>
      </w:r>
      <w:r w:rsidR="005A5815" w:rsidRPr="000F5A61">
        <w:rPr>
          <w:rFonts w:ascii="Arial" w:hAnsi="Arial" w:cs="Arial"/>
          <w:bCs/>
          <w:sz w:val="20"/>
          <w:szCs w:val="20"/>
          <w:lang w:val="en-US"/>
        </w:rPr>
        <w:t xml:space="preserve"> at all store facilities</w:t>
      </w:r>
      <w:r w:rsidR="00917419" w:rsidRPr="000F5A61">
        <w:rPr>
          <w:rFonts w:ascii="Arial" w:hAnsi="Arial" w:cs="Arial"/>
          <w:bCs/>
          <w:sz w:val="20"/>
          <w:szCs w:val="20"/>
          <w:lang w:val="en-US"/>
        </w:rPr>
        <w:t xml:space="preserve">. </w:t>
      </w:r>
      <w:r w:rsidR="00066729" w:rsidRPr="000F5A61">
        <w:rPr>
          <w:rFonts w:ascii="Arial" w:hAnsi="Arial" w:cs="Arial"/>
          <w:bCs/>
          <w:sz w:val="20"/>
          <w:szCs w:val="20"/>
          <w:lang w:val="en-US"/>
        </w:rPr>
        <w:t>Central</w:t>
      </w:r>
      <w:r w:rsidR="005A5815" w:rsidRPr="000F5A61">
        <w:rPr>
          <w:rFonts w:ascii="Arial" w:hAnsi="Arial" w:cs="Arial"/>
          <w:bCs/>
          <w:sz w:val="20"/>
          <w:szCs w:val="20"/>
          <w:lang w:val="en-US"/>
        </w:rPr>
        <w:t xml:space="preserve"> and local level coordination </w:t>
      </w:r>
      <w:r w:rsidR="00917419" w:rsidRPr="000F5A61">
        <w:rPr>
          <w:rFonts w:ascii="Arial" w:hAnsi="Arial" w:cs="Arial"/>
          <w:bCs/>
          <w:sz w:val="20"/>
          <w:szCs w:val="20"/>
          <w:lang w:val="en-US"/>
        </w:rPr>
        <w:t>will be</w:t>
      </w:r>
      <w:r w:rsidR="005A5815" w:rsidRPr="000F5A61">
        <w:rPr>
          <w:rFonts w:ascii="Arial" w:hAnsi="Arial" w:cs="Arial"/>
          <w:bCs/>
          <w:sz w:val="20"/>
          <w:szCs w:val="20"/>
          <w:lang w:val="en-US"/>
        </w:rPr>
        <w:t xml:space="preserve"> maintained to anticipate stock-outs and manage responsive redistribution of goods. A web</w:t>
      </w:r>
      <w:r w:rsidR="00917419" w:rsidRPr="000F5A61">
        <w:rPr>
          <w:rFonts w:ascii="Arial" w:hAnsi="Arial" w:cs="Arial"/>
          <w:bCs/>
          <w:sz w:val="20"/>
          <w:szCs w:val="20"/>
          <w:lang w:val="en-US"/>
        </w:rPr>
        <w:t>-</w:t>
      </w:r>
      <w:r w:rsidR="005A5815" w:rsidRPr="000F5A61">
        <w:rPr>
          <w:rFonts w:ascii="Arial" w:hAnsi="Arial" w:cs="Arial"/>
          <w:bCs/>
          <w:sz w:val="20"/>
          <w:szCs w:val="20"/>
          <w:lang w:val="en-US"/>
        </w:rPr>
        <w:t xml:space="preserve">based LMIS has been introduced, which </w:t>
      </w:r>
      <w:r w:rsidR="00917419" w:rsidRPr="000F5A61">
        <w:rPr>
          <w:rFonts w:ascii="Arial" w:hAnsi="Arial" w:cs="Arial"/>
          <w:bCs/>
          <w:sz w:val="20"/>
          <w:szCs w:val="20"/>
          <w:lang w:val="en-US"/>
        </w:rPr>
        <w:t>will</w:t>
      </w:r>
      <w:r w:rsidR="005A5815" w:rsidRPr="000F5A61">
        <w:rPr>
          <w:rFonts w:ascii="Arial" w:hAnsi="Arial" w:cs="Arial"/>
          <w:bCs/>
          <w:sz w:val="20"/>
          <w:szCs w:val="20"/>
          <w:lang w:val="en-US"/>
        </w:rPr>
        <w:t xml:space="preserve"> track the stock status of </w:t>
      </w:r>
      <w:r w:rsidR="00917419" w:rsidRPr="000F5A61">
        <w:rPr>
          <w:rFonts w:ascii="Arial" w:hAnsi="Arial" w:cs="Arial"/>
          <w:bCs/>
          <w:sz w:val="20"/>
          <w:szCs w:val="20"/>
          <w:lang w:val="en-US"/>
        </w:rPr>
        <w:t xml:space="preserve">all </w:t>
      </w:r>
      <w:r w:rsidR="005A5815" w:rsidRPr="000F5A61">
        <w:rPr>
          <w:rFonts w:ascii="Arial" w:hAnsi="Arial" w:cs="Arial"/>
          <w:bCs/>
          <w:sz w:val="20"/>
          <w:szCs w:val="20"/>
          <w:lang w:val="en-US"/>
        </w:rPr>
        <w:t xml:space="preserve">health products. </w:t>
      </w:r>
    </w:p>
    <w:p w:rsidR="006A271C" w:rsidRPr="000F5A61" w:rsidRDefault="006A271C" w:rsidP="005A5815">
      <w:pPr>
        <w:spacing w:after="120" w:line="240" w:lineRule="auto"/>
        <w:rPr>
          <w:rFonts w:ascii="Arial" w:hAnsi="Arial" w:cs="Arial"/>
          <w:bCs/>
          <w:sz w:val="20"/>
          <w:szCs w:val="20"/>
          <w:lang w:val="en-US"/>
        </w:rPr>
      </w:pPr>
      <w:r w:rsidRPr="000F5A61">
        <w:rPr>
          <w:rFonts w:ascii="Arial" w:eastAsia="Times New Roman" w:hAnsi="Arial" w:cs="Arial"/>
          <w:sz w:val="20"/>
          <w:szCs w:val="20"/>
        </w:rPr>
        <w:t>The technical capacity of the Programme has been growing steadily under the current grant</w:t>
      </w:r>
      <w:r w:rsidR="00AB60B4" w:rsidRPr="000F5A61">
        <w:rPr>
          <w:rFonts w:ascii="Arial" w:eastAsia="Times New Roman" w:hAnsi="Arial" w:cs="Arial"/>
          <w:sz w:val="20"/>
          <w:szCs w:val="20"/>
        </w:rPr>
        <w:t xml:space="preserve"> and during its final months special emphasis will be placed on accelerating the development of the technical capacity required for elimination. Supporting the transition from control to elimination and building on recent advances in surveillance capabilit</w:t>
      </w:r>
      <w:r w:rsidR="00452E8E" w:rsidRPr="000F5A61">
        <w:rPr>
          <w:rFonts w:ascii="Arial" w:eastAsia="Times New Roman" w:hAnsi="Arial" w:cs="Arial"/>
          <w:sz w:val="20"/>
          <w:szCs w:val="20"/>
        </w:rPr>
        <w:t>y</w:t>
      </w:r>
      <w:r w:rsidR="00AB60B4" w:rsidRPr="000F5A61">
        <w:rPr>
          <w:rFonts w:ascii="Arial" w:eastAsia="Times New Roman" w:hAnsi="Arial" w:cs="Arial"/>
          <w:sz w:val="20"/>
          <w:szCs w:val="20"/>
        </w:rPr>
        <w:t xml:space="preserve"> will be key areas of focus. The further development and maintenance of technical capacity will continue to be prioritized under the new grant, with special emphasis on reaching </w:t>
      </w:r>
      <w:r w:rsidR="004F2E7F" w:rsidRPr="000F5A61">
        <w:rPr>
          <w:rFonts w:ascii="Arial" w:eastAsia="Times New Roman" w:hAnsi="Arial" w:cs="Arial"/>
          <w:sz w:val="20"/>
          <w:szCs w:val="20"/>
        </w:rPr>
        <w:t xml:space="preserve">the currently underserved </w:t>
      </w:r>
      <w:r w:rsidR="00DE0D88" w:rsidRPr="000F5A61">
        <w:rPr>
          <w:rFonts w:ascii="Arial" w:eastAsia="Times New Roman" w:hAnsi="Arial" w:cs="Arial"/>
          <w:sz w:val="20"/>
          <w:szCs w:val="20"/>
        </w:rPr>
        <w:t xml:space="preserve">vulnerable, </w:t>
      </w:r>
      <w:r w:rsidR="00AB60B4" w:rsidRPr="000F5A61">
        <w:rPr>
          <w:rFonts w:ascii="Arial" w:eastAsia="Times New Roman" w:hAnsi="Arial" w:cs="Arial"/>
          <w:sz w:val="20"/>
          <w:szCs w:val="20"/>
        </w:rPr>
        <w:t>mobile and migrant populations through innovations including the roll</w:t>
      </w:r>
      <w:r w:rsidR="004F2E7F" w:rsidRPr="000F5A61">
        <w:rPr>
          <w:rFonts w:ascii="Arial" w:eastAsia="Times New Roman" w:hAnsi="Arial" w:cs="Arial"/>
          <w:sz w:val="20"/>
          <w:szCs w:val="20"/>
        </w:rPr>
        <w:t>-</w:t>
      </w:r>
      <w:r w:rsidR="00AB60B4" w:rsidRPr="000F5A61">
        <w:rPr>
          <w:rFonts w:ascii="Arial" w:eastAsia="Times New Roman" w:hAnsi="Arial" w:cs="Arial"/>
          <w:sz w:val="20"/>
          <w:szCs w:val="20"/>
        </w:rPr>
        <w:t xml:space="preserve">out of community based services, </w:t>
      </w:r>
      <w:r w:rsidR="00D17653" w:rsidRPr="000F5A61">
        <w:rPr>
          <w:rFonts w:ascii="Arial" w:eastAsia="Times New Roman" w:hAnsi="Arial" w:cs="Arial"/>
          <w:sz w:val="20"/>
          <w:szCs w:val="20"/>
        </w:rPr>
        <w:t>PS</w:t>
      </w:r>
      <w:r w:rsidR="00AB60B4" w:rsidRPr="000F5A61">
        <w:rPr>
          <w:rFonts w:ascii="Arial" w:eastAsia="Times New Roman" w:hAnsi="Arial" w:cs="Arial"/>
          <w:sz w:val="20"/>
          <w:szCs w:val="20"/>
        </w:rPr>
        <w:t xml:space="preserve"> engagement</w:t>
      </w:r>
      <w:r w:rsidR="004F2E7F" w:rsidRPr="000F5A61">
        <w:rPr>
          <w:rFonts w:ascii="Arial" w:eastAsia="Times New Roman" w:hAnsi="Arial" w:cs="Arial"/>
          <w:sz w:val="20"/>
          <w:szCs w:val="20"/>
        </w:rPr>
        <w:t xml:space="preserve">, multi-sectoral partnership, mass </w:t>
      </w:r>
      <w:r w:rsidR="00AB60B4" w:rsidRPr="000F5A61">
        <w:rPr>
          <w:rFonts w:ascii="Arial" w:eastAsia="Times New Roman" w:hAnsi="Arial" w:cs="Arial"/>
          <w:sz w:val="20"/>
          <w:szCs w:val="20"/>
        </w:rPr>
        <w:t xml:space="preserve">community mobilization </w:t>
      </w:r>
      <w:r w:rsidR="004F2E7F" w:rsidRPr="000F5A61">
        <w:rPr>
          <w:rFonts w:ascii="Arial" w:eastAsia="Times New Roman" w:hAnsi="Arial" w:cs="Arial"/>
          <w:sz w:val="20"/>
          <w:szCs w:val="20"/>
        </w:rPr>
        <w:t>and cross-border collaboration for elimination</w:t>
      </w:r>
      <w:r w:rsidR="00AB60B4" w:rsidRPr="000F5A61">
        <w:rPr>
          <w:rFonts w:ascii="Arial" w:eastAsia="Times New Roman" w:hAnsi="Arial" w:cs="Arial"/>
          <w:sz w:val="20"/>
          <w:szCs w:val="20"/>
        </w:rPr>
        <w:t>.</w:t>
      </w:r>
    </w:p>
    <w:p w:rsidR="00FE411C" w:rsidRPr="000F5A61" w:rsidRDefault="00FE411C" w:rsidP="00B43E6C">
      <w:pPr>
        <w:spacing w:before="240"/>
        <w:rPr>
          <w:rFonts w:ascii="Arial" w:hAnsi="Arial" w:cs="Arial"/>
          <w:sz w:val="20"/>
          <w:szCs w:val="20"/>
          <w:lang w:val="en-US"/>
        </w:rPr>
      </w:pPr>
      <w:r w:rsidRPr="000F5A61">
        <w:rPr>
          <w:rFonts w:ascii="Arial" w:hAnsi="Arial" w:cs="Arial"/>
          <w:sz w:val="20"/>
          <w:szCs w:val="20"/>
          <w:lang w:val="en-US"/>
        </w:rPr>
        <w:br w:type="page"/>
      </w:r>
    </w:p>
    <w:tbl>
      <w:tblPr>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A0"/>
      </w:tblPr>
      <w:tblGrid>
        <w:gridCol w:w="1528"/>
        <w:gridCol w:w="3117"/>
        <w:gridCol w:w="2863"/>
        <w:gridCol w:w="1473"/>
        <w:gridCol w:w="34"/>
      </w:tblGrid>
      <w:tr w:rsidR="005A62F6" w:rsidRPr="000F5A61" w:rsidTr="002270D7">
        <w:trPr>
          <w:trHeight w:val="485"/>
          <w:jc w:val="center"/>
        </w:trPr>
        <w:tc>
          <w:tcPr>
            <w:tcW w:w="9015" w:type="dxa"/>
            <w:gridSpan w:val="5"/>
            <w:shd w:val="clear" w:color="auto" w:fill="C6D9F1"/>
            <w:vAlign w:val="center"/>
          </w:tcPr>
          <w:p w:rsidR="005A62F6" w:rsidRPr="000F5A61" w:rsidRDefault="005A62F6" w:rsidP="007C4088">
            <w:pPr>
              <w:spacing w:after="0" w:line="276" w:lineRule="auto"/>
              <w:rPr>
                <w:rFonts w:ascii="Arial" w:eastAsia="Calibri" w:hAnsi="Arial" w:cs="Arial"/>
                <w:sz w:val="20"/>
                <w:szCs w:val="20"/>
                <w:lang w:val="en-US"/>
              </w:rPr>
            </w:pPr>
            <w:r w:rsidRPr="000F5A61">
              <w:rPr>
                <w:rFonts w:ascii="Arial" w:eastAsia="Calibri" w:hAnsi="Arial" w:cs="Arial"/>
                <w:b/>
                <w:bCs/>
                <w:sz w:val="20"/>
                <w:szCs w:val="20"/>
                <w:lang w:val="en-US"/>
              </w:rPr>
              <w:lastRenderedPageBreak/>
              <w:t>3.2 Key implementation risks</w:t>
            </w:r>
          </w:p>
        </w:tc>
      </w:tr>
      <w:tr w:rsidR="005A62F6" w:rsidRPr="000F5A61" w:rsidTr="002270D7">
        <w:trPr>
          <w:trHeight w:val="1824"/>
          <w:jc w:val="center"/>
        </w:trPr>
        <w:tc>
          <w:tcPr>
            <w:tcW w:w="9015" w:type="dxa"/>
            <w:gridSpan w:val="5"/>
            <w:shd w:val="clear" w:color="auto" w:fill="F2F2F2" w:themeFill="background1" w:themeFillShade="F2"/>
            <w:vAlign w:val="center"/>
          </w:tcPr>
          <w:p w:rsidR="00FE411C" w:rsidRPr="000F5A61" w:rsidRDefault="00C77493" w:rsidP="00C43F4F">
            <w:pPr>
              <w:spacing w:line="256" w:lineRule="auto"/>
              <w:contextualSpacing/>
              <w:jc w:val="both"/>
              <w:rPr>
                <w:rFonts w:ascii="Arial" w:hAnsi="Arial" w:cs="Arial"/>
                <w:sz w:val="20"/>
                <w:szCs w:val="20"/>
              </w:rPr>
            </w:pPr>
            <w:r w:rsidRPr="000F5A61">
              <w:rPr>
                <w:rFonts w:ascii="Arial" w:eastAsia="Calibri" w:hAnsi="Arial" w:cs="Arial"/>
                <w:sz w:val="20"/>
                <w:szCs w:val="20"/>
              </w:rPr>
              <w:t xml:space="preserve">Using the table below, </w:t>
            </w:r>
            <w:r w:rsidR="00C43F4F" w:rsidRPr="000F5A61">
              <w:rPr>
                <w:rFonts w:ascii="Arial" w:eastAsia="Calibri" w:hAnsi="Arial" w:cs="Arial"/>
                <w:sz w:val="20"/>
                <w:szCs w:val="20"/>
                <w:lang w:val="en-US"/>
              </w:rPr>
              <w:t xml:space="preserve">outline key risks foreseen, including those that were provided in the </w:t>
            </w:r>
            <w:r w:rsidR="00C43F4F" w:rsidRPr="000F5A61">
              <w:rPr>
                <w:rFonts w:ascii="Arial" w:eastAsia="Calibri" w:hAnsi="Arial" w:cs="Arial"/>
                <w:i/>
                <w:sz w:val="20"/>
                <w:szCs w:val="20"/>
                <w:lang w:val="en-US"/>
              </w:rPr>
              <w:t>Key Program Risks</w:t>
            </w:r>
            <w:r w:rsidR="00C43F4F" w:rsidRPr="000F5A61">
              <w:rPr>
                <w:rFonts w:ascii="Arial" w:eastAsia="Calibri" w:hAnsi="Arial" w:cs="Arial"/>
                <w:sz w:val="20"/>
                <w:szCs w:val="20"/>
                <w:lang w:val="en-US"/>
              </w:rPr>
              <w:t xml:space="preserve"> table shared by the Global Fund during the Country Dialogue process.</w:t>
            </w:r>
            <w:r w:rsidR="00C43F4F" w:rsidRPr="000F5A61">
              <w:rPr>
                <w:rFonts w:ascii="Arial" w:eastAsia="Calibri" w:hAnsi="Arial" w:cs="Arial"/>
                <w:sz w:val="20"/>
                <w:szCs w:val="20"/>
              </w:rPr>
              <w:t xml:space="preserve"> You can also add </w:t>
            </w:r>
            <w:r w:rsidRPr="000F5A61">
              <w:rPr>
                <w:rFonts w:ascii="Arial" w:eastAsia="Calibri" w:hAnsi="Arial" w:cs="Arial"/>
                <w:sz w:val="20"/>
                <w:szCs w:val="20"/>
              </w:rPr>
              <w:t>key operational and implementation risks, which you identified as outstanding over the previous implementation period, and the specific mitigation measures planned to address each of these challenges/risks to ensure effective program pe</w:t>
            </w:r>
            <w:r w:rsidR="00C43F4F" w:rsidRPr="000F5A61">
              <w:rPr>
                <w:rFonts w:ascii="Arial" w:eastAsia="Calibri" w:hAnsi="Arial" w:cs="Arial"/>
                <w:sz w:val="20"/>
                <w:szCs w:val="20"/>
              </w:rPr>
              <w:t>rformance in the given context.</w:t>
            </w:r>
          </w:p>
          <w:p w:rsidR="00FE411C" w:rsidRPr="000F5A61" w:rsidRDefault="00FE411C" w:rsidP="00C43F4F">
            <w:pPr>
              <w:tabs>
                <w:tab w:val="center" w:pos="4513"/>
                <w:tab w:val="right" w:pos="9026"/>
              </w:tabs>
              <w:spacing w:after="0" w:line="256" w:lineRule="auto"/>
              <w:contextualSpacing/>
              <w:jc w:val="both"/>
              <w:rPr>
                <w:rFonts w:ascii="Arial" w:hAnsi="Arial" w:cs="Arial"/>
                <w:sz w:val="20"/>
                <w:szCs w:val="20"/>
              </w:rPr>
            </w:pPr>
          </w:p>
          <w:p w:rsidR="005A62F6" w:rsidRPr="000F5A61" w:rsidRDefault="00FE411C" w:rsidP="00C43F4F">
            <w:pPr>
              <w:spacing w:line="256" w:lineRule="auto"/>
              <w:contextualSpacing/>
              <w:jc w:val="both"/>
              <w:rPr>
                <w:rFonts w:ascii="Arial" w:eastAsia="Calibri" w:hAnsi="Arial" w:cs="Arial"/>
                <w:sz w:val="20"/>
                <w:szCs w:val="20"/>
                <w:lang w:val="en-US"/>
              </w:rPr>
            </w:pPr>
            <w:r w:rsidRPr="000F5A61">
              <w:rPr>
                <w:rFonts w:ascii="Arial" w:hAnsi="Arial" w:cs="Arial"/>
                <w:sz w:val="20"/>
                <w:szCs w:val="20"/>
              </w:rPr>
              <w:t>Applicant response in table below</w:t>
            </w:r>
            <w:r w:rsidR="004F6A73" w:rsidRPr="000F5A61">
              <w:rPr>
                <w:rFonts w:ascii="Arial" w:hAnsi="Arial" w:cs="Arial"/>
                <w:sz w:val="20"/>
                <w:szCs w:val="20"/>
              </w:rPr>
              <w:t>.</w:t>
            </w:r>
          </w:p>
        </w:tc>
      </w:tr>
      <w:tr w:rsidR="00A5131D" w:rsidRPr="000F5A61" w:rsidTr="002270D7">
        <w:trPr>
          <w:gridAfter w:val="1"/>
          <w:wAfter w:w="34" w:type="dxa"/>
          <w:trHeight w:val="470"/>
          <w:jc w:val="center"/>
        </w:trPr>
        <w:tc>
          <w:tcPr>
            <w:tcW w:w="1528" w:type="dxa"/>
            <w:shd w:val="clear" w:color="auto" w:fill="C6D9F1"/>
            <w:vAlign w:val="center"/>
          </w:tcPr>
          <w:p w:rsidR="00827D9E" w:rsidRPr="000F5A61" w:rsidRDefault="00A5131D" w:rsidP="005638BC">
            <w:pPr>
              <w:spacing w:after="0" w:line="276" w:lineRule="auto"/>
              <w:jc w:val="center"/>
              <w:rPr>
                <w:rFonts w:ascii="Arial" w:eastAsia="Calibri" w:hAnsi="Arial" w:cs="Arial"/>
                <w:b/>
                <w:iCs/>
                <w:sz w:val="20"/>
                <w:szCs w:val="20"/>
                <w:lang w:val="en-US"/>
              </w:rPr>
            </w:pPr>
            <w:r w:rsidRPr="000F5A61">
              <w:rPr>
                <w:rFonts w:ascii="Arial" w:eastAsia="Calibri" w:hAnsi="Arial" w:cs="Arial"/>
                <w:b/>
                <w:iCs/>
                <w:sz w:val="20"/>
                <w:szCs w:val="20"/>
                <w:lang w:val="en-US"/>
              </w:rPr>
              <w:t>Risk Category</w:t>
            </w:r>
          </w:p>
          <w:p w:rsidR="00A5131D" w:rsidRPr="000F5A61" w:rsidRDefault="00A5131D" w:rsidP="005638BC">
            <w:pPr>
              <w:spacing w:after="0" w:line="276" w:lineRule="auto"/>
              <w:jc w:val="center"/>
              <w:rPr>
                <w:rFonts w:ascii="Arial" w:eastAsia="Calibri" w:hAnsi="Arial" w:cs="Arial"/>
                <w:b/>
                <w:iCs/>
                <w:sz w:val="20"/>
                <w:szCs w:val="20"/>
                <w:lang w:val="en-US"/>
              </w:rPr>
            </w:pPr>
            <w:r w:rsidRPr="000F5A61">
              <w:rPr>
                <w:rFonts w:ascii="Arial" w:eastAsia="Calibri" w:hAnsi="Arial" w:cs="Arial"/>
                <w:b/>
                <w:iCs/>
                <w:sz w:val="20"/>
                <w:szCs w:val="20"/>
                <w:lang w:val="en-US"/>
              </w:rPr>
              <w:t>(Functional area)</w:t>
            </w:r>
          </w:p>
        </w:tc>
        <w:tc>
          <w:tcPr>
            <w:tcW w:w="3117" w:type="dxa"/>
            <w:shd w:val="clear" w:color="auto" w:fill="C6D9F1"/>
            <w:vAlign w:val="center"/>
          </w:tcPr>
          <w:p w:rsidR="00A5131D" w:rsidRPr="000F5A61" w:rsidRDefault="00A5131D" w:rsidP="005638BC">
            <w:pPr>
              <w:spacing w:after="0" w:line="276" w:lineRule="auto"/>
              <w:jc w:val="center"/>
              <w:rPr>
                <w:rFonts w:ascii="Arial" w:eastAsia="Calibri" w:hAnsi="Arial" w:cs="Arial"/>
                <w:b/>
                <w:iCs/>
                <w:sz w:val="20"/>
                <w:szCs w:val="20"/>
                <w:lang w:val="en-US"/>
              </w:rPr>
            </w:pPr>
            <w:r w:rsidRPr="000F5A61">
              <w:rPr>
                <w:rFonts w:ascii="Arial" w:eastAsia="Calibri" w:hAnsi="Arial" w:cs="Arial"/>
                <w:b/>
                <w:sz w:val="20"/>
                <w:szCs w:val="20"/>
                <w:lang w:val="en-US"/>
              </w:rPr>
              <w:t>Key Risk</w:t>
            </w:r>
          </w:p>
        </w:tc>
        <w:tc>
          <w:tcPr>
            <w:tcW w:w="2863" w:type="dxa"/>
            <w:shd w:val="clear" w:color="auto" w:fill="C6D9F1"/>
            <w:vAlign w:val="center"/>
          </w:tcPr>
          <w:p w:rsidR="00A5131D" w:rsidRPr="000F5A61" w:rsidRDefault="00A5131D" w:rsidP="005638BC">
            <w:pPr>
              <w:spacing w:after="0" w:line="276" w:lineRule="auto"/>
              <w:jc w:val="center"/>
              <w:rPr>
                <w:rFonts w:ascii="Arial" w:eastAsia="Calibri" w:hAnsi="Arial" w:cs="Arial"/>
                <w:b/>
                <w:sz w:val="20"/>
                <w:szCs w:val="20"/>
                <w:lang w:val="en-US"/>
              </w:rPr>
            </w:pPr>
            <w:r w:rsidRPr="000F5A61">
              <w:rPr>
                <w:rFonts w:ascii="Arial" w:eastAsia="Calibri" w:hAnsi="Arial" w:cs="Arial"/>
                <w:b/>
                <w:sz w:val="20"/>
                <w:szCs w:val="20"/>
                <w:lang w:val="en-US"/>
              </w:rPr>
              <w:t>Mitigating actions</w:t>
            </w:r>
          </w:p>
        </w:tc>
        <w:tc>
          <w:tcPr>
            <w:tcW w:w="1473" w:type="dxa"/>
            <w:shd w:val="clear" w:color="auto" w:fill="C6D9F1"/>
            <w:vAlign w:val="center"/>
          </w:tcPr>
          <w:p w:rsidR="00594899" w:rsidRPr="000F5A61" w:rsidRDefault="00594899" w:rsidP="005638BC">
            <w:pPr>
              <w:spacing w:after="0" w:line="276" w:lineRule="auto"/>
              <w:jc w:val="center"/>
              <w:rPr>
                <w:rFonts w:ascii="Arial" w:eastAsia="Calibri" w:hAnsi="Arial" w:cs="Arial"/>
                <w:b/>
                <w:sz w:val="20"/>
                <w:szCs w:val="20"/>
                <w:lang w:val="en-US"/>
              </w:rPr>
            </w:pPr>
            <w:r w:rsidRPr="000F5A61">
              <w:rPr>
                <w:rFonts w:ascii="Arial" w:eastAsia="Calibri" w:hAnsi="Arial" w:cs="Arial"/>
                <w:b/>
                <w:sz w:val="20"/>
                <w:szCs w:val="20"/>
                <w:lang w:val="en-US"/>
              </w:rPr>
              <w:t>Timeline</w:t>
            </w:r>
          </w:p>
        </w:tc>
      </w:tr>
      <w:tr w:rsidR="00806626" w:rsidRPr="000F5A61" w:rsidTr="00847F4D">
        <w:trPr>
          <w:gridAfter w:val="1"/>
          <w:wAfter w:w="34" w:type="dxa"/>
          <w:trHeight w:val="492"/>
          <w:jc w:val="center"/>
        </w:trPr>
        <w:tc>
          <w:tcPr>
            <w:tcW w:w="1528" w:type="dxa"/>
          </w:tcPr>
          <w:p w:rsidR="00806626" w:rsidRPr="000F5A61" w:rsidRDefault="00806626" w:rsidP="00847F4D">
            <w:pPr>
              <w:spacing w:after="0" w:line="240" w:lineRule="auto"/>
              <w:rPr>
                <w:rFonts w:ascii="Arial" w:eastAsia="Calibri" w:hAnsi="Arial" w:cs="Arial"/>
                <w:iCs/>
                <w:sz w:val="20"/>
                <w:szCs w:val="20"/>
                <w:lang w:val="en-US"/>
              </w:rPr>
            </w:pPr>
            <w:r w:rsidRPr="000F5A61">
              <w:rPr>
                <w:rFonts w:ascii="Arial" w:eastAsia="Times New Roman" w:hAnsi="Arial" w:cs="Arial"/>
                <w:sz w:val="20"/>
                <w:szCs w:val="20"/>
              </w:rPr>
              <w:t>Programme risk</w:t>
            </w:r>
          </w:p>
        </w:tc>
        <w:tc>
          <w:tcPr>
            <w:tcW w:w="3117" w:type="dxa"/>
          </w:tcPr>
          <w:p w:rsidR="00806626" w:rsidRPr="000F5A61" w:rsidRDefault="00806626" w:rsidP="00847F4D">
            <w:pPr>
              <w:spacing w:after="0" w:line="240" w:lineRule="auto"/>
              <w:rPr>
                <w:rFonts w:ascii="Arial" w:eastAsia="Calibri" w:hAnsi="Arial" w:cs="Arial"/>
                <w:iCs/>
                <w:sz w:val="20"/>
                <w:szCs w:val="20"/>
                <w:lang w:val="en-US"/>
              </w:rPr>
            </w:pPr>
            <w:r w:rsidRPr="000F5A61">
              <w:rPr>
                <w:rFonts w:ascii="Arial" w:eastAsia="Times New Roman" w:hAnsi="Arial" w:cs="Arial"/>
                <w:sz w:val="20"/>
                <w:szCs w:val="20"/>
              </w:rPr>
              <w:t>Development and spread of operationally significant pyrethroid resistance in Nepal undermines impact of LLINs and IRS.</w:t>
            </w:r>
          </w:p>
        </w:tc>
        <w:tc>
          <w:tcPr>
            <w:tcW w:w="2863" w:type="dxa"/>
          </w:tcPr>
          <w:p w:rsidR="00806626" w:rsidRPr="000F5A61" w:rsidRDefault="00806626" w:rsidP="00847F4D">
            <w:pPr>
              <w:spacing w:after="0" w:line="240" w:lineRule="auto"/>
              <w:rPr>
                <w:rFonts w:ascii="Arial" w:eastAsia="Calibri" w:hAnsi="Arial" w:cs="Arial"/>
                <w:iCs/>
                <w:sz w:val="20"/>
                <w:szCs w:val="20"/>
                <w:lang w:val="en-US"/>
              </w:rPr>
            </w:pPr>
            <w:r w:rsidRPr="000F5A61">
              <w:rPr>
                <w:rFonts w:ascii="Arial" w:eastAsia="Times New Roman" w:hAnsi="Arial" w:cs="Arial"/>
                <w:sz w:val="20"/>
                <w:szCs w:val="20"/>
              </w:rPr>
              <w:t>Close monitoring of insecticide resistance will be carried out at sentinel sites. If insecticide resistance is found, its operational significance will be assessed and a suitable response will be developed in consultation with WHO.</w:t>
            </w:r>
          </w:p>
        </w:tc>
        <w:tc>
          <w:tcPr>
            <w:tcW w:w="1473" w:type="dxa"/>
          </w:tcPr>
          <w:p w:rsidR="00806626" w:rsidRPr="000F5A61" w:rsidRDefault="00806626" w:rsidP="00847F4D">
            <w:pPr>
              <w:spacing w:after="0" w:line="240" w:lineRule="auto"/>
              <w:rPr>
                <w:rFonts w:ascii="Arial" w:eastAsia="Calibri" w:hAnsi="Arial" w:cs="Arial"/>
                <w:iCs/>
                <w:sz w:val="20"/>
                <w:szCs w:val="20"/>
                <w:lang w:val="en-US"/>
              </w:rPr>
            </w:pPr>
            <w:r w:rsidRPr="000F5A61">
              <w:rPr>
                <w:rFonts w:ascii="Arial" w:eastAsia="Times New Roman" w:hAnsi="Arial" w:cs="Arial"/>
                <w:sz w:val="20"/>
                <w:szCs w:val="20"/>
              </w:rPr>
              <w:t>On-going</w:t>
            </w:r>
          </w:p>
        </w:tc>
      </w:tr>
      <w:tr w:rsidR="00806626" w:rsidRPr="000F5A61" w:rsidTr="00847F4D">
        <w:trPr>
          <w:gridAfter w:val="1"/>
          <w:wAfter w:w="34" w:type="dxa"/>
          <w:trHeight w:val="492"/>
          <w:jc w:val="center"/>
        </w:trPr>
        <w:tc>
          <w:tcPr>
            <w:tcW w:w="1528" w:type="dxa"/>
          </w:tcPr>
          <w:p w:rsidR="00806626" w:rsidRPr="000F5A61" w:rsidRDefault="00806626" w:rsidP="00847F4D">
            <w:pPr>
              <w:spacing w:after="0" w:line="240" w:lineRule="auto"/>
              <w:rPr>
                <w:rFonts w:ascii="Arial" w:eastAsia="Calibri" w:hAnsi="Arial" w:cs="Arial"/>
                <w:iCs/>
                <w:sz w:val="20"/>
                <w:szCs w:val="20"/>
                <w:lang w:val="en-US"/>
              </w:rPr>
            </w:pPr>
            <w:r w:rsidRPr="000F5A61">
              <w:rPr>
                <w:rFonts w:ascii="Arial" w:eastAsia="Times New Roman" w:hAnsi="Arial" w:cs="Arial"/>
                <w:sz w:val="20"/>
                <w:szCs w:val="20"/>
              </w:rPr>
              <w:t>Programme risk</w:t>
            </w:r>
          </w:p>
        </w:tc>
        <w:tc>
          <w:tcPr>
            <w:tcW w:w="3117" w:type="dxa"/>
          </w:tcPr>
          <w:p w:rsidR="00806626" w:rsidRPr="000F5A61" w:rsidRDefault="00806626" w:rsidP="00847F4D">
            <w:pPr>
              <w:spacing w:after="0" w:line="240" w:lineRule="auto"/>
              <w:rPr>
                <w:rFonts w:ascii="Arial" w:eastAsia="Calibri" w:hAnsi="Arial" w:cs="Arial"/>
                <w:iCs/>
                <w:sz w:val="20"/>
                <w:szCs w:val="20"/>
                <w:lang w:val="en-US"/>
              </w:rPr>
            </w:pPr>
            <w:r w:rsidRPr="000F5A61">
              <w:rPr>
                <w:rFonts w:ascii="Arial" w:eastAsia="Times New Roman" w:hAnsi="Arial" w:cs="Arial"/>
                <w:sz w:val="20"/>
                <w:szCs w:val="20"/>
              </w:rPr>
              <w:t>The new more stringent stratification used for targeting LLIN delivery, results in sub-optimal coverage with LLINs in receptive areas and focal resurgences of malaria transmission.</w:t>
            </w:r>
          </w:p>
        </w:tc>
        <w:tc>
          <w:tcPr>
            <w:tcW w:w="2863" w:type="dxa"/>
          </w:tcPr>
          <w:p w:rsidR="00806626" w:rsidRPr="000F5A61" w:rsidRDefault="00806626" w:rsidP="00847F4D">
            <w:pPr>
              <w:spacing w:after="0" w:line="240" w:lineRule="auto"/>
              <w:rPr>
                <w:rFonts w:ascii="Arial" w:eastAsia="Calibri" w:hAnsi="Arial" w:cs="Arial"/>
                <w:iCs/>
                <w:sz w:val="20"/>
                <w:szCs w:val="20"/>
                <w:lang w:val="en-US"/>
              </w:rPr>
            </w:pPr>
            <w:r w:rsidRPr="000F5A61">
              <w:rPr>
                <w:rFonts w:ascii="Arial" w:eastAsia="Times New Roman" w:hAnsi="Arial" w:cs="Arial"/>
                <w:sz w:val="20"/>
                <w:szCs w:val="20"/>
              </w:rPr>
              <w:t>The elimination-based surveillance system will result in a rapid response to any new transmission foci with LLIN delivery as required.</w:t>
            </w:r>
          </w:p>
        </w:tc>
        <w:tc>
          <w:tcPr>
            <w:tcW w:w="1473" w:type="dxa"/>
          </w:tcPr>
          <w:p w:rsidR="00806626" w:rsidRPr="000F5A61" w:rsidRDefault="00806626" w:rsidP="00847F4D">
            <w:pPr>
              <w:spacing w:after="0" w:line="240" w:lineRule="auto"/>
              <w:rPr>
                <w:rFonts w:ascii="Arial" w:eastAsia="Calibri" w:hAnsi="Arial" w:cs="Arial"/>
                <w:iCs/>
                <w:sz w:val="20"/>
                <w:szCs w:val="20"/>
                <w:lang w:val="en-US"/>
              </w:rPr>
            </w:pPr>
            <w:r w:rsidRPr="000F5A61">
              <w:rPr>
                <w:rFonts w:ascii="Arial" w:eastAsia="Times New Roman" w:hAnsi="Arial" w:cs="Arial"/>
                <w:sz w:val="20"/>
                <w:szCs w:val="20"/>
              </w:rPr>
              <w:t>From 2018.</w:t>
            </w:r>
          </w:p>
        </w:tc>
      </w:tr>
      <w:tr w:rsidR="00806626" w:rsidRPr="000F5A61" w:rsidTr="00847F4D">
        <w:trPr>
          <w:gridAfter w:val="1"/>
          <w:wAfter w:w="34" w:type="dxa"/>
          <w:trHeight w:val="564"/>
          <w:jc w:val="center"/>
        </w:trPr>
        <w:tc>
          <w:tcPr>
            <w:tcW w:w="1528" w:type="dxa"/>
          </w:tcPr>
          <w:p w:rsidR="00806626" w:rsidRPr="000F5A61" w:rsidRDefault="00806626" w:rsidP="00847F4D">
            <w:pPr>
              <w:spacing w:after="0" w:line="240" w:lineRule="auto"/>
              <w:rPr>
                <w:rFonts w:ascii="Arial" w:eastAsia="Times New Roman" w:hAnsi="Arial" w:cs="Arial"/>
                <w:sz w:val="20"/>
                <w:szCs w:val="20"/>
              </w:rPr>
            </w:pPr>
            <w:r w:rsidRPr="000F5A61">
              <w:rPr>
                <w:rFonts w:ascii="Arial" w:eastAsia="Times New Roman" w:hAnsi="Arial" w:cs="Arial"/>
                <w:sz w:val="20"/>
                <w:szCs w:val="20"/>
              </w:rPr>
              <w:t>Programme risk</w:t>
            </w:r>
          </w:p>
        </w:tc>
        <w:tc>
          <w:tcPr>
            <w:tcW w:w="3117" w:type="dxa"/>
          </w:tcPr>
          <w:p w:rsidR="00806626" w:rsidRPr="000F5A61" w:rsidRDefault="00806626" w:rsidP="00847F4D">
            <w:pPr>
              <w:spacing w:after="0" w:line="240" w:lineRule="auto"/>
              <w:rPr>
                <w:rFonts w:ascii="Arial" w:eastAsia="Times New Roman" w:hAnsi="Arial" w:cs="Arial"/>
                <w:sz w:val="20"/>
                <w:szCs w:val="20"/>
              </w:rPr>
            </w:pPr>
            <w:r w:rsidRPr="000F5A61">
              <w:rPr>
                <w:rFonts w:ascii="Arial" w:eastAsia="SimSun" w:hAnsi="Arial" w:cs="Arial"/>
                <w:sz w:val="20"/>
                <w:szCs w:val="20"/>
                <w:lang w:val="en-US" w:eastAsia="zh-CN"/>
              </w:rPr>
              <w:t>Poor inventory management by PS healthcare providers undermines supply.</w:t>
            </w:r>
          </w:p>
        </w:tc>
        <w:tc>
          <w:tcPr>
            <w:tcW w:w="2863" w:type="dxa"/>
          </w:tcPr>
          <w:p w:rsidR="00806626" w:rsidRPr="000F5A61" w:rsidRDefault="00806626" w:rsidP="00847F4D">
            <w:pPr>
              <w:spacing w:after="0" w:line="240" w:lineRule="auto"/>
              <w:rPr>
                <w:rFonts w:ascii="Arial" w:eastAsia="Times New Roman" w:hAnsi="Arial" w:cs="Arial"/>
                <w:sz w:val="20"/>
                <w:szCs w:val="20"/>
              </w:rPr>
            </w:pPr>
            <w:r w:rsidRPr="000F5A61">
              <w:rPr>
                <w:rFonts w:ascii="Arial" w:eastAsia="SimSun" w:hAnsi="Arial" w:cs="Arial"/>
                <w:sz w:val="20"/>
                <w:szCs w:val="20"/>
                <w:lang w:val="en-US" w:eastAsia="zh-CN"/>
              </w:rPr>
              <w:t>DPHO focal points will support the implementation of the PS engagement strategy. Special emphasis will be placed on inventory management where weaknesses are identified.</w:t>
            </w:r>
          </w:p>
        </w:tc>
        <w:tc>
          <w:tcPr>
            <w:tcW w:w="1473" w:type="dxa"/>
          </w:tcPr>
          <w:p w:rsidR="00806626" w:rsidRPr="000F5A61" w:rsidRDefault="00806626" w:rsidP="00847F4D">
            <w:pPr>
              <w:spacing w:after="0" w:line="240" w:lineRule="auto"/>
              <w:rPr>
                <w:rFonts w:ascii="Arial" w:eastAsia="Times New Roman" w:hAnsi="Arial" w:cs="Arial"/>
                <w:sz w:val="20"/>
                <w:szCs w:val="20"/>
              </w:rPr>
            </w:pPr>
            <w:r w:rsidRPr="000F5A61">
              <w:rPr>
                <w:rFonts w:ascii="Arial" w:eastAsia="SimSun" w:hAnsi="Arial" w:cs="Arial"/>
                <w:sz w:val="20"/>
                <w:szCs w:val="20"/>
                <w:lang w:val="en-US" w:eastAsia="zh-CN"/>
              </w:rPr>
              <w:t>May 2018</w:t>
            </w:r>
          </w:p>
        </w:tc>
      </w:tr>
      <w:tr w:rsidR="00806626" w:rsidRPr="000F5A61" w:rsidTr="00847F4D">
        <w:trPr>
          <w:gridAfter w:val="1"/>
          <w:wAfter w:w="34" w:type="dxa"/>
          <w:trHeight w:val="564"/>
          <w:jc w:val="center"/>
        </w:trPr>
        <w:tc>
          <w:tcPr>
            <w:tcW w:w="1528" w:type="dxa"/>
          </w:tcPr>
          <w:p w:rsidR="00806626" w:rsidRPr="000F5A61" w:rsidRDefault="00806626" w:rsidP="00847F4D">
            <w:pPr>
              <w:spacing w:after="0" w:line="240" w:lineRule="auto"/>
              <w:rPr>
                <w:rFonts w:ascii="Arial" w:eastAsia="SimSun" w:hAnsi="Arial" w:cs="Arial"/>
                <w:sz w:val="20"/>
                <w:szCs w:val="20"/>
                <w:lang w:val="en-US" w:eastAsia="zh-CN"/>
              </w:rPr>
            </w:pPr>
            <w:r w:rsidRPr="000F5A61">
              <w:rPr>
                <w:rFonts w:ascii="Arial" w:eastAsia="Times New Roman" w:hAnsi="Arial" w:cs="Arial"/>
                <w:sz w:val="20"/>
                <w:szCs w:val="20"/>
              </w:rPr>
              <w:t>Data Quality</w:t>
            </w:r>
          </w:p>
        </w:tc>
        <w:tc>
          <w:tcPr>
            <w:tcW w:w="3117" w:type="dxa"/>
          </w:tcPr>
          <w:p w:rsidR="00806626" w:rsidRPr="000F5A61" w:rsidRDefault="00806626" w:rsidP="00847F4D">
            <w:pPr>
              <w:spacing w:after="0" w:line="240" w:lineRule="auto"/>
              <w:rPr>
                <w:rFonts w:ascii="Arial" w:eastAsia="SimSun" w:hAnsi="Arial" w:cs="Arial"/>
                <w:sz w:val="20"/>
                <w:szCs w:val="20"/>
                <w:lang w:val="en-US" w:eastAsia="zh-CN"/>
              </w:rPr>
            </w:pPr>
            <w:r w:rsidRPr="000F5A61">
              <w:rPr>
                <w:rFonts w:ascii="Arial" w:eastAsia="Times New Roman" w:hAnsi="Arial" w:cs="Arial"/>
                <w:sz w:val="20"/>
                <w:szCs w:val="20"/>
              </w:rPr>
              <w:t>Poor data quality continues to undermine the technical management of the Programme.</w:t>
            </w:r>
          </w:p>
        </w:tc>
        <w:tc>
          <w:tcPr>
            <w:tcW w:w="2863" w:type="dxa"/>
          </w:tcPr>
          <w:p w:rsidR="00806626" w:rsidRPr="000F5A61" w:rsidRDefault="00806626" w:rsidP="00847F4D">
            <w:pPr>
              <w:spacing w:after="0" w:line="240" w:lineRule="auto"/>
              <w:rPr>
                <w:rFonts w:ascii="Arial" w:eastAsia="SimSun" w:hAnsi="Arial" w:cs="Arial"/>
                <w:sz w:val="20"/>
                <w:szCs w:val="20"/>
                <w:lang w:val="en-US" w:eastAsia="zh-CN"/>
              </w:rPr>
            </w:pPr>
            <w:r w:rsidRPr="000F5A61">
              <w:rPr>
                <w:rFonts w:ascii="Arial" w:eastAsia="Times New Roman" w:hAnsi="Arial" w:cs="Arial"/>
                <w:sz w:val="20"/>
                <w:szCs w:val="20"/>
              </w:rPr>
              <w:t>Data collection will be streamlined (DHIS-2, MDIS, EWARS) and the MDIS significantly strengthened. District malaria focal persons will conduct quarterly data verification at all health facilities. METF will verify data (aligning it with MDIS) on a monthly basis and send prompt feedback to the DPHO.</w:t>
            </w:r>
          </w:p>
        </w:tc>
        <w:tc>
          <w:tcPr>
            <w:tcW w:w="1473" w:type="dxa"/>
          </w:tcPr>
          <w:p w:rsidR="00806626" w:rsidRPr="000F5A61" w:rsidRDefault="00806626" w:rsidP="00847F4D">
            <w:pPr>
              <w:spacing w:after="0" w:line="240" w:lineRule="auto"/>
              <w:rPr>
                <w:rFonts w:ascii="Arial" w:eastAsia="SimSun" w:hAnsi="Arial" w:cs="Arial"/>
                <w:sz w:val="20"/>
                <w:szCs w:val="20"/>
                <w:lang w:val="en-US" w:eastAsia="zh-CN"/>
              </w:rPr>
            </w:pPr>
            <w:r w:rsidRPr="000F5A61">
              <w:rPr>
                <w:rFonts w:ascii="Arial" w:eastAsia="Times New Roman" w:hAnsi="Arial" w:cs="Arial"/>
                <w:sz w:val="20"/>
                <w:szCs w:val="20"/>
              </w:rPr>
              <w:t>By 2018.</w:t>
            </w:r>
          </w:p>
        </w:tc>
      </w:tr>
      <w:tr w:rsidR="003C1E4A" w:rsidRPr="000F5A61" w:rsidTr="0028093B">
        <w:trPr>
          <w:gridAfter w:val="1"/>
          <w:wAfter w:w="34" w:type="dxa"/>
          <w:trHeight w:val="492"/>
          <w:jc w:val="center"/>
        </w:trPr>
        <w:tc>
          <w:tcPr>
            <w:tcW w:w="1528" w:type="dxa"/>
          </w:tcPr>
          <w:p w:rsidR="003C1E4A" w:rsidRPr="000F5A61" w:rsidRDefault="003C1E4A" w:rsidP="003C1E4A">
            <w:pPr>
              <w:spacing w:after="0" w:line="240" w:lineRule="auto"/>
              <w:rPr>
                <w:rFonts w:ascii="Arial" w:eastAsia="Calibri" w:hAnsi="Arial" w:cs="Arial"/>
                <w:iCs/>
                <w:sz w:val="20"/>
                <w:szCs w:val="20"/>
                <w:lang w:val="en-US"/>
              </w:rPr>
            </w:pPr>
            <w:r w:rsidRPr="000F5A61">
              <w:rPr>
                <w:rFonts w:ascii="Arial" w:eastAsia="Times New Roman" w:hAnsi="Arial" w:cs="Arial"/>
                <w:sz w:val="20"/>
                <w:szCs w:val="20"/>
              </w:rPr>
              <w:t>Financial risk</w:t>
            </w:r>
          </w:p>
        </w:tc>
        <w:tc>
          <w:tcPr>
            <w:tcW w:w="3117" w:type="dxa"/>
          </w:tcPr>
          <w:p w:rsidR="003C1E4A" w:rsidRPr="000F5A61" w:rsidRDefault="003C1E4A" w:rsidP="0057506C">
            <w:pPr>
              <w:spacing w:after="0" w:line="240" w:lineRule="auto"/>
              <w:rPr>
                <w:rFonts w:ascii="Arial" w:eastAsia="Calibri" w:hAnsi="Arial" w:cs="Arial"/>
                <w:iCs/>
                <w:sz w:val="20"/>
                <w:szCs w:val="20"/>
                <w:lang w:val="en-US"/>
              </w:rPr>
            </w:pPr>
            <w:r w:rsidRPr="000F5A61">
              <w:rPr>
                <w:rFonts w:ascii="Arial" w:eastAsia="Times New Roman" w:hAnsi="Arial" w:cs="Arial"/>
                <w:sz w:val="20"/>
                <w:szCs w:val="20"/>
              </w:rPr>
              <w:t xml:space="preserve">Lack of sustained political commitment for malaria elimination </w:t>
            </w:r>
            <w:r w:rsidR="0057506C" w:rsidRPr="000F5A61">
              <w:rPr>
                <w:rFonts w:ascii="Arial" w:eastAsia="Times New Roman" w:hAnsi="Arial" w:cs="Arial"/>
                <w:sz w:val="20"/>
                <w:szCs w:val="20"/>
              </w:rPr>
              <w:t>as the disease burden falls</w:t>
            </w:r>
            <w:r w:rsidRPr="000F5A61">
              <w:rPr>
                <w:rFonts w:ascii="Arial" w:eastAsia="Times New Roman" w:hAnsi="Arial" w:cs="Arial"/>
                <w:sz w:val="20"/>
                <w:szCs w:val="20"/>
              </w:rPr>
              <w:t xml:space="preserve">. </w:t>
            </w:r>
          </w:p>
        </w:tc>
        <w:tc>
          <w:tcPr>
            <w:tcW w:w="2863" w:type="dxa"/>
          </w:tcPr>
          <w:p w:rsidR="003C1E4A" w:rsidRPr="000F5A61" w:rsidRDefault="0057506C" w:rsidP="0057506C">
            <w:pPr>
              <w:spacing w:after="0" w:line="240" w:lineRule="auto"/>
              <w:rPr>
                <w:rFonts w:ascii="Arial" w:eastAsia="Calibri" w:hAnsi="Arial" w:cs="Arial"/>
                <w:iCs/>
                <w:sz w:val="20"/>
                <w:szCs w:val="20"/>
                <w:lang w:val="en-US"/>
              </w:rPr>
            </w:pPr>
            <w:r w:rsidRPr="000F5A61">
              <w:rPr>
                <w:rFonts w:ascii="Arial" w:eastAsia="Times New Roman" w:hAnsi="Arial" w:cs="Arial"/>
                <w:sz w:val="20"/>
                <w:szCs w:val="20"/>
              </w:rPr>
              <w:t>NMESC will ensure that a</w:t>
            </w:r>
            <w:r w:rsidR="003C1E4A" w:rsidRPr="000F5A61">
              <w:rPr>
                <w:rFonts w:ascii="Arial" w:eastAsia="Times New Roman" w:hAnsi="Arial" w:cs="Arial"/>
                <w:sz w:val="20"/>
                <w:szCs w:val="20"/>
              </w:rPr>
              <w:t xml:space="preserve"> strong advocacy strategy </w:t>
            </w:r>
            <w:r w:rsidRPr="000F5A61">
              <w:rPr>
                <w:rFonts w:ascii="Arial" w:eastAsia="Times New Roman" w:hAnsi="Arial" w:cs="Arial"/>
                <w:sz w:val="20"/>
                <w:szCs w:val="20"/>
              </w:rPr>
              <w:t>is</w:t>
            </w:r>
            <w:r w:rsidR="003C1E4A" w:rsidRPr="000F5A61">
              <w:rPr>
                <w:rFonts w:ascii="Arial" w:eastAsia="Times New Roman" w:hAnsi="Arial" w:cs="Arial"/>
                <w:sz w:val="20"/>
                <w:szCs w:val="20"/>
              </w:rPr>
              <w:t xml:space="preserve"> put in place to </w:t>
            </w:r>
            <w:r w:rsidRPr="000F5A61">
              <w:rPr>
                <w:rFonts w:ascii="Arial" w:eastAsia="Times New Roman" w:hAnsi="Arial" w:cs="Arial"/>
                <w:sz w:val="20"/>
                <w:szCs w:val="20"/>
              </w:rPr>
              <w:t xml:space="preserve">maintain </w:t>
            </w:r>
            <w:r w:rsidR="003C1E4A" w:rsidRPr="000F5A61">
              <w:rPr>
                <w:rFonts w:ascii="Arial" w:eastAsia="Times New Roman" w:hAnsi="Arial" w:cs="Arial"/>
                <w:sz w:val="20"/>
                <w:szCs w:val="20"/>
              </w:rPr>
              <w:t>political commitment at all levels.</w:t>
            </w:r>
          </w:p>
        </w:tc>
        <w:tc>
          <w:tcPr>
            <w:tcW w:w="1473" w:type="dxa"/>
          </w:tcPr>
          <w:p w:rsidR="003C1E4A" w:rsidRPr="000F5A61" w:rsidRDefault="003C1E4A" w:rsidP="003C1E4A">
            <w:pPr>
              <w:spacing w:after="0" w:line="240" w:lineRule="auto"/>
              <w:rPr>
                <w:rFonts w:ascii="Arial" w:eastAsia="Calibri" w:hAnsi="Arial" w:cs="Arial"/>
                <w:iCs/>
                <w:sz w:val="20"/>
                <w:szCs w:val="20"/>
                <w:lang w:val="en-US"/>
              </w:rPr>
            </w:pPr>
            <w:r w:rsidRPr="000F5A61">
              <w:rPr>
                <w:rFonts w:ascii="Arial" w:eastAsia="Times New Roman" w:hAnsi="Arial" w:cs="Arial"/>
                <w:sz w:val="20"/>
                <w:szCs w:val="20"/>
              </w:rPr>
              <w:t>On-going</w:t>
            </w:r>
          </w:p>
        </w:tc>
      </w:tr>
      <w:tr w:rsidR="003C1E4A" w:rsidRPr="000F5A61" w:rsidTr="0028093B">
        <w:trPr>
          <w:gridAfter w:val="1"/>
          <w:wAfter w:w="34" w:type="dxa"/>
          <w:trHeight w:val="492"/>
          <w:jc w:val="center"/>
        </w:trPr>
        <w:tc>
          <w:tcPr>
            <w:tcW w:w="1528" w:type="dxa"/>
          </w:tcPr>
          <w:p w:rsidR="003C1E4A" w:rsidRPr="000F5A61" w:rsidRDefault="003C1E4A" w:rsidP="003C1E4A">
            <w:pPr>
              <w:spacing w:after="0" w:line="240" w:lineRule="auto"/>
              <w:rPr>
                <w:rFonts w:ascii="Arial" w:eastAsia="Calibri" w:hAnsi="Arial" w:cs="Arial"/>
                <w:iCs/>
                <w:sz w:val="20"/>
                <w:szCs w:val="20"/>
                <w:lang w:val="en-US"/>
              </w:rPr>
            </w:pPr>
            <w:r w:rsidRPr="000F5A61">
              <w:rPr>
                <w:rFonts w:ascii="Arial" w:eastAsia="Times New Roman" w:hAnsi="Arial" w:cs="Arial"/>
                <w:sz w:val="20"/>
                <w:szCs w:val="20"/>
              </w:rPr>
              <w:t>Financial risk</w:t>
            </w:r>
          </w:p>
        </w:tc>
        <w:tc>
          <w:tcPr>
            <w:tcW w:w="3117" w:type="dxa"/>
          </w:tcPr>
          <w:p w:rsidR="003C1E4A" w:rsidRPr="000F5A61" w:rsidRDefault="009251EC" w:rsidP="00B91642">
            <w:pPr>
              <w:spacing w:after="0" w:line="240" w:lineRule="auto"/>
              <w:rPr>
                <w:rFonts w:ascii="Arial" w:eastAsia="Calibri" w:hAnsi="Arial" w:cs="Arial"/>
                <w:iCs/>
                <w:sz w:val="20"/>
                <w:szCs w:val="20"/>
                <w:lang w:val="en-US"/>
              </w:rPr>
            </w:pPr>
            <w:r w:rsidRPr="000F5A61">
              <w:rPr>
                <w:rFonts w:ascii="Arial" w:eastAsia="Times New Roman" w:hAnsi="Arial" w:cs="Arial"/>
                <w:sz w:val="20"/>
                <w:szCs w:val="20"/>
              </w:rPr>
              <w:t>GFATM</w:t>
            </w:r>
            <w:r w:rsidR="003C1E4A" w:rsidRPr="000F5A61">
              <w:rPr>
                <w:rFonts w:ascii="Arial" w:eastAsia="Times New Roman" w:hAnsi="Arial" w:cs="Arial"/>
                <w:sz w:val="20"/>
                <w:szCs w:val="20"/>
              </w:rPr>
              <w:t xml:space="preserve"> support fails to continue at existing levels</w:t>
            </w:r>
            <w:r w:rsidR="00B91642" w:rsidRPr="000F5A61">
              <w:rPr>
                <w:rFonts w:ascii="Arial" w:eastAsia="Times New Roman" w:hAnsi="Arial" w:cs="Arial"/>
                <w:sz w:val="20"/>
                <w:szCs w:val="20"/>
              </w:rPr>
              <w:t xml:space="preserve"> resulting in a large-scale resurgence of malaria</w:t>
            </w:r>
            <w:r w:rsidR="003C1E4A" w:rsidRPr="000F5A61">
              <w:rPr>
                <w:rFonts w:ascii="Arial" w:eastAsia="Times New Roman" w:hAnsi="Arial" w:cs="Arial"/>
                <w:sz w:val="20"/>
                <w:szCs w:val="20"/>
              </w:rPr>
              <w:t>.</w:t>
            </w:r>
          </w:p>
        </w:tc>
        <w:tc>
          <w:tcPr>
            <w:tcW w:w="2863" w:type="dxa"/>
          </w:tcPr>
          <w:p w:rsidR="003C1E4A" w:rsidRPr="000F5A61" w:rsidRDefault="003C1E4A">
            <w:pPr>
              <w:spacing w:after="0" w:line="240" w:lineRule="auto"/>
              <w:rPr>
                <w:rFonts w:ascii="Arial" w:eastAsia="Calibri" w:hAnsi="Arial" w:cs="Arial"/>
                <w:iCs/>
                <w:sz w:val="20"/>
                <w:szCs w:val="20"/>
                <w:lang w:val="en-US"/>
              </w:rPr>
            </w:pPr>
            <w:r w:rsidRPr="000F5A61">
              <w:rPr>
                <w:rFonts w:ascii="Arial" w:eastAsia="Times New Roman" w:hAnsi="Arial" w:cs="Arial"/>
                <w:sz w:val="20"/>
                <w:szCs w:val="20"/>
              </w:rPr>
              <w:t xml:space="preserve">Strong justification for the continuation of </w:t>
            </w:r>
            <w:r w:rsidR="009251EC" w:rsidRPr="000F5A61">
              <w:rPr>
                <w:rFonts w:ascii="Arial" w:eastAsia="Times New Roman" w:hAnsi="Arial" w:cs="Arial"/>
                <w:sz w:val="20"/>
                <w:szCs w:val="20"/>
              </w:rPr>
              <w:t>GFATM</w:t>
            </w:r>
            <w:r w:rsidRPr="000F5A61">
              <w:rPr>
                <w:rFonts w:ascii="Arial" w:eastAsia="Times New Roman" w:hAnsi="Arial" w:cs="Arial"/>
                <w:sz w:val="20"/>
                <w:szCs w:val="20"/>
              </w:rPr>
              <w:t xml:space="preserve"> support beyond 2020 will be developed in collaboration with WHO and other </w:t>
            </w:r>
            <w:r w:rsidR="00066729" w:rsidRPr="000F5A61">
              <w:rPr>
                <w:rFonts w:ascii="Arial" w:eastAsia="Times New Roman" w:hAnsi="Arial" w:cs="Arial"/>
                <w:sz w:val="20"/>
                <w:szCs w:val="20"/>
              </w:rPr>
              <w:lastRenderedPageBreak/>
              <w:t>Regional</w:t>
            </w:r>
            <w:r w:rsidRPr="000F5A61">
              <w:rPr>
                <w:rFonts w:ascii="Arial" w:eastAsia="Times New Roman" w:hAnsi="Arial" w:cs="Arial"/>
                <w:sz w:val="20"/>
                <w:szCs w:val="20"/>
              </w:rPr>
              <w:t>stakeholders.</w:t>
            </w:r>
          </w:p>
        </w:tc>
        <w:tc>
          <w:tcPr>
            <w:tcW w:w="1473" w:type="dxa"/>
          </w:tcPr>
          <w:p w:rsidR="003C1E4A" w:rsidRPr="000F5A61" w:rsidRDefault="003C1E4A" w:rsidP="003C1E4A">
            <w:pPr>
              <w:spacing w:after="0" w:line="240" w:lineRule="auto"/>
              <w:rPr>
                <w:rFonts w:ascii="Arial" w:eastAsia="Calibri" w:hAnsi="Arial" w:cs="Arial"/>
                <w:iCs/>
                <w:sz w:val="20"/>
                <w:szCs w:val="20"/>
                <w:lang w:val="en-US"/>
              </w:rPr>
            </w:pPr>
            <w:r w:rsidRPr="000F5A61">
              <w:rPr>
                <w:rFonts w:ascii="Arial" w:eastAsia="Times New Roman" w:hAnsi="Arial" w:cs="Arial"/>
                <w:sz w:val="20"/>
                <w:szCs w:val="20"/>
              </w:rPr>
              <w:lastRenderedPageBreak/>
              <w:t>Prior to the next call for proposals.</w:t>
            </w:r>
          </w:p>
        </w:tc>
      </w:tr>
      <w:tr w:rsidR="003C1E4A" w:rsidRPr="000F5A61" w:rsidTr="0028093B">
        <w:trPr>
          <w:gridAfter w:val="1"/>
          <w:wAfter w:w="34" w:type="dxa"/>
          <w:trHeight w:val="564"/>
          <w:jc w:val="center"/>
        </w:trPr>
        <w:tc>
          <w:tcPr>
            <w:tcW w:w="1528" w:type="dxa"/>
          </w:tcPr>
          <w:p w:rsidR="003C1E4A" w:rsidRPr="000F5A61" w:rsidRDefault="00945E18" w:rsidP="003C1E4A">
            <w:pPr>
              <w:spacing w:after="0" w:line="240" w:lineRule="auto"/>
              <w:rPr>
                <w:rFonts w:ascii="Arial" w:eastAsia="SimSun" w:hAnsi="Arial" w:cs="Arial"/>
                <w:sz w:val="20"/>
                <w:szCs w:val="20"/>
                <w:lang w:val="en-US" w:eastAsia="zh-CN"/>
              </w:rPr>
            </w:pPr>
            <w:r w:rsidRPr="000F5A61">
              <w:rPr>
                <w:rFonts w:ascii="Arial" w:eastAsia="Times New Roman" w:hAnsi="Arial" w:cs="Arial"/>
                <w:sz w:val="20"/>
                <w:szCs w:val="20"/>
              </w:rPr>
              <w:lastRenderedPageBreak/>
              <w:t>Financial risk</w:t>
            </w:r>
          </w:p>
        </w:tc>
        <w:tc>
          <w:tcPr>
            <w:tcW w:w="3117" w:type="dxa"/>
          </w:tcPr>
          <w:p w:rsidR="003C1E4A" w:rsidRPr="000F5A61" w:rsidRDefault="003C1E4A" w:rsidP="00945E18">
            <w:pPr>
              <w:spacing w:after="0" w:line="240" w:lineRule="auto"/>
              <w:rPr>
                <w:rFonts w:ascii="Arial" w:eastAsia="SimSun" w:hAnsi="Arial" w:cs="Arial"/>
                <w:sz w:val="20"/>
                <w:szCs w:val="20"/>
                <w:lang w:val="en-US" w:eastAsia="zh-CN"/>
              </w:rPr>
            </w:pPr>
            <w:r w:rsidRPr="000F5A61">
              <w:rPr>
                <w:rFonts w:ascii="Arial" w:eastAsia="Times New Roman" w:hAnsi="Arial" w:cs="Arial"/>
                <w:sz w:val="20"/>
                <w:szCs w:val="20"/>
              </w:rPr>
              <w:t xml:space="preserve">From 2019, </w:t>
            </w:r>
            <w:r w:rsidR="00945E18" w:rsidRPr="000F5A61">
              <w:rPr>
                <w:rFonts w:ascii="Arial" w:eastAsia="Times New Roman" w:hAnsi="Arial" w:cs="Arial"/>
                <w:sz w:val="20"/>
                <w:szCs w:val="20"/>
              </w:rPr>
              <w:t xml:space="preserve">funding </w:t>
            </w:r>
            <w:r w:rsidRPr="000F5A61">
              <w:rPr>
                <w:rFonts w:ascii="Arial" w:eastAsia="Times New Roman" w:hAnsi="Arial" w:cs="Arial"/>
                <w:sz w:val="20"/>
                <w:szCs w:val="20"/>
              </w:rPr>
              <w:t xml:space="preserve">constraints prevent implementation of MMCs, adversely affecting access to diagnosis and treatment by target populations in the four high burden areas where MMCs operate. </w:t>
            </w:r>
          </w:p>
        </w:tc>
        <w:tc>
          <w:tcPr>
            <w:tcW w:w="2863" w:type="dxa"/>
          </w:tcPr>
          <w:p w:rsidR="003C1E4A" w:rsidRPr="000F5A61" w:rsidRDefault="003C1E4A">
            <w:pPr>
              <w:spacing w:after="0" w:line="240" w:lineRule="auto"/>
              <w:ind w:left="-108"/>
              <w:rPr>
                <w:rFonts w:ascii="Arial" w:eastAsia="SimSun" w:hAnsi="Arial" w:cs="Arial"/>
                <w:sz w:val="20"/>
                <w:szCs w:val="20"/>
                <w:lang w:val="en-US" w:eastAsia="zh-CN"/>
              </w:rPr>
            </w:pPr>
            <w:r w:rsidRPr="000F5A61">
              <w:rPr>
                <w:rFonts w:ascii="Arial" w:eastAsia="Times New Roman" w:hAnsi="Arial" w:cs="Arial"/>
                <w:sz w:val="20"/>
                <w:szCs w:val="20"/>
              </w:rPr>
              <w:t xml:space="preserve">Community based testing and treatment by </w:t>
            </w:r>
            <w:r w:rsidR="00452E8E" w:rsidRPr="000F5A61">
              <w:rPr>
                <w:rFonts w:ascii="Arial" w:eastAsia="Times New Roman" w:hAnsi="Arial" w:cs="Arial"/>
                <w:sz w:val="20"/>
                <w:szCs w:val="20"/>
              </w:rPr>
              <w:t>FCHVs/</w:t>
            </w:r>
            <w:r w:rsidRPr="000F5A61">
              <w:rPr>
                <w:rFonts w:ascii="Arial" w:eastAsia="Times New Roman" w:hAnsi="Arial" w:cs="Arial"/>
                <w:sz w:val="20"/>
                <w:szCs w:val="20"/>
              </w:rPr>
              <w:t>AHWs/ANMs will be rolled-out in 2018, plugging gap</w:t>
            </w:r>
            <w:r w:rsidR="0028093B" w:rsidRPr="000F5A61">
              <w:rPr>
                <w:rFonts w:ascii="Arial" w:eastAsia="Times New Roman" w:hAnsi="Arial" w:cs="Arial"/>
                <w:sz w:val="20"/>
                <w:szCs w:val="20"/>
              </w:rPr>
              <w:t>s</w:t>
            </w:r>
            <w:r w:rsidRPr="000F5A61">
              <w:rPr>
                <w:rFonts w:ascii="Arial" w:eastAsia="Times New Roman" w:hAnsi="Arial" w:cs="Arial"/>
                <w:sz w:val="20"/>
                <w:szCs w:val="20"/>
              </w:rPr>
              <w:t xml:space="preserve"> left by MMCs.</w:t>
            </w:r>
          </w:p>
        </w:tc>
        <w:tc>
          <w:tcPr>
            <w:tcW w:w="1473" w:type="dxa"/>
          </w:tcPr>
          <w:p w:rsidR="003C1E4A" w:rsidRPr="000F5A61" w:rsidRDefault="003C1E4A" w:rsidP="003C1E4A">
            <w:pPr>
              <w:spacing w:after="0" w:line="240" w:lineRule="auto"/>
              <w:rPr>
                <w:rFonts w:ascii="Arial" w:hAnsi="Arial" w:cs="Arial"/>
                <w:sz w:val="20"/>
                <w:szCs w:val="20"/>
              </w:rPr>
            </w:pPr>
            <w:r w:rsidRPr="000F5A61">
              <w:rPr>
                <w:rFonts w:ascii="Arial" w:eastAsia="Times New Roman" w:hAnsi="Arial" w:cs="Arial"/>
                <w:sz w:val="20"/>
                <w:szCs w:val="20"/>
              </w:rPr>
              <w:t>By 2019 community based testing should be fully operational in areas targeted by MMCs.</w:t>
            </w:r>
          </w:p>
        </w:tc>
      </w:tr>
      <w:tr w:rsidR="00AB3176" w:rsidRPr="000F5A61" w:rsidTr="0028093B">
        <w:trPr>
          <w:gridAfter w:val="1"/>
          <w:wAfter w:w="34" w:type="dxa"/>
          <w:trHeight w:val="564"/>
          <w:jc w:val="center"/>
        </w:trPr>
        <w:tc>
          <w:tcPr>
            <w:tcW w:w="1528" w:type="dxa"/>
          </w:tcPr>
          <w:p w:rsidR="00AB3176" w:rsidRPr="000F5A61" w:rsidRDefault="00AB3176" w:rsidP="003C1E4A">
            <w:pPr>
              <w:spacing w:after="0" w:line="240" w:lineRule="auto"/>
              <w:rPr>
                <w:rFonts w:ascii="Arial" w:eastAsia="Times New Roman" w:hAnsi="Arial" w:cs="Arial"/>
                <w:sz w:val="20"/>
                <w:szCs w:val="20"/>
              </w:rPr>
            </w:pPr>
            <w:r w:rsidRPr="000F5A61">
              <w:rPr>
                <w:rFonts w:ascii="Arial" w:eastAsia="SimSun" w:hAnsi="Arial" w:cs="Arial"/>
                <w:sz w:val="20"/>
                <w:szCs w:val="20"/>
                <w:lang w:val="en-US" w:eastAsia="zh-CN"/>
              </w:rPr>
              <w:t>External Constitutional Change</w:t>
            </w:r>
          </w:p>
        </w:tc>
        <w:tc>
          <w:tcPr>
            <w:tcW w:w="3117" w:type="dxa"/>
          </w:tcPr>
          <w:p w:rsidR="00AB3176" w:rsidRPr="000F5A61" w:rsidRDefault="0028093B" w:rsidP="0028093B">
            <w:pPr>
              <w:spacing w:after="0" w:line="240" w:lineRule="auto"/>
              <w:rPr>
                <w:rFonts w:ascii="Arial" w:eastAsia="Times New Roman" w:hAnsi="Arial" w:cs="Arial"/>
                <w:sz w:val="20"/>
                <w:szCs w:val="20"/>
              </w:rPr>
            </w:pPr>
            <w:r w:rsidRPr="000F5A61">
              <w:rPr>
                <w:rFonts w:ascii="Arial" w:eastAsia="SimSun" w:hAnsi="Arial" w:cs="Arial"/>
                <w:sz w:val="20"/>
                <w:szCs w:val="20"/>
                <w:lang w:val="en-US" w:eastAsia="zh-CN"/>
              </w:rPr>
              <w:t>The introduction of the</w:t>
            </w:r>
            <w:r w:rsidR="00AB3176" w:rsidRPr="000F5A61">
              <w:rPr>
                <w:rFonts w:ascii="Arial" w:eastAsia="SimSun" w:hAnsi="Arial" w:cs="Arial"/>
                <w:sz w:val="20"/>
                <w:szCs w:val="20"/>
                <w:lang w:val="en-US" w:eastAsia="zh-CN"/>
              </w:rPr>
              <w:t xml:space="preserve"> new federal system </w:t>
            </w:r>
            <w:r w:rsidRPr="000F5A61">
              <w:rPr>
                <w:rFonts w:ascii="Arial" w:eastAsia="SimSun" w:hAnsi="Arial" w:cs="Arial"/>
                <w:sz w:val="20"/>
                <w:szCs w:val="20"/>
                <w:lang w:val="en-US" w:eastAsia="zh-CN"/>
              </w:rPr>
              <w:t>(</w:t>
            </w:r>
            <w:r w:rsidR="00AB3176" w:rsidRPr="000F5A61">
              <w:rPr>
                <w:rFonts w:ascii="Arial" w:eastAsia="SimSun" w:hAnsi="Arial" w:cs="Arial"/>
                <w:sz w:val="20"/>
                <w:szCs w:val="20"/>
                <w:lang w:val="en-US" w:eastAsia="zh-CN"/>
              </w:rPr>
              <w:t>decentralization process</w:t>
            </w:r>
            <w:r w:rsidRPr="000F5A61">
              <w:rPr>
                <w:rFonts w:ascii="Arial" w:eastAsia="SimSun" w:hAnsi="Arial" w:cs="Arial"/>
                <w:sz w:val="20"/>
                <w:szCs w:val="20"/>
                <w:lang w:val="en-US" w:eastAsia="zh-CN"/>
              </w:rPr>
              <w:t xml:space="preserve">)undermines Programme implementation </w:t>
            </w:r>
            <w:r w:rsidR="00AB3176" w:rsidRPr="000F5A61">
              <w:rPr>
                <w:rFonts w:ascii="Arial" w:eastAsia="SimSun" w:hAnsi="Arial" w:cs="Arial"/>
                <w:sz w:val="20"/>
                <w:szCs w:val="20"/>
                <w:lang w:val="en-US" w:eastAsia="zh-CN"/>
              </w:rPr>
              <w:t>at local level</w:t>
            </w:r>
            <w:r w:rsidRPr="000F5A61">
              <w:rPr>
                <w:rFonts w:ascii="Arial" w:eastAsia="SimSun" w:hAnsi="Arial" w:cs="Arial"/>
                <w:sz w:val="20"/>
                <w:szCs w:val="20"/>
                <w:lang w:val="en-US" w:eastAsia="zh-CN"/>
              </w:rPr>
              <w:t>.</w:t>
            </w:r>
          </w:p>
        </w:tc>
        <w:tc>
          <w:tcPr>
            <w:tcW w:w="2863" w:type="dxa"/>
          </w:tcPr>
          <w:p w:rsidR="00AB3176" w:rsidRPr="000F5A61" w:rsidRDefault="0028093B" w:rsidP="0028093B">
            <w:pPr>
              <w:spacing w:after="0" w:line="240" w:lineRule="auto"/>
              <w:rPr>
                <w:rFonts w:ascii="Arial" w:eastAsia="Times New Roman" w:hAnsi="Arial" w:cs="Arial"/>
                <w:sz w:val="20"/>
                <w:szCs w:val="20"/>
              </w:rPr>
            </w:pPr>
            <w:r w:rsidRPr="000F5A61">
              <w:rPr>
                <w:rFonts w:ascii="Arial" w:eastAsia="SimSun" w:hAnsi="Arial" w:cs="Arial"/>
                <w:sz w:val="20"/>
                <w:szCs w:val="20"/>
                <w:lang w:val="en-US" w:eastAsia="zh-CN"/>
              </w:rPr>
              <w:t>The P</w:t>
            </w:r>
            <w:r w:rsidR="00AB3176" w:rsidRPr="000F5A61">
              <w:rPr>
                <w:rFonts w:ascii="Arial" w:eastAsia="SimSun" w:hAnsi="Arial" w:cs="Arial"/>
                <w:sz w:val="20"/>
                <w:szCs w:val="20"/>
                <w:lang w:val="en-US" w:eastAsia="zh-CN"/>
              </w:rPr>
              <w:t>rogram</w:t>
            </w:r>
            <w:r w:rsidRPr="000F5A61">
              <w:rPr>
                <w:rFonts w:ascii="Arial" w:eastAsia="SimSun" w:hAnsi="Arial" w:cs="Arial"/>
                <w:sz w:val="20"/>
                <w:szCs w:val="20"/>
                <w:lang w:val="en-US" w:eastAsia="zh-CN"/>
              </w:rPr>
              <w:t xml:space="preserve">mewilltake a proactive role in </w:t>
            </w:r>
            <w:r w:rsidR="00AB3176" w:rsidRPr="000F5A61">
              <w:rPr>
                <w:rFonts w:ascii="Arial" w:eastAsia="SimSun" w:hAnsi="Arial" w:cs="Arial"/>
                <w:sz w:val="20"/>
                <w:szCs w:val="20"/>
                <w:lang w:val="en-US" w:eastAsia="zh-CN"/>
              </w:rPr>
              <w:t>adjust</w:t>
            </w:r>
            <w:r w:rsidRPr="000F5A61">
              <w:rPr>
                <w:rFonts w:ascii="Arial" w:eastAsia="SimSun" w:hAnsi="Arial" w:cs="Arial"/>
                <w:sz w:val="20"/>
                <w:szCs w:val="20"/>
                <w:lang w:val="en-US" w:eastAsia="zh-CN"/>
              </w:rPr>
              <w:t>ing</w:t>
            </w:r>
            <w:r w:rsidR="00AB3176" w:rsidRPr="000F5A61">
              <w:rPr>
                <w:rFonts w:ascii="Arial" w:eastAsia="SimSun" w:hAnsi="Arial" w:cs="Arial"/>
                <w:sz w:val="20"/>
                <w:szCs w:val="20"/>
                <w:lang w:val="en-US" w:eastAsia="zh-CN"/>
              </w:rPr>
              <w:t xml:space="preserve"> its interventions </w:t>
            </w:r>
            <w:r w:rsidRPr="000F5A61">
              <w:rPr>
                <w:rFonts w:ascii="Arial" w:eastAsia="SimSun" w:hAnsi="Arial" w:cs="Arial"/>
                <w:sz w:val="20"/>
                <w:szCs w:val="20"/>
                <w:lang w:val="en-US" w:eastAsia="zh-CN"/>
              </w:rPr>
              <w:t>to suit the</w:t>
            </w:r>
            <w:r w:rsidR="00AB3176" w:rsidRPr="000F5A61">
              <w:rPr>
                <w:rFonts w:ascii="Arial" w:eastAsia="SimSun" w:hAnsi="Arial" w:cs="Arial"/>
                <w:sz w:val="20"/>
                <w:szCs w:val="20"/>
                <w:lang w:val="en-US" w:eastAsia="zh-CN"/>
              </w:rPr>
              <w:t xml:space="preserve"> new structure</w:t>
            </w:r>
            <w:r w:rsidRPr="000F5A61">
              <w:rPr>
                <w:rFonts w:ascii="Arial" w:eastAsia="SimSun" w:hAnsi="Arial" w:cs="Arial"/>
                <w:sz w:val="20"/>
                <w:szCs w:val="20"/>
                <w:lang w:val="en-US" w:eastAsia="zh-CN"/>
              </w:rPr>
              <w:t xml:space="preserve"> and any revised</w:t>
            </w:r>
            <w:r w:rsidR="00AB3176" w:rsidRPr="000F5A61">
              <w:rPr>
                <w:rFonts w:ascii="Arial" w:eastAsia="SimSun" w:hAnsi="Arial" w:cs="Arial"/>
                <w:sz w:val="20"/>
                <w:szCs w:val="20"/>
                <w:lang w:val="en-US" w:eastAsia="zh-CN"/>
              </w:rPr>
              <w:t xml:space="preserve"> roles and responsibilities of government/public staff at local levels.</w:t>
            </w:r>
          </w:p>
        </w:tc>
        <w:tc>
          <w:tcPr>
            <w:tcW w:w="1473" w:type="dxa"/>
          </w:tcPr>
          <w:p w:rsidR="00AB3176" w:rsidRPr="000F5A61" w:rsidRDefault="00AB3176" w:rsidP="00FA7999">
            <w:pPr>
              <w:spacing w:after="0" w:line="240" w:lineRule="auto"/>
              <w:rPr>
                <w:rFonts w:ascii="Arial" w:eastAsia="Times New Roman" w:hAnsi="Arial" w:cs="Arial"/>
                <w:sz w:val="20"/>
                <w:szCs w:val="20"/>
              </w:rPr>
            </w:pPr>
            <w:r w:rsidRPr="000F5A61">
              <w:rPr>
                <w:rFonts w:ascii="Arial" w:eastAsia="SimSun" w:hAnsi="Arial" w:cs="Arial"/>
                <w:sz w:val="20"/>
                <w:szCs w:val="20"/>
                <w:lang w:val="en-US" w:eastAsia="zh-CN"/>
              </w:rPr>
              <w:t>Undetermined</w:t>
            </w:r>
          </w:p>
        </w:tc>
      </w:tr>
      <w:tr w:rsidR="00806626" w:rsidRPr="000F5A61" w:rsidTr="00847F4D">
        <w:trPr>
          <w:gridAfter w:val="1"/>
          <w:wAfter w:w="34" w:type="dxa"/>
          <w:trHeight w:val="492"/>
          <w:jc w:val="center"/>
        </w:trPr>
        <w:tc>
          <w:tcPr>
            <w:tcW w:w="1528" w:type="dxa"/>
          </w:tcPr>
          <w:p w:rsidR="00806626" w:rsidRPr="000F5A61" w:rsidRDefault="00806626" w:rsidP="00847F4D">
            <w:pPr>
              <w:spacing w:after="0" w:line="240" w:lineRule="auto"/>
              <w:rPr>
                <w:rFonts w:ascii="Arial" w:eastAsia="Calibri" w:hAnsi="Arial" w:cs="Arial"/>
                <w:iCs/>
                <w:sz w:val="20"/>
                <w:szCs w:val="20"/>
                <w:lang w:val="en-US"/>
              </w:rPr>
            </w:pPr>
            <w:r w:rsidRPr="000F5A61">
              <w:rPr>
                <w:rFonts w:ascii="Arial" w:eastAsia="Times New Roman" w:hAnsi="Arial" w:cs="Arial"/>
                <w:sz w:val="20"/>
                <w:szCs w:val="20"/>
              </w:rPr>
              <w:t>Extrinsic risk</w:t>
            </w:r>
          </w:p>
        </w:tc>
        <w:tc>
          <w:tcPr>
            <w:tcW w:w="3117" w:type="dxa"/>
          </w:tcPr>
          <w:p w:rsidR="00806626" w:rsidRPr="000F5A61" w:rsidRDefault="00806626" w:rsidP="00847F4D">
            <w:pPr>
              <w:spacing w:after="0" w:line="240" w:lineRule="auto"/>
              <w:rPr>
                <w:rFonts w:ascii="Arial" w:eastAsia="Calibri" w:hAnsi="Arial" w:cs="Arial"/>
                <w:iCs/>
                <w:sz w:val="20"/>
                <w:szCs w:val="20"/>
                <w:lang w:val="en-US"/>
              </w:rPr>
            </w:pPr>
            <w:r w:rsidRPr="000F5A61">
              <w:rPr>
                <w:rFonts w:ascii="Arial" w:eastAsia="Times New Roman" w:hAnsi="Arial" w:cs="Arial"/>
                <w:sz w:val="20"/>
                <w:szCs w:val="20"/>
              </w:rPr>
              <w:t>Natural disasters. Earthquakes/floods jeopardize implementation of planned activities (either directly in affected areas, or indirectly in other parts of the country due to diversion of efforts and supplies to affected areas).</w:t>
            </w:r>
          </w:p>
        </w:tc>
        <w:tc>
          <w:tcPr>
            <w:tcW w:w="2863" w:type="dxa"/>
          </w:tcPr>
          <w:p w:rsidR="00806626" w:rsidRPr="000F5A61" w:rsidRDefault="00806626" w:rsidP="00847F4D">
            <w:pPr>
              <w:spacing w:after="0" w:line="240" w:lineRule="auto"/>
              <w:rPr>
                <w:rFonts w:ascii="Arial" w:eastAsia="Calibri" w:hAnsi="Arial" w:cs="Arial"/>
                <w:iCs/>
                <w:sz w:val="20"/>
                <w:szCs w:val="20"/>
                <w:lang w:val="en-US"/>
              </w:rPr>
            </w:pPr>
            <w:r w:rsidRPr="000F5A61">
              <w:rPr>
                <w:rFonts w:ascii="Arial" w:eastAsia="Times New Roman" w:hAnsi="Arial" w:cs="Arial"/>
                <w:sz w:val="20"/>
                <w:szCs w:val="20"/>
              </w:rPr>
              <w:t>Buffer stocks have been incorporated into the procurement of all key programme commodities (RDTs, drugs and LLINs).</w:t>
            </w:r>
          </w:p>
        </w:tc>
        <w:tc>
          <w:tcPr>
            <w:tcW w:w="1473" w:type="dxa"/>
          </w:tcPr>
          <w:p w:rsidR="00806626" w:rsidRPr="000F5A61" w:rsidRDefault="00806626" w:rsidP="00847F4D">
            <w:pPr>
              <w:spacing w:after="0" w:line="240" w:lineRule="auto"/>
              <w:rPr>
                <w:rFonts w:ascii="Arial" w:eastAsia="Calibri" w:hAnsi="Arial" w:cs="Arial"/>
                <w:iCs/>
                <w:sz w:val="20"/>
                <w:szCs w:val="20"/>
                <w:lang w:val="en-US"/>
              </w:rPr>
            </w:pPr>
            <w:r w:rsidRPr="000F5A61">
              <w:rPr>
                <w:rFonts w:ascii="Arial" w:eastAsia="Times New Roman" w:hAnsi="Arial" w:cs="Arial"/>
                <w:sz w:val="20"/>
                <w:szCs w:val="20"/>
              </w:rPr>
              <w:t>In place.</w:t>
            </w:r>
          </w:p>
        </w:tc>
      </w:tr>
      <w:tr w:rsidR="00753C3A" w:rsidRPr="000F5A61" w:rsidTr="0028093B">
        <w:trPr>
          <w:gridAfter w:val="1"/>
          <w:wAfter w:w="34" w:type="dxa"/>
          <w:trHeight w:val="351"/>
          <w:jc w:val="center"/>
        </w:trPr>
        <w:tc>
          <w:tcPr>
            <w:tcW w:w="8981" w:type="dxa"/>
            <w:gridSpan w:val="4"/>
          </w:tcPr>
          <w:p w:rsidR="00753C3A" w:rsidRPr="000F5A61" w:rsidRDefault="00753C3A" w:rsidP="00594899">
            <w:pPr>
              <w:spacing w:before="120" w:after="120" w:line="240" w:lineRule="auto"/>
              <w:rPr>
                <w:rFonts w:ascii="Arial" w:eastAsia="SimSun" w:hAnsi="Arial" w:cs="Arial"/>
                <w:sz w:val="20"/>
                <w:szCs w:val="20"/>
                <w:lang w:val="en-US" w:eastAsia="zh-CN"/>
              </w:rPr>
            </w:pPr>
            <w:r w:rsidRPr="000F5A61">
              <w:rPr>
                <w:rFonts w:ascii="Arial" w:eastAsia="Calibri" w:hAnsi="Arial" w:cs="Arial"/>
                <w:bCs/>
                <w:i/>
                <w:iCs/>
                <w:sz w:val="20"/>
                <w:szCs w:val="20"/>
                <w:lang w:val="en-US"/>
              </w:rPr>
              <w:t>Add rows for additional key risks as necessary</w:t>
            </w:r>
          </w:p>
        </w:tc>
      </w:tr>
    </w:tbl>
    <w:p w:rsidR="00FE411C" w:rsidRPr="000F5A61" w:rsidRDefault="00FE411C">
      <w:pPr>
        <w:rPr>
          <w:rFonts w:ascii="Arial" w:hAnsi="Arial" w:cs="Arial"/>
          <w:sz w:val="20"/>
          <w:szCs w:val="20"/>
        </w:rPr>
      </w:pPr>
      <w:r w:rsidRPr="000F5A61">
        <w:rPr>
          <w:rFonts w:ascii="Arial" w:hAnsi="Arial" w:cs="Arial"/>
          <w:sz w:val="20"/>
          <w:szCs w:val="20"/>
        </w:rPr>
        <w:br w:type="page"/>
      </w:r>
    </w:p>
    <w:tbl>
      <w:tblPr>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A0"/>
      </w:tblPr>
      <w:tblGrid>
        <w:gridCol w:w="8926"/>
      </w:tblGrid>
      <w:tr w:rsidR="00FC77AC" w:rsidRPr="000F5A61" w:rsidTr="00FE411C">
        <w:trPr>
          <w:trHeight w:val="409"/>
          <w:jc w:val="center"/>
        </w:trPr>
        <w:tc>
          <w:tcPr>
            <w:tcW w:w="8926" w:type="dxa"/>
            <w:shd w:val="clear" w:color="auto" w:fill="1F497D"/>
            <w:vAlign w:val="center"/>
          </w:tcPr>
          <w:p w:rsidR="00FC77AC" w:rsidRPr="000F5A61" w:rsidRDefault="00FC77AC" w:rsidP="00FC77AC">
            <w:pPr>
              <w:spacing w:after="0" w:line="240" w:lineRule="auto"/>
              <w:rPr>
                <w:rFonts w:ascii="Arial" w:eastAsia="Calibri" w:hAnsi="Arial" w:cs="Arial"/>
                <w:b/>
                <w:bCs/>
                <w:sz w:val="20"/>
                <w:szCs w:val="20"/>
                <w:lang w:val="en-US"/>
              </w:rPr>
            </w:pPr>
            <w:r w:rsidRPr="000F5A61">
              <w:rPr>
                <w:rFonts w:ascii="Arial" w:eastAsia="SimSun" w:hAnsi="Arial" w:cs="Arial"/>
                <w:b/>
                <w:sz w:val="20"/>
                <w:szCs w:val="20"/>
                <w:lang w:val="en-US" w:eastAsia="zh-CN"/>
              </w:rPr>
              <w:lastRenderedPageBreak/>
              <w:t>SECTION 4: FUNDING LANDSCAPE, CO-FINANCING AND SUSTAINABILITY</w:t>
            </w:r>
          </w:p>
        </w:tc>
      </w:tr>
      <w:tr w:rsidR="00FC77AC" w:rsidRPr="000F5A61" w:rsidTr="00FE411C">
        <w:trPr>
          <w:trHeight w:val="1272"/>
          <w:jc w:val="center"/>
        </w:trPr>
        <w:tc>
          <w:tcPr>
            <w:tcW w:w="8926" w:type="dxa"/>
            <w:shd w:val="clear" w:color="auto" w:fill="F2F2F2" w:themeFill="background1" w:themeFillShade="F2"/>
            <w:vAlign w:val="center"/>
          </w:tcPr>
          <w:p w:rsidR="00FC77AC" w:rsidRPr="000F5A61" w:rsidRDefault="00972638" w:rsidP="005614E5">
            <w:pPr>
              <w:spacing w:after="0" w:line="240" w:lineRule="auto"/>
              <w:jc w:val="both"/>
              <w:rPr>
                <w:rFonts w:ascii="Arial" w:eastAsia="Calibri" w:hAnsi="Arial" w:cs="Arial"/>
                <w:bCs/>
                <w:iCs/>
                <w:sz w:val="20"/>
                <w:szCs w:val="20"/>
                <w:lang w:val="en-US"/>
              </w:rPr>
            </w:pPr>
            <w:r w:rsidRPr="000F5A61">
              <w:rPr>
                <w:rFonts w:ascii="Arial" w:eastAsia="Calibri" w:hAnsi="Arial" w:cs="Arial"/>
                <w:bCs/>
                <w:iCs/>
                <w:sz w:val="20"/>
                <w:szCs w:val="20"/>
                <w:lang w:val="en-US"/>
              </w:rPr>
              <w:t xml:space="preserve">This section details trends in overall health financing, government commitments to co-financing, and key plans for sustainability. </w:t>
            </w:r>
            <w:r w:rsidR="0020041F" w:rsidRPr="000F5A61">
              <w:rPr>
                <w:rFonts w:ascii="Arial" w:eastAsia="Calibri" w:hAnsi="Arial" w:cs="Arial"/>
                <w:sz w:val="20"/>
                <w:szCs w:val="20"/>
                <w:lang w:val="en-US"/>
              </w:rPr>
              <w:t>R</w:t>
            </w:r>
            <w:r w:rsidR="00A676C4" w:rsidRPr="000F5A61">
              <w:rPr>
                <w:rFonts w:ascii="Arial" w:eastAsia="Calibri" w:hAnsi="Arial" w:cs="Arial"/>
                <w:sz w:val="20"/>
                <w:szCs w:val="20"/>
                <w:lang w:val="en-US"/>
              </w:rPr>
              <w:t>efer</w:t>
            </w:r>
            <w:r w:rsidR="00996FDF" w:rsidRPr="000F5A61">
              <w:rPr>
                <w:rFonts w:ascii="Arial" w:eastAsia="Calibri" w:hAnsi="Arial" w:cs="Arial"/>
                <w:bCs/>
                <w:iCs/>
                <w:sz w:val="20"/>
                <w:szCs w:val="20"/>
                <w:lang w:val="en-US"/>
              </w:rPr>
              <w:t>to</w:t>
            </w:r>
            <w:r w:rsidR="00FC77AC" w:rsidRPr="000F5A61">
              <w:rPr>
                <w:rFonts w:ascii="Arial" w:eastAsia="Calibri" w:hAnsi="Arial" w:cs="Arial"/>
                <w:sz w:val="20"/>
                <w:szCs w:val="20"/>
                <w:lang w:val="en-US"/>
              </w:rPr>
              <w:t>the</w:t>
            </w:r>
            <w:r w:rsidR="00FC77AC" w:rsidRPr="000F5A61">
              <w:rPr>
                <w:rFonts w:ascii="Arial" w:eastAsia="Calibri" w:hAnsi="Arial" w:cs="Arial"/>
                <w:b/>
                <w:bCs/>
                <w:iCs/>
                <w:sz w:val="20"/>
                <w:szCs w:val="20"/>
                <w:lang w:val="en-US"/>
              </w:rPr>
              <w:t xml:space="preserve"> Funding Landscape Table</w:t>
            </w:r>
            <w:r w:rsidR="00B72573" w:rsidRPr="000F5A61">
              <w:rPr>
                <w:rFonts w:ascii="Arial" w:eastAsia="Calibri" w:hAnsi="Arial" w:cs="Arial"/>
                <w:b/>
                <w:bCs/>
                <w:iCs/>
                <w:sz w:val="20"/>
                <w:szCs w:val="20"/>
                <w:lang w:val="en-US"/>
              </w:rPr>
              <w:t>(s)</w:t>
            </w:r>
            <w:r w:rsidR="008F0B4F" w:rsidRPr="000F5A61">
              <w:rPr>
                <w:rFonts w:ascii="Arial" w:eastAsia="Calibri" w:hAnsi="Arial" w:cs="Arial"/>
                <w:bCs/>
                <w:iCs/>
                <w:sz w:val="20"/>
                <w:szCs w:val="20"/>
                <w:lang w:val="en-US"/>
              </w:rPr>
              <w:t xml:space="preserve">and supporting </w:t>
            </w:r>
            <w:r w:rsidR="001F2969" w:rsidRPr="000F5A61">
              <w:rPr>
                <w:rFonts w:ascii="Arial" w:eastAsia="Calibri" w:hAnsi="Arial" w:cs="Arial"/>
                <w:bCs/>
                <w:iCs/>
                <w:sz w:val="20"/>
                <w:szCs w:val="20"/>
                <w:lang w:val="en-US"/>
              </w:rPr>
              <w:t>documents as applicable</w:t>
            </w:r>
            <w:r w:rsidR="00FC77AC" w:rsidRPr="000F5A61">
              <w:rPr>
                <w:rFonts w:ascii="Arial" w:eastAsia="Calibri" w:hAnsi="Arial" w:cs="Arial"/>
                <w:bCs/>
                <w:iCs/>
                <w:sz w:val="20"/>
                <w:szCs w:val="20"/>
                <w:lang w:val="en-US"/>
              </w:rPr>
              <w:t>.</w:t>
            </w:r>
            <w:r w:rsidR="001F2969" w:rsidRPr="000F5A61">
              <w:rPr>
                <w:rFonts w:ascii="Arial" w:eastAsia="Calibri" w:hAnsi="Arial" w:cs="Arial"/>
                <w:bCs/>
                <w:iCs/>
                <w:sz w:val="20"/>
                <w:szCs w:val="20"/>
                <w:lang w:val="en-US"/>
              </w:rPr>
              <w:t xml:space="preserve">To respond, refer to </w:t>
            </w:r>
            <w:r w:rsidR="006E048B" w:rsidRPr="000F5A61">
              <w:rPr>
                <w:rFonts w:ascii="Arial" w:eastAsia="Calibri" w:hAnsi="Arial" w:cs="Arial"/>
                <w:sz w:val="20"/>
                <w:szCs w:val="20"/>
                <w:lang w:val="en-US"/>
              </w:rPr>
              <w:t>additional</w:t>
            </w:r>
            <w:r w:rsidR="00761057" w:rsidRPr="000F5A61">
              <w:rPr>
                <w:rFonts w:ascii="Arial" w:eastAsia="Calibri" w:hAnsi="Arial" w:cs="Arial"/>
                <w:bCs/>
                <w:iCs/>
                <w:sz w:val="20"/>
                <w:szCs w:val="20"/>
                <w:lang w:val="en-US"/>
              </w:rPr>
              <w:t xml:space="preserve">guidance </w:t>
            </w:r>
            <w:r w:rsidR="00B72573" w:rsidRPr="000F5A61">
              <w:rPr>
                <w:rFonts w:ascii="Arial" w:eastAsia="Calibri" w:hAnsi="Arial" w:cs="Arial"/>
                <w:bCs/>
                <w:iCs/>
                <w:sz w:val="20"/>
                <w:szCs w:val="20"/>
                <w:lang w:val="en-US"/>
              </w:rPr>
              <w:t xml:space="preserve">provided </w:t>
            </w:r>
            <w:r w:rsidR="00761057" w:rsidRPr="000F5A61">
              <w:rPr>
                <w:rFonts w:ascii="Arial" w:eastAsia="Calibri" w:hAnsi="Arial" w:cs="Arial"/>
                <w:bCs/>
                <w:iCs/>
                <w:sz w:val="20"/>
                <w:szCs w:val="20"/>
                <w:lang w:val="en-US"/>
              </w:rPr>
              <w:t xml:space="preserve">in the </w:t>
            </w:r>
            <w:r w:rsidR="0020041F" w:rsidRPr="000F5A61">
              <w:rPr>
                <w:rFonts w:ascii="Arial" w:hAnsi="Arial" w:cs="Arial"/>
                <w:bCs/>
                <w:i/>
                <w:iCs/>
                <w:sz w:val="20"/>
                <w:szCs w:val="20"/>
              </w:rPr>
              <w:t>Instructions</w:t>
            </w:r>
            <w:r w:rsidR="00485F5B" w:rsidRPr="000F5A61">
              <w:rPr>
                <w:rFonts w:ascii="Arial" w:hAnsi="Arial" w:cs="Arial"/>
                <w:bCs/>
                <w:i/>
                <w:iCs/>
                <w:sz w:val="20"/>
                <w:szCs w:val="20"/>
              </w:rPr>
              <w:t>.</w:t>
            </w:r>
          </w:p>
        </w:tc>
      </w:tr>
    </w:tbl>
    <w:p w:rsidR="00C31623" w:rsidRPr="000F5A61" w:rsidRDefault="00C31623" w:rsidP="00C31623">
      <w:pPr>
        <w:spacing w:line="200" w:lineRule="exact"/>
        <w:rPr>
          <w:rFonts w:ascii="Arial" w:hAnsi="Arial" w:cs="Arial"/>
          <w:sz w:val="20"/>
          <w:szCs w:val="20"/>
        </w:rPr>
      </w:pPr>
    </w:p>
    <w:tbl>
      <w:tblPr>
        <w:tblW w:w="0" w:type="auto"/>
        <w:tblInd w:w="161" w:type="dxa"/>
        <w:tblLayout w:type="fixed"/>
        <w:tblCellMar>
          <w:left w:w="0" w:type="dxa"/>
          <w:right w:w="0" w:type="dxa"/>
        </w:tblCellMar>
        <w:tblLook w:val="01E0"/>
      </w:tblPr>
      <w:tblGrid>
        <w:gridCol w:w="6798"/>
        <w:gridCol w:w="2096"/>
      </w:tblGrid>
      <w:tr w:rsidR="00C31623" w:rsidRPr="000F5A61" w:rsidTr="005A251C">
        <w:trPr>
          <w:trHeight w:hRule="exact" w:val="480"/>
        </w:trPr>
        <w:tc>
          <w:tcPr>
            <w:tcW w:w="8894" w:type="dxa"/>
            <w:gridSpan w:val="2"/>
            <w:tcBorders>
              <w:top w:val="single" w:sz="5" w:space="0" w:color="808080"/>
              <w:left w:val="single" w:sz="5" w:space="0" w:color="808080"/>
              <w:bottom w:val="single" w:sz="5" w:space="0" w:color="808080"/>
              <w:right w:val="single" w:sz="5" w:space="0" w:color="808080"/>
            </w:tcBorders>
            <w:shd w:val="clear" w:color="auto" w:fill="C5D9F0"/>
          </w:tcPr>
          <w:p w:rsidR="00C31623" w:rsidRPr="000F5A61" w:rsidRDefault="00C31623" w:rsidP="005A251C">
            <w:pPr>
              <w:spacing w:before="4" w:line="100" w:lineRule="exact"/>
              <w:rPr>
                <w:rFonts w:ascii="Arial" w:hAnsi="Arial" w:cs="Arial"/>
                <w:sz w:val="20"/>
                <w:szCs w:val="20"/>
              </w:rPr>
            </w:pPr>
          </w:p>
          <w:p w:rsidR="00C31623" w:rsidRPr="000F5A61" w:rsidRDefault="00C31623" w:rsidP="005A251C">
            <w:pPr>
              <w:ind w:left="136"/>
              <w:rPr>
                <w:rFonts w:ascii="Arial" w:eastAsia="Arial" w:hAnsi="Arial" w:cs="Arial"/>
                <w:sz w:val="20"/>
                <w:szCs w:val="20"/>
              </w:rPr>
            </w:pPr>
            <w:r w:rsidRPr="000F5A61">
              <w:rPr>
                <w:rFonts w:ascii="Arial" w:eastAsia="Arial" w:hAnsi="Arial" w:cs="Arial"/>
                <w:b/>
                <w:sz w:val="20"/>
                <w:szCs w:val="20"/>
              </w:rPr>
              <w:t>4.1F</w:t>
            </w:r>
            <w:r w:rsidRPr="000F5A61">
              <w:rPr>
                <w:rFonts w:ascii="Arial" w:eastAsia="Arial" w:hAnsi="Arial" w:cs="Arial"/>
                <w:b/>
                <w:spacing w:val="1"/>
                <w:sz w:val="20"/>
                <w:szCs w:val="20"/>
              </w:rPr>
              <w:t>u</w:t>
            </w:r>
            <w:r w:rsidRPr="000F5A61">
              <w:rPr>
                <w:rFonts w:ascii="Arial" w:eastAsia="Arial" w:hAnsi="Arial" w:cs="Arial"/>
                <w:b/>
                <w:sz w:val="20"/>
                <w:szCs w:val="20"/>
              </w:rPr>
              <w:t>ndingLa</w:t>
            </w:r>
            <w:r w:rsidRPr="000F5A61">
              <w:rPr>
                <w:rFonts w:ascii="Arial" w:eastAsia="Arial" w:hAnsi="Arial" w:cs="Arial"/>
                <w:b/>
                <w:spacing w:val="1"/>
                <w:sz w:val="20"/>
                <w:szCs w:val="20"/>
              </w:rPr>
              <w:t>n</w:t>
            </w:r>
            <w:r w:rsidRPr="000F5A61">
              <w:rPr>
                <w:rFonts w:ascii="Arial" w:eastAsia="Arial" w:hAnsi="Arial" w:cs="Arial"/>
                <w:b/>
                <w:sz w:val="20"/>
                <w:szCs w:val="20"/>
              </w:rPr>
              <w:t>d</w:t>
            </w:r>
            <w:r w:rsidRPr="000F5A61">
              <w:rPr>
                <w:rFonts w:ascii="Arial" w:eastAsia="Arial" w:hAnsi="Arial" w:cs="Arial"/>
                <w:b/>
                <w:spacing w:val="2"/>
                <w:sz w:val="20"/>
                <w:szCs w:val="20"/>
              </w:rPr>
              <w:t>s</w:t>
            </w:r>
            <w:r w:rsidRPr="000F5A61">
              <w:rPr>
                <w:rFonts w:ascii="Arial" w:eastAsia="Arial" w:hAnsi="Arial" w:cs="Arial"/>
                <w:b/>
                <w:sz w:val="20"/>
                <w:szCs w:val="20"/>
              </w:rPr>
              <w:t>c</w:t>
            </w:r>
            <w:r w:rsidRPr="000F5A61">
              <w:rPr>
                <w:rFonts w:ascii="Arial" w:eastAsia="Arial" w:hAnsi="Arial" w:cs="Arial"/>
                <w:b/>
                <w:spacing w:val="-1"/>
                <w:sz w:val="20"/>
                <w:szCs w:val="20"/>
              </w:rPr>
              <w:t>a</w:t>
            </w:r>
            <w:r w:rsidRPr="000F5A61">
              <w:rPr>
                <w:rFonts w:ascii="Arial" w:eastAsia="Arial" w:hAnsi="Arial" w:cs="Arial"/>
                <w:b/>
                <w:sz w:val="20"/>
                <w:szCs w:val="20"/>
              </w:rPr>
              <w:t>pe</w:t>
            </w:r>
            <w:r w:rsidRPr="000F5A61">
              <w:rPr>
                <w:rFonts w:ascii="Arial" w:eastAsia="Arial" w:hAnsi="Arial" w:cs="Arial"/>
                <w:b/>
                <w:spacing w:val="2"/>
                <w:sz w:val="20"/>
                <w:szCs w:val="20"/>
              </w:rPr>
              <w:t>a</w:t>
            </w:r>
            <w:r w:rsidRPr="000F5A61">
              <w:rPr>
                <w:rFonts w:ascii="Arial" w:eastAsia="Arial" w:hAnsi="Arial" w:cs="Arial"/>
                <w:b/>
                <w:sz w:val="20"/>
                <w:szCs w:val="20"/>
              </w:rPr>
              <w:t>ndC</w:t>
            </w:r>
            <w:r w:rsidRPr="000F5A61">
              <w:rPr>
                <w:rFonts w:ascii="Arial" w:eastAsia="Arial" w:hAnsi="Arial" w:cs="Arial"/>
                <w:b/>
                <w:spacing w:val="4"/>
                <w:sz w:val="20"/>
                <w:szCs w:val="20"/>
              </w:rPr>
              <w:t>o</w:t>
            </w:r>
            <w:r w:rsidRPr="000F5A61">
              <w:rPr>
                <w:rFonts w:ascii="Arial" w:eastAsia="Arial" w:hAnsi="Arial" w:cs="Arial"/>
                <w:b/>
                <w:spacing w:val="1"/>
                <w:sz w:val="20"/>
                <w:szCs w:val="20"/>
              </w:rPr>
              <w:t>-f</w:t>
            </w:r>
            <w:r w:rsidRPr="000F5A61">
              <w:rPr>
                <w:rFonts w:ascii="Arial" w:eastAsia="Arial" w:hAnsi="Arial" w:cs="Arial"/>
                <w:b/>
                <w:sz w:val="20"/>
                <w:szCs w:val="20"/>
              </w:rPr>
              <w:t>ina</w:t>
            </w:r>
            <w:r w:rsidRPr="000F5A61">
              <w:rPr>
                <w:rFonts w:ascii="Arial" w:eastAsia="Arial" w:hAnsi="Arial" w:cs="Arial"/>
                <w:b/>
                <w:spacing w:val="1"/>
                <w:sz w:val="20"/>
                <w:szCs w:val="20"/>
              </w:rPr>
              <w:t>n</w:t>
            </w:r>
            <w:r w:rsidRPr="000F5A61">
              <w:rPr>
                <w:rFonts w:ascii="Arial" w:eastAsia="Arial" w:hAnsi="Arial" w:cs="Arial"/>
                <w:b/>
                <w:sz w:val="20"/>
                <w:szCs w:val="20"/>
              </w:rPr>
              <w:t>cing</w:t>
            </w:r>
          </w:p>
        </w:tc>
      </w:tr>
      <w:tr w:rsidR="00C31623" w:rsidRPr="000F5A61" w:rsidTr="00976815">
        <w:trPr>
          <w:trHeight w:hRule="exact" w:val="1065"/>
        </w:trPr>
        <w:tc>
          <w:tcPr>
            <w:tcW w:w="6798" w:type="dxa"/>
            <w:tcBorders>
              <w:top w:val="single" w:sz="5" w:space="0" w:color="808080"/>
              <w:left w:val="single" w:sz="5" w:space="0" w:color="808080"/>
              <w:bottom w:val="single" w:sz="5" w:space="0" w:color="808080"/>
              <w:right w:val="single" w:sz="5" w:space="0" w:color="808080"/>
            </w:tcBorders>
            <w:shd w:val="clear" w:color="auto" w:fill="F1F1F1"/>
          </w:tcPr>
          <w:p w:rsidR="00C31623" w:rsidRPr="000F5A61" w:rsidRDefault="00C31623" w:rsidP="005A251C">
            <w:pPr>
              <w:spacing w:before="7" w:line="100" w:lineRule="exact"/>
              <w:rPr>
                <w:rFonts w:ascii="Arial" w:hAnsi="Arial" w:cs="Arial"/>
                <w:sz w:val="20"/>
                <w:szCs w:val="20"/>
              </w:rPr>
            </w:pPr>
          </w:p>
          <w:p w:rsidR="00C31623" w:rsidRPr="000F5A61" w:rsidRDefault="00C31623" w:rsidP="005A251C">
            <w:pPr>
              <w:ind w:left="412" w:right="104" w:hanging="283"/>
              <w:jc w:val="both"/>
              <w:rPr>
                <w:rFonts w:ascii="Arial" w:eastAsia="Arial" w:hAnsi="Arial" w:cs="Arial"/>
                <w:sz w:val="20"/>
                <w:szCs w:val="20"/>
              </w:rPr>
            </w:pPr>
            <w:r w:rsidRPr="000F5A61">
              <w:rPr>
                <w:rFonts w:ascii="Arial" w:eastAsia="Arial" w:hAnsi="Arial" w:cs="Arial"/>
                <w:sz w:val="20"/>
                <w:szCs w:val="20"/>
              </w:rPr>
              <w:t>a)</w:t>
            </w:r>
            <w:r w:rsidRPr="000F5A61">
              <w:rPr>
                <w:rFonts w:ascii="Arial" w:eastAsia="Arial" w:hAnsi="Arial" w:cs="Arial"/>
                <w:spacing w:val="-1"/>
                <w:sz w:val="20"/>
                <w:szCs w:val="20"/>
              </w:rPr>
              <w:t>A</w:t>
            </w:r>
            <w:r w:rsidRPr="000F5A61">
              <w:rPr>
                <w:rFonts w:ascii="Arial" w:eastAsia="Arial" w:hAnsi="Arial" w:cs="Arial"/>
                <w:spacing w:val="1"/>
                <w:sz w:val="20"/>
                <w:szCs w:val="20"/>
              </w:rPr>
              <w:t>r</w:t>
            </w:r>
            <w:r w:rsidRPr="000F5A61">
              <w:rPr>
                <w:rFonts w:ascii="Arial" w:eastAsia="Arial" w:hAnsi="Arial" w:cs="Arial"/>
                <w:sz w:val="20"/>
                <w:szCs w:val="20"/>
              </w:rPr>
              <w:t>eth</w:t>
            </w:r>
            <w:r w:rsidRPr="000F5A61">
              <w:rPr>
                <w:rFonts w:ascii="Arial" w:eastAsia="Arial" w:hAnsi="Arial" w:cs="Arial"/>
                <w:spacing w:val="-1"/>
                <w:sz w:val="20"/>
                <w:szCs w:val="20"/>
              </w:rPr>
              <w:t>e</w:t>
            </w:r>
            <w:r w:rsidRPr="000F5A61">
              <w:rPr>
                <w:rFonts w:ascii="Arial" w:eastAsia="Arial" w:hAnsi="Arial" w:cs="Arial"/>
                <w:spacing w:val="1"/>
                <w:sz w:val="20"/>
                <w:szCs w:val="20"/>
              </w:rPr>
              <w:t>r</w:t>
            </w:r>
            <w:r w:rsidRPr="000F5A61">
              <w:rPr>
                <w:rFonts w:ascii="Arial" w:eastAsia="Arial" w:hAnsi="Arial" w:cs="Arial"/>
                <w:sz w:val="20"/>
                <w:szCs w:val="20"/>
              </w:rPr>
              <w:t>e</w:t>
            </w:r>
            <w:r w:rsidRPr="000F5A61">
              <w:rPr>
                <w:rFonts w:ascii="Arial" w:eastAsia="Arial" w:hAnsi="Arial" w:cs="Arial"/>
                <w:spacing w:val="2"/>
                <w:sz w:val="20"/>
                <w:szCs w:val="20"/>
              </w:rPr>
              <w:t>an</w:t>
            </w:r>
            <w:r w:rsidRPr="000F5A61">
              <w:rPr>
                <w:rFonts w:ascii="Arial" w:eastAsia="Arial" w:hAnsi="Arial" w:cs="Arial"/>
                <w:sz w:val="20"/>
                <w:szCs w:val="20"/>
              </w:rPr>
              <w:t>y</w:t>
            </w:r>
            <w:r w:rsidRPr="000F5A61">
              <w:rPr>
                <w:rFonts w:ascii="Arial" w:eastAsia="Arial" w:hAnsi="Arial" w:cs="Arial"/>
                <w:spacing w:val="1"/>
                <w:sz w:val="20"/>
                <w:szCs w:val="20"/>
              </w:rPr>
              <w:t xml:space="preserve"> c</w:t>
            </w:r>
            <w:r w:rsidRPr="000F5A61">
              <w:rPr>
                <w:rFonts w:ascii="Arial" w:eastAsia="Arial" w:hAnsi="Arial" w:cs="Arial"/>
                <w:sz w:val="20"/>
                <w:szCs w:val="20"/>
              </w:rPr>
              <w:t>ur</w:t>
            </w:r>
            <w:r w:rsidRPr="000F5A61">
              <w:rPr>
                <w:rFonts w:ascii="Arial" w:eastAsia="Arial" w:hAnsi="Arial" w:cs="Arial"/>
                <w:spacing w:val="1"/>
                <w:sz w:val="20"/>
                <w:szCs w:val="20"/>
              </w:rPr>
              <w:t>r</w:t>
            </w:r>
            <w:r w:rsidRPr="000F5A61">
              <w:rPr>
                <w:rFonts w:ascii="Arial" w:eastAsia="Arial" w:hAnsi="Arial" w:cs="Arial"/>
                <w:sz w:val="20"/>
                <w:szCs w:val="20"/>
              </w:rPr>
              <w:t>e</w:t>
            </w:r>
            <w:r w:rsidRPr="000F5A61">
              <w:rPr>
                <w:rFonts w:ascii="Arial" w:eastAsia="Arial" w:hAnsi="Arial" w:cs="Arial"/>
                <w:spacing w:val="1"/>
                <w:sz w:val="20"/>
                <w:szCs w:val="20"/>
              </w:rPr>
              <w:t>n</w:t>
            </w:r>
            <w:r w:rsidRPr="000F5A61">
              <w:rPr>
                <w:rFonts w:ascii="Arial" w:eastAsia="Arial" w:hAnsi="Arial" w:cs="Arial"/>
                <w:sz w:val="20"/>
                <w:szCs w:val="20"/>
              </w:rPr>
              <w:t>ta</w:t>
            </w:r>
            <w:r w:rsidRPr="000F5A61">
              <w:rPr>
                <w:rFonts w:ascii="Arial" w:eastAsia="Arial" w:hAnsi="Arial" w:cs="Arial"/>
                <w:spacing w:val="-1"/>
                <w:sz w:val="20"/>
                <w:szCs w:val="20"/>
              </w:rPr>
              <w:t>n</w:t>
            </w:r>
            <w:r w:rsidRPr="000F5A61">
              <w:rPr>
                <w:rFonts w:ascii="Arial" w:eastAsia="Arial" w:hAnsi="Arial" w:cs="Arial"/>
                <w:spacing w:val="1"/>
                <w:sz w:val="20"/>
                <w:szCs w:val="20"/>
              </w:rPr>
              <w:t>d</w:t>
            </w:r>
            <w:r w:rsidRPr="000F5A61">
              <w:rPr>
                <w:rFonts w:ascii="Arial" w:eastAsia="Arial" w:hAnsi="Arial" w:cs="Arial"/>
                <w:spacing w:val="2"/>
                <w:sz w:val="20"/>
                <w:szCs w:val="20"/>
              </w:rPr>
              <w:t>/</w:t>
            </w:r>
            <w:r w:rsidRPr="000F5A61">
              <w:rPr>
                <w:rFonts w:ascii="Arial" w:eastAsia="Arial" w:hAnsi="Arial" w:cs="Arial"/>
                <w:sz w:val="20"/>
                <w:szCs w:val="20"/>
              </w:rPr>
              <w:t>orp</w:t>
            </w:r>
            <w:r w:rsidRPr="000F5A61">
              <w:rPr>
                <w:rFonts w:ascii="Arial" w:eastAsia="Arial" w:hAnsi="Arial" w:cs="Arial"/>
                <w:spacing w:val="-1"/>
                <w:sz w:val="20"/>
                <w:szCs w:val="20"/>
              </w:rPr>
              <w:t>l</w:t>
            </w:r>
            <w:r w:rsidRPr="000F5A61">
              <w:rPr>
                <w:rFonts w:ascii="Arial" w:eastAsia="Arial" w:hAnsi="Arial" w:cs="Arial"/>
                <w:sz w:val="20"/>
                <w:szCs w:val="20"/>
              </w:rPr>
              <w:t>a</w:t>
            </w:r>
            <w:r w:rsidRPr="000F5A61">
              <w:rPr>
                <w:rFonts w:ascii="Arial" w:eastAsia="Arial" w:hAnsi="Arial" w:cs="Arial"/>
                <w:spacing w:val="1"/>
                <w:sz w:val="20"/>
                <w:szCs w:val="20"/>
              </w:rPr>
              <w:t>n</w:t>
            </w:r>
            <w:r w:rsidRPr="000F5A61">
              <w:rPr>
                <w:rFonts w:ascii="Arial" w:eastAsia="Arial" w:hAnsi="Arial" w:cs="Arial"/>
                <w:sz w:val="20"/>
                <w:szCs w:val="20"/>
              </w:rPr>
              <w:t>n</w:t>
            </w:r>
            <w:r w:rsidRPr="000F5A61">
              <w:rPr>
                <w:rFonts w:ascii="Arial" w:eastAsia="Arial" w:hAnsi="Arial" w:cs="Arial"/>
                <w:spacing w:val="-1"/>
                <w:sz w:val="20"/>
                <w:szCs w:val="20"/>
              </w:rPr>
              <w:t>e</w:t>
            </w:r>
            <w:r w:rsidRPr="000F5A61">
              <w:rPr>
                <w:rFonts w:ascii="Arial" w:eastAsia="Arial" w:hAnsi="Arial" w:cs="Arial"/>
                <w:sz w:val="20"/>
                <w:szCs w:val="20"/>
              </w:rPr>
              <w:t>d a</w:t>
            </w:r>
            <w:r w:rsidRPr="000F5A61">
              <w:rPr>
                <w:rFonts w:ascii="Arial" w:eastAsia="Arial" w:hAnsi="Arial" w:cs="Arial"/>
                <w:spacing w:val="1"/>
                <w:sz w:val="20"/>
                <w:szCs w:val="20"/>
              </w:rPr>
              <w:t>c</w:t>
            </w:r>
            <w:r w:rsidRPr="000F5A61">
              <w:rPr>
                <w:rFonts w:ascii="Arial" w:eastAsia="Arial" w:hAnsi="Arial" w:cs="Arial"/>
                <w:spacing w:val="2"/>
                <w:sz w:val="20"/>
                <w:szCs w:val="20"/>
              </w:rPr>
              <w:t>t</w:t>
            </w:r>
            <w:r w:rsidRPr="000F5A61">
              <w:rPr>
                <w:rFonts w:ascii="Arial" w:eastAsia="Arial" w:hAnsi="Arial" w:cs="Arial"/>
                <w:spacing w:val="-1"/>
                <w:sz w:val="20"/>
                <w:szCs w:val="20"/>
              </w:rPr>
              <w:t>i</w:t>
            </w:r>
            <w:r w:rsidRPr="000F5A61">
              <w:rPr>
                <w:rFonts w:ascii="Arial" w:eastAsia="Arial" w:hAnsi="Arial" w:cs="Arial"/>
                <w:spacing w:val="2"/>
                <w:sz w:val="20"/>
                <w:szCs w:val="20"/>
              </w:rPr>
              <w:t>o</w:t>
            </w:r>
            <w:r w:rsidRPr="000F5A61">
              <w:rPr>
                <w:rFonts w:ascii="Arial" w:eastAsia="Arial" w:hAnsi="Arial" w:cs="Arial"/>
                <w:sz w:val="20"/>
                <w:szCs w:val="20"/>
              </w:rPr>
              <w:t>nsor</w:t>
            </w:r>
            <w:r w:rsidRPr="000F5A61">
              <w:rPr>
                <w:rFonts w:ascii="Arial" w:eastAsia="Arial" w:hAnsi="Arial" w:cs="Arial"/>
                <w:spacing w:val="1"/>
                <w:sz w:val="20"/>
                <w:szCs w:val="20"/>
              </w:rPr>
              <w:t>r</w:t>
            </w:r>
            <w:r w:rsidRPr="000F5A61">
              <w:rPr>
                <w:rFonts w:ascii="Arial" w:eastAsia="Arial" w:hAnsi="Arial" w:cs="Arial"/>
                <w:sz w:val="20"/>
                <w:szCs w:val="20"/>
              </w:rPr>
              <w:t>e</w:t>
            </w:r>
            <w:r w:rsidRPr="000F5A61">
              <w:rPr>
                <w:rFonts w:ascii="Arial" w:eastAsia="Arial" w:hAnsi="Arial" w:cs="Arial"/>
                <w:spacing w:val="2"/>
                <w:sz w:val="20"/>
                <w:szCs w:val="20"/>
              </w:rPr>
              <w:t>f</w:t>
            </w:r>
            <w:r w:rsidRPr="000F5A61">
              <w:rPr>
                <w:rFonts w:ascii="Arial" w:eastAsia="Arial" w:hAnsi="Arial" w:cs="Arial"/>
                <w:sz w:val="20"/>
                <w:szCs w:val="20"/>
              </w:rPr>
              <w:t>o</w:t>
            </w:r>
            <w:r w:rsidRPr="000F5A61">
              <w:rPr>
                <w:rFonts w:ascii="Arial" w:eastAsia="Arial" w:hAnsi="Arial" w:cs="Arial"/>
                <w:spacing w:val="-2"/>
                <w:sz w:val="20"/>
                <w:szCs w:val="20"/>
              </w:rPr>
              <w:t>r</w:t>
            </w:r>
            <w:r w:rsidRPr="000F5A61">
              <w:rPr>
                <w:rFonts w:ascii="Arial" w:eastAsia="Arial" w:hAnsi="Arial" w:cs="Arial"/>
                <w:spacing w:val="2"/>
                <w:sz w:val="20"/>
                <w:szCs w:val="20"/>
              </w:rPr>
              <w:t>m</w:t>
            </w:r>
            <w:r w:rsidRPr="000F5A61">
              <w:rPr>
                <w:rFonts w:ascii="Arial" w:eastAsia="Arial" w:hAnsi="Arial" w:cs="Arial"/>
                <w:sz w:val="20"/>
                <w:szCs w:val="20"/>
              </w:rPr>
              <w:t>sto</w:t>
            </w:r>
            <w:r w:rsidRPr="000F5A61">
              <w:rPr>
                <w:rFonts w:ascii="Arial" w:eastAsia="Arial" w:hAnsi="Arial" w:cs="Arial"/>
                <w:spacing w:val="-1"/>
                <w:sz w:val="20"/>
                <w:szCs w:val="20"/>
              </w:rPr>
              <w:t>i</w:t>
            </w:r>
            <w:r w:rsidRPr="000F5A61">
              <w:rPr>
                <w:rFonts w:ascii="Arial" w:eastAsia="Arial" w:hAnsi="Arial" w:cs="Arial"/>
                <w:sz w:val="20"/>
                <w:szCs w:val="20"/>
              </w:rPr>
              <w:t>n</w:t>
            </w:r>
            <w:r w:rsidRPr="000F5A61">
              <w:rPr>
                <w:rFonts w:ascii="Arial" w:eastAsia="Arial" w:hAnsi="Arial" w:cs="Arial"/>
                <w:spacing w:val="1"/>
                <w:sz w:val="20"/>
                <w:szCs w:val="20"/>
              </w:rPr>
              <w:t>cr</w:t>
            </w:r>
            <w:r w:rsidRPr="000F5A61">
              <w:rPr>
                <w:rFonts w:ascii="Arial" w:eastAsia="Arial" w:hAnsi="Arial" w:cs="Arial"/>
                <w:sz w:val="20"/>
                <w:szCs w:val="20"/>
              </w:rPr>
              <w:t>e</w:t>
            </w:r>
            <w:r w:rsidRPr="000F5A61">
              <w:rPr>
                <w:rFonts w:ascii="Arial" w:eastAsia="Arial" w:hAnsi="Arial" w:cs="Arial"/>
                <w:spacing w:val="-1"/>
                <w:sz w:val="20"/>
                <w:szCs w:val="20"/>
              </w:rPr>
              <w:t>a</w:t>
            </w:r>
            <w:r w:rsidRPr="000F5A61">
              <w:rPr>
                <w:rFonts w:ascii="Arial" w:eastAsia="Arial" w:hAnsi="Arial" w:cs="Arial"/>
                <w:spacing w:val="1"/>
                <w:sz w:val="20"/>
                <w:szCs w:val="20"/>
              </w:rPr>
              <w:t>s</w:t>
            </w:r>
            <w:r w:rsidRPr="000F5A61">
              <w:rPr>
                <w:rFonts w:ascii="Arial" w:eastAsia="Arial" w:hAnsi="Arial" w:cs="Arial"/>
                <w:sz w:val="20"/>
                <w:szCs w:val="20"/>
              </w:rPr>
              <w:t>e d</w:t>
            </w:r>
            <w:r w:rsidRPr="000F5A61">
              <w:rPr>
                <w:rFonts w:ascii="Arial" w:eastAsia="Arial" w:hAnsi="Arial" w:cs="Arial"/>
                <w:spacing w:val="-1"/>
                <w:sz w:val="20"/>
                <w:szCs w:val="20"/>
              </w:rPr>
              <w:t>o</w:t>
            </w:r>
            <w:r w:rsidRPr="000F5A61">
              <w:rPr>
                <w:rFonts w:ascii="Arial" w:eastAsia="Arial" w:hAnsi="Arial" w:cs="Arial"/>
                <w:spacing w:val="4"/>
                <w:sz w:val="20"/>
                <w:szCs w:val="20"/>
              </w:rPr>
              <w:t>m</w:t>
            </w:r>
            <w:r w:rsidRPr="000F5A61">
              <w:rPr>
                <w:rFonts w:ascii="Arial" w:eastAsia="Arial" w:hAnsi="Arial" w:cs="Arial"/>
                <w:sz w:val="20"/>
                <w:szCs w:val="20"/>
              </w:rPr>
              <w:t>e</w:t>
            </w:r>
            <w:r w:rsidRPr="000F5A61">
              <w:rPr>
                <w:rFonts w:ascii="Arial" w:eastAsia="Arial" w:hAnsi="Arial" w:cs="Arial"/>
                <w:spacing w:val="1"/>
                <w:sz w:val="20"/>
                <w:szCs w:val="20"/>
              </w:rPr>
              <w:t>s</w:t>
            </w:r>
            <w:r w:rsidRPr="000F5A61">
              <w:rPr>
                <w:rFonts w:ascii="Arial" w:eastAsia="Arial" w:hAnsi="Arial" w:cs="Arial"/>
                <w:sz w:val="20"/>
                <w:szCs w:val="20"/>
              </w:rPr>
              <w:t>t</w:t>
            </w:r>
            <w:r w:rsidRPr="000F5A61">
              <w:rPr>
                <w:rFonts w:ascii="Arial" w:eastAsia="Arial" w:hAnsi="Arial" w:cs="Arial"/>
                <w:spacing w:val="-1"/>
                <w:sz w:val="20"/>
                <w:szCs w:val="20"/>
              </w:rPr>
              <w:t>i</w:t>
            </w:r>
            <w:r w:rsidRPr="000F5A61">
              <w:rPr>
                <w:rFonts w:ascii="Arial" w:eastAsia="Arial" w:hAnsi="Arial" w:cs="Arial"/>
                <w:sz w:val="20"/>
                <w:szCs w:val="20"/>
              </w:rPr>
              <w:t>c</w:t>
            </w:r>
            <w:r w:rsidRPr="000F5A61">
              <w:rPr>
                <w:rFonts w:ascii="Arial" w:eastAsia="Arial" w:hAnsi="Arial" w:cs="Arial"/>
                <w:spacing w:val="1"/>
                <w:sz w:val="20"/>
                <w:szCs w:val="20"/>
              </w:rPr>
              <w:t xml:space="preserve"> r</w:t>
            </w:r>
            <w:r w:rsidRPr="000F5A61">
              <w:rPr>
                <w:rFonts w:ascii="Arial" w:eastAsia="Arial" w:hAnsi="Arial" w:cs="Arial"/>
                <w:sz w:val="20"/>
                <w:szCs w:val="20"/>
              </w:rPr>
              <w:t>e</w:t>
            </w:r>
            <w:r w:rsidRPr="000F5A61">
              <w:rPr>
                <w:rFonts w:ascii="Arial" w:eastAsia="Arial" w:hAnsi="Arial" w:cs="Arial"/>
                <w:spacing w:val="1"/>
                <w:sz w:val="20"/>
                <w:szCs w:val="20"/>
              </w:rPr>
              <w:t>s</w:t>
            </w:r>
            <w:r w:rsidRPr="000F5A61">
              <w:rPr>
                <w:rFonts w:ascii="Arial" w:eastAsia="Arial" w:hAnsi="Arial" w:cs="Arial"/>
                <w:sz w:val="20"/>
                <w:szCs w:val="20"/>
              </w:rPr>
              <w:t>o</w:t>
            </w:r>
            <w:r w:rsidRPr="000F5A61">
              <w:rPr>
                <w:rFonts w:ascii="Arial" w:eastAsia="Arial" w:hAnsi="Arial" w:cs="Arial"/>
                <w:spacing w:val="-1"/>
                <w:sz w:val="20"/>
                <w:szCs w:val="20"/>
              </w:rPr>
              <w:t>u</w:t>
            </w:r>
            <w:r w:rsidRPr="000F5A61">
              <w:rPr>
                <w:rFonts w:ascii="Arial" w:eastAsia="Arial" w:hAnsi="Arial" w:cs="Arial"/>
                <w:spacing w:val="1"/>
                <w:sz w:val="20"/>
                <w:szCs w:val="20"/>
              </w:rPr>
              <w:t>rc</w:t>
            </w:r>
            <w:r w:rsidRPr="000F5A61">
              <w:rPr>
                <w:rFonts w:ascii="Arial" w:eastAsia="Arial" w:hAnsi="Arial" w:cs="Arial"/>
                <w:sz w:val="20"/>
                <w:szCs w:val="20"/>
              </w:rPr>
              <w:t xml:space="preserve">es </w:t>
            </w:r>
            <w:r w:rsidRPr="000F5A61">
              <w:rPr>
                <w:rFonts w:ascii="Arial" w:eastAsia="Arial" w:hAnsi="Arial" w:cs="Arial"/>
                <w:spacing w:val="2"/>
                <w:sz w:val="20"/>
                <w:szCs w:val="20"/>
              </w:rPr>
              <w:t>f</w:t>
            </w:r>
            <w:r w:rsidRPr="000F5A61">
              <w:rPr>
                <w:rFonts w:ascii="Arial" w:eastAsia="Arial" w:hAnsi="Arial" w:cs="Arial"/>
                <w:sz w:val="20"/>
                <w:szCs w:val="20"/>
              </w:rPr>
              <w:t>orh</w:t>
            </w:r>
            <w:r w:rsidRPr="000F5A61">
              <w:rPr>
                <w:rFonts w:ascii="Arial" w:eastAsia="Arial" w:hAnsi="Arial" w:cs="Arial"/>
                <w:spacing w:val="1"/>
                <w:sz w:val="20"/>
                <w:szCs w:val="20"/>
              </w:rPr>
              <w:t>e</w:t>
            </w:r>
            <w:r w:rsidRPr="000F5A61">
              <w:rPr>
                <w:rFonts w:ascii="Arial" w:eastAsia="Arial" w:hAnsi="Arial" w:cs="Arial"/>
                <w:sz w:val="20"/>
                <w:szCs w:val="20"/>
              </w:rPr>
              <w:t>a</w:t>
            </w:r>
            <w:r w:rsidRPr="000F5A61">
              <w:rPr>
                <w:rFonts w:ascii="Arial" w:eastAsia="Arial" w:hAnsi="Arial" w:cs="Arial"/>
                <w:spacing w:val="-1"/>
                <w:sz w:val="20"/>
                <w:szCs w:val="20"/>
              </w:rPr>
              <w:t>l</w:t>
            </w:r>
            <w:r w:rsidRPr="000F5A61">
              <w:rPr>
                <w:rFonts w:ascii="Arial" w:eastAsia="Arial" w:hAnsi="Arial" w:cs="Arial"/>
                <w:sz w:val="20"/>
                <w:szCs w:val="20"/>
              </w:rPr>
              <w:t>thaswe</w:t>
            </w:r>
            <w:r w:rsidRPr="000F5A61">
              <w:rPr>
                <w:rFonts w:ascii="Arial" w:eastAsia="Arial" w:hAnsi="Arial" w:cs="Arial"/>
                <w:spacing w:val="1"/>
                <w:sz w:val="20"/>
                <w:szCs w:val="20"/>
              </w:rPr>
              <w:t>l</w:t>
            </w:r>
            <w:r w:rsidRPr="000F5A61">
              <w:rPr>
                <w:rFonts w:ascii="Arial" w:eastAsia="Arial" w:hAnsi="Arial" w:cs="Arial"/>
                <w:sz w:val="20"/>
                <w:szCs w:val="20"/>
              </w:rPr>
              <w:t>lastoe</w:t>
            </w:r>
            <w:r w:rsidRPr="000F5A61">
              <w:rPr>
                <w:rFonts w:ascii="Arial" w:eastAsia="Arial" w:hAnsi="Arial" w:cs="Arial"/>
                <w:spacing w:val="1"/>
                <w:sz w:val="20"/>
                <w:szCs w:val="20"/>
              </w:rPr>
              <w:t>n</w:t>
            </w:r>
            <w:r w:rsidRPr="000F5A61">
              <w:rPr>
                <w:rFonts w:ascii="Arial" w:eastAsia="Arial" w:hAnsi="Arial" w:cs="Arial"/>
                <w:sz w:val="20"/>
                <w:szCs w:val="20"/>
              </w:rPr>
              <w:t>a</w:t>
            </w:r>
            <w:r w:rsidRPr="000F5A61">
              <w:rPr>
                <w:rFonts w:ascii="Arial" w:eastAsia="Arial" w:hAnsi="Arial" w:cs="Arial"/>
                <w:spacing w:val="-1"/>
                <w:sz w:val="20"/>
                <w:szCs w:val="20"/>
              </w:rPr>
              <w:t>b</w:t>
            </w:r>
            <w:r w:rsidRPr="000F5A61">
              <w:rPr>
                <w:rFonts w:ascii="Arial" w:eastAsia="Arial" w:hAnsi="Arial" w:cs="Arial"/>
                <w:spacing w:val="1"/>
                <w:sz w:val="20"/>
                <w:szCs w:val="20"/>
              </w:rPr>
              <w:t>l</w:t>
            </w:r>
            <w:r w:rsidRPr="000F5A61">
              <w:rPr>
                <w:rFonts w:ascii="Arial" w:eastAsia="Arial" w:hAnsi="Arial" w:cs="Arial"/>
                <w:sz w:val="20"/>
                <w:szCs w:val="20"/>
              </w:rPr>
              <w:t>e</w:t>
            </w:r>
            <w:r w:rsidRPr="000F5A61">
              <w:rPr>
                <w:rFonts w:ascii="Arial" w:eastAsia="Arial" w:hAnsi="Arial" w:cs="Arial"/>
                <w:spacing w:val="2"/>
                <w:sz w:val="20"/>
                <w:szCs w:val="20"/>
              </w:rPr>
              <w:t xml:space="preserve"> g</w:t>
            </w:r>
            <w:r w:rsidRPr="000F5A61">
              <w:rPr>
                <w:rFonts w:ascii="Arial" w:eastAsia="Arial" w:hAnsi="Arial" w:cs="Arial"/>
                <w:spacing w:val="1"/>
                <w:sz w:val="20"/>
                <w:szCs w:val="20"/>
              </w:rPr>
              <w:t>r</w:t>
            </w:r>
            <w:r w:rsidRPr="000F5A61">
              <w:rPr>
                <w:rFonts w:ascii="Arial" w:eastAsia="Arial" w:hAnsi="Arial" w:cs="Arial"/>
                <w:sz w:val="20"/>
                <w:szCs w:val="20"/>
              </w:rPr>
              <w:t>e</w:t>
            </w:r>
            <w:r w:rsidRPr="000F5A61">
              <w:rPr>
                <w:rFonts w:ascii="Arial" w:eastAsia="Arial" w:hAnsi="Arial" w:cs="Arial"/>
                <w:spacing w:val="-1"/>
                <w:sz w:val="20"/>
                <w:szCs w:val="20"/>
              </w:rPr>
              <w:t>a</w:t>
            </w:r>
            <w:r w:rsidRPr="000F5A61">
              <w:rPr>
                <w:rFonts w:ascii="Arial" w:eastAsia="Arial" w:hAnsi="Arial" w:cs="Arial"/>
                <w:sz w:val="20"/>
                <w:szCs w:val="20"/>
              </w:rPr>
              <w:t>tere</w:t>
            </w:r>
            <w:r w:rsidRPr="000F5A61">
              <w:rPr>
                <w:rFonts w:ascii="Arial" w:eastAsia="Arial" w:hAnsi="Arial" w:cs="Arial"/>
                <w:spacing w:val="2"/>
                <w:sz w:val="20"/>
                <w:szCs w:val="20"/>
              </w:rPr>
              <w:t>ff</w:t>
            </w:r>
            <w:r w:rsidRPr="000F5A61">
              <w:rPr>
                <w:rFonts w:ascii="Arial" w:eastAsia="Arial" w:hAnsi="Arial" w:cs="Arial"/>
                <w:spacing w:val="-1"/>
                <w:sz w:val="20"/>
                <w:szCs w:val="20"/>
              </w:rPr>
              <w:t>i</w:t>
            </w:r>
            <w:r w:rsidRPr="000F5A61">
              <w:rPr>
                <w:rFonts w:ascii="Arial" w:eastAsia="Arial" w:hAnsi="Arial" w:cs="Arial"/>
                <w:spacing w:val="1"/>
                <w:sz w:val="20"/>
                <w:szCs w:val="20"/>
              </w:rPr>
              <w:t>c</w:t>
            </w:r>
            <w:r w:rsidRPr="000F5A61">
              <w:rPr>
                <w:rFonts w:ascii="Arial" w:eastAsia="Arial" w:hAnsi="Arial" w:cs="Arial"/>
                <w:spacing w:val="-1"/>
                <w:sz w:val="20"/>
                <w:szCs w:val="20"/>
              </w:rPr>
              <w:t>i</w:t>
            </w:r>
            <w:r w:rsidRPr="000F5A61">
              <w:rPr>
                <w:rFonts w:ascii="Arial" w:eastAsia="Arial" w:hAnsi="Arial" w:cs="Arial"/>
                <w:sz w:val="20"/>
                <w:szCs w:val="20"/>
              </w:rPr>
              <w:t>e</w:t>
            </w:r>
            <w:r w:rsidRPr="000F5A61">
              <w:rPr>
                <w:rFonts w:ascii="Arial" w:eastAsia="Arial" w:hAnsi="Arial" w:cs="Arial"/>
                <w:spacing w:val="-1"/>
                <w:sz w:val="20"/>
                <w:szCs w:val="20"/>
              </w:rPr>
              <w:t>n</w:t>
            </w:r>
            <w:r w:rsidRPr="000F5A61">
              <w:rPr>
                <w:rFonts w:ascii="Arial" w:eastAsia="Arial" w:hAnsi="Arial" w:cs="Arial"/>
                <w:spacing w:val="6"/>
                <w:sz w:val="20"/>
                <w:szCs w:val="20"/>
              </w:rPr>
              <w:t>c</w:t>
            </w:r>
            <w:r w:rsidRPr="000F5A61">
              <w:rPr>
                <w:rFonts w:ascii="Arial" w:eastAsia="Arial" w:hAnsi="Arial" w:cs="Arial"/>
                <w:sz w:val="20"/>
                <w:szCs w:val="20"/>
              </w:rPr>
              <w:t>y a</w:t>
            </w:r>
            <w:r w:rsidRPr="000F5A61">
              <w:rPr>
                <w:rFonts w:ascii="Arial" w:eastAsia="Arial" w:hAnsi="Arial" w:cs="Arial"/>
                <w:spacing w:val="-1"/>
                <w:sz w:val="20"/>
                <w:szCs w:val="20"/>
              </w:rPr>
              <w:t>n</w:t>
            </w:r>
            <w:r w:rsidRPr="000F5A61">
              <w:rPr>
                <w:rFonts w:ascii="Arial" w:eastAsia="Arial" w:hAnsi="Arial" w:cs="Arial"/>
                <w:sz w:val="20"/>
                <w:szCs w:val="20"/>
              </w:rPr>
              <w:t>de</w:t>
            </w:r>
            <w:r w:rsidRPr="000F5A61">
              <w:rPr>
                <w:rFonts w:ascii="Arial" w:eastAsia="Arial" w:hAnsi="Arial" w:cs="Arial"/>
                <w:spacing w:val="2"/>
                <w:sz w:val="20"/>
                <w:szCs w:val="20"/>
              </w:rPr>
              <w:t>ff</w:t>
            </w:r>
            <w:r w:rsidRPr="000F5A61">
              <w:rPr>
                <w:rFonts w:ascii="Arial" w:eastAsia="Arial" w:hAnsi="Arial" w:cs="Arial"/>
                <w:sz w:val="20"/>
                <w:szCs w:val="20"/>
              </w:rPr>
              <w:t>e</w:t>
            </w:r>
            <w:r w:rsidRPr="000F5A61">
              <w:rPr>
                <w:rFonts w:ascii="Arial" w:eastAsia="Arial" w:hAnsi="Arial" w:cs="Arial"/>
                <w:spacing w:val="1"/>
                <w:sz w:val="20"/>
                <w:szCs w:val="20"/>
              </w:rPr>
              <w:t>c</w:t>
            </w:r>
            <w:r w:rsidRPr="000F5A61">
              <w:rPr>
                <w:rFonts w:ascii="Arial" w:eastAsia="Arial" w:hAnsi="Arial" w:cs="Arial"/>
                <w:sz w:val="20"/>
                <w:szCs w:val="20"/>
              </w:rPr>
              <w:t>t</w:t>
            </w:r>
            <w:r w:rsidRPr="000F5A61">
              <w:rPr>
                <w:rFonts w:ascii="Arial" w:eastAsia="Arial" w:hAnsi="Arial" w:cs="Arial"/>
                <w:spacing w:val="-1"/>
                <w:sz w:val="20"/>
                <w:szCs w:val="20"/>
              </w:rPr>
              <w:t>iv</w:t>
            </w:r>
            <w:r w:rsidRPr="000F5A61">
              <w:rPr>
                <w:rFonts w:ascii="Arial" w:eastAsia="Arial" w:hAnsi="Arial" w:cs="Arial"/>
                <w:sz w:val="20"/>
                <w:szCs w:val="20"/>
              </w:rPr>
              <w:t>e</w:t>
            </w:r>
            <w:r w:rsidRPr="000F5A61">
              <w:rPr>
                <w:rFonts w:ascii="Arial" w:eastAsia="Arial" w:hAnsi="Arial" w:cs="Arial"/>
                <w:spacing w:val="-1"/>
                <w:sz w:val="20"/>
                <w:szCs w:val="20"/>
              </w:rPr>
              <w:t>n</w:t>
            </w:r>
            <w:r w:rsidRPr="000F5A61">
              <w:rPr>
                <w:rFonts w:ascii="Arial" w:eastAsia="Arial" w:hAnsi="Arial" w:cs="Arial"/>
                <w:sz w:val="20"/>
                <w:szCs w:val="20"/>
              </w:rPr>
              <w:t>e</w:t>
            </w:r>
            <w:r w:rsidRPr="000F5A61">
              <w:rPr>
                <w:rFonts w:ascii="Arial" w:eastAsia="Arial" w:hAnsi="Arial" w:cs="Arial"/>
                <w:spacing w:val="1"/>
                <w:sz w:val="20"/>
                <w:szCs w:val="20"/>
              </w:rPr>
              <w:t>s</w:t>
            </w:r>
            <w:r w:rsidRPr="000F5A61">
              <w:rPr>
                <w:rFonts w:ascii="Arial" w:eastAsia="Arial" w:hAnsi="Arial" w:cs="Arial"/>
                <w:sz w:val="20"/>
                <w:szCs w:val="20"/>
              </w:rPr>
              <w:t>sofh</w:t>
            </w:r>
            <w:r w:rsidRPr="000F5A61">
              <w:rPr>
                <w:rFonts w:ascii="Arial" w:eastAsia="Arial" w:hAnsi="Arial" w:cs="Arial"/>
                <w:spacing w:val="-1"/>
                <w:sz w:val="20"/>
                <w:szCs w:val="20"/>
              </w:rPr>
              <w:t>e</w:t>
            </w:r>
            <w:r w:rsidRPr="000F5A61">
              <w:rPr>
                <w:rFonts w:ascii="Arial" w:eastAsia="Arial" w:hAnsi="Arial" w:cs="Arial"/>
                <w:spacing w:val="2"/>
                <w:sz w:val="20"/>
                <w:szCs w:val="20"/>
              </w:rPr>
              <w:t>a</w:t>
            </w:r>
            <w:r w:rsidRPr="000F5A61">
              <w:rPr>
                <w:rFonts w:ascii="Arial" w:eastAsia="Arial" w:hAnsi="Arial" w:cs="Arial"/>
                <w:spacing w:val="-1"/>
                <w:sz w:val="20"/>
                <w:szCs w:val="20"/>
              </w:rPr>
              <w:t>l</w:t>
            </w:r>
            <w:r w:rsidRPr="000F5A61">
              <w:rPr>
                <w:rFonts w:ascii="Arial" w:eastAsia="Arial" w:hAnsi="Arial" w:cs="Arial"/>
                <w:sz w:val="20"/>
                <w:szCs w:val="20"/>
              </w:rPr>
              <w:t>th</w:t>
            </w:r>
            <w:r w:rsidRPr="000F5A61">
              <w:rPr>
                <w:rFonts w:ascii="Arial" w:eastAsia="Arial" w:hAnsi="Arial" w:cs="Arial"/>
                <w:spacing w:val="1"/>
                <w:sz w:val="20"/>
                <w:szCs w:val="20"/>
              </w:rPr>
              <w:t>s</w:t>
            </w:r>
            <w:r w:rsidRPr="000F5A61">
              <w:rPr>
                <w:rFonts w:ascii="Arial" w:eastAsia="Arial" w:hAnsi="Arial" w:cs="Arial"/>
                <w:sz w:val="20"/>
                <w:szCs w:val="20"/>
              </w:rPr>
              <w:t>p</w:t>
            </w:r>
            <w:r w:rsidRPr="000F5A61">
              <w:rPr>
                <w:rFonts w:ascii="Arial" w:eastAsia="Arial" w:hAnsi="Arial" w:cs="Arial"/>
                <w:spacing w:val="-1"/>
                <w:sz w:val="20"/>
                <w:szCs w:val="20"/>
              </w:rPr>
              <w:t>e</w:t>
            </w:r>
            <w:r w:rsidRPr="000F5A61">
              <w:rPr>
                <w:rFonts w:ascii="Arial" w:eastAsia="Arial" w:hAnsi="Arial" w:cs="Arial"/>
                <w:sz w:val="20"/>
                <w:szCs w:val="20"/>
              </w:rPr>
              <w:t>n</w:t>
            </w:r>
            <w:r w:rsidRPr="000F5A61">
              <w:rPr>
                <w:rFonts w:ascii="Arial" w:eastAsia="Arial" w:hAnsi="Arial" w:cs="Arial"/>
                <w:spacing w:val="1"/>
                <w:sz w:val="20"/>
                <w:szCs w:val="20"/>
              </w:rPr>
              <w:t>d</w:t>
            </w:r>
            <w:r w:rsidRPr="000F5A61">
              <w:rPr>
                <w:rFonts w:ascii="Arial" w:eastAsia="Arial" w:hAnsi="Arial" w:cs="Arial"/>
                <w:spacing w:val="-1"/>
                <w:sz w:val="20"/>
                <w:szCs w:val="20"/>
              </w:rPr>
              <w:t>i</w:t>
            </w:r>
            <w:r w:rsidRPr="000F5A61">
              <w:rPr>
                <w:rFonts w:ascii="Arial" w:eastAsia="Arial" w:hAnsi="Arial" w:cs="Arial"/>
                <w:sz w:val="20"/>
                <w:szCs w:val="20"/>
              </w:rPr>
              <w:t>n</w:t>
            </w:r>
            <w:r w:rsidRPr="000F5A61">
              <w:rPr>
                <w:rFonts w:ascii="Arial" w:eastAsia="Arial" w:hAnsi="Arial" w:cs="Arial"/>
                <w:spacing w:val="5"/>
                <w:sz w:val="20"/>
                <w:szCs w:val="20"/>
              </w:rPr>
              <w:t>g</w:t>
            </w:r>
            <w:r w:rsidRPr="000F5A61">
              <w:rPr>
                <w:rFonts w:ascii="Arial" w:eastAsia="Arial" w:hAnsi="Arial" w:cs="Arial"/>
                <w:sz w:val="20"/>
                <w:szCs w:val="20"/>
              </w:rPr>
              <w:t>?</w:t>
            </w:r>
            <w:r w:rsidRPr="000F5A61">
              <w:rPr>
                <w:rFonts w:ascii="Arial" w:eastAsia="Arial" w:hAnsi="Arial" w:cs="Arial"/>
                <w:b/>
                <w:sz w:val="20"/>
                <w:szCs w:val="20"/>
              </w:rPr>
              <w:t>Ify</w:t>
            </w:r>
            <w:r w:rsidRPr="000F5A61">
              <w:rPr>
                <w:rFonts w:ascii="Arial" w:eastAsia="Arial" w:hAnsi="Arial" w:cs="Arial"/>
                <w:b/>
                <w:spacing w:val="-1"/>
                <w:sz w:val="20"/>
                <w:szCs w:val="20"/>
              </w:rPr>
              <w:t>e</w:t>
            </w:r>
            <w:r w:rsidRPr="000F5A61">
              <w:rPr>
                <w:rFonts w:ascii="Arial" w:eastAsia="Arial" w:hAnsi="Arial" w:cs="Arial"/>
                <w:b/>
                <w:sz w:val="20"/>
                <w:szCs w:val="20"/>
              </w:rPr>
              <w:t>s,</w:t>
            </w:r>
            <w:r w:rsidRPr="000F5A61">
              <w:rPr>
                <w:rFonts w:ascii="Arial" w:eastAsia="Arial" w:hAnsi="Arial" w:cs="Arial"/>
                <w:sz w:val="20"/>
                <w:szCs w:val="20"/>
              </w:rPr>
              <w:t>pro</w:t>
            </w:r>
            <w:r w:rsidRPr="000F5A61">
              <w:rPr>
                <w:rFonts w:ascii="Arial" w:eastAsia="Arial" w:hAnsi="Arial" w:cs="Arial"/>
                <w:spacing w:val="1"/>
                <w:sz w:val="20"/>
                <w:szCs w:val="20"/>
              </w:rPr>
              <w:t>v</w:t>
            </w:r>
            <w:r w:rsidRPr="000F5A61">
              <w:rPr>
                <w:rFonts w:ascii="Arial" w:eastAsia="Arial" w:hAnsi="Arial" w:cs="Arial"/>
                <w:spacing w:val="-1"/>
                <w:sz w:val="20"/>
                <w:szCs w:val="20"/>
              </w:rPr>
              <w:t>i</w:t>
            </w:r>
            <w:r w:rsidRPr="000F5A61">
              <w:rPr>
                <w:rFonts w:ascii="Arial" w:eastAsia="Arial" w:hAnsi="Arial" w:cs="Arial"/>
                <w:spacing w:val="2"/>
                <w:sz w:val="20"/>
                <w:szCs w:val="20"/>
              </w:rPr>
              <w:t>d</w:t>
            </w:r>
            <w:r w:rsidRPr="000F5A61">
              <w:rPr>
                <w:rFonts w:ascii="Arial" w:eastAsia="Arial" w:hAnsi="Arial" w:cs="Arial"/>
                <w:sz w:val="20"/>
                <w:szCs w:val="20"/>
              </w:rPr>
              <w:t>e</w:t>
            </w:r>
            <w:r w:rsidRPr="000F5A61">
              <w:rPr>
                <w:rFonts w:ascii="Arial" w:eastAsia="Arial" w:hAnsi="Arial" w:cs="Arial"/>
                <w:spacing w:val="1"/>
                <w:sz w:val="20"/>
                <w:szCs w:val="20"/>
              </w:rPr>
              <w:t>d</w:t>
            </w:r>
            <w:r w:rsidRPr="000F5A61">
              <w:rPr>
                <w:rFonts w:ascii="Arial" w:eastAsia="Arial" w:hAnsi="Arial" w:cs="Arial"/>
                <w:sz w:val="20"/>
                <w:szCs w:val="20"/>
              </w:rPr>
              <w:t>et</w:t>
            </w:r>
            <w:r w:rsidRPr="000F5A61">
              <w:rPr>
                <w:rFonts w:ascii="Arial" w:eastAsia="Arial" w:hAnsi="Arial" w:cs="Arial"/>
                <w:spacing w:val="-1"/>
                <w:sz w:val="20"/>
                <w:szCs w:val="20"/>
              </w:rPr>
              <w:t>a</w:t>
            </w:r>
            <w:r w:rsidRPr="000F5A61">
              <w:rPr>
                <w:rFonts w:ascii="Arial" w:eastAsia="Arial" w:hAnsi="Arial" w:cs="Arial"/>
                <w:spacing w:val="1"/>
                <w:sz w:val="20"/>
                <w:szCs w:val="20"/>
              </w:rPr>
              <w:t>i</w:t>
            </w:r>
            <w:r w:rsidRPr="000F5A61">
              <w:rPr>
                <w:rFonts w:ascii="Arial" w:eastAsia="Arial" w:hAnsi="Arial" w:cs="Arial"/>
                <w:spacing w:val="-1"/>
                <w:sz w:val="20"/>
                <w:szCs w:val="20"/>
              </w:rPr>
              <w:t>l</w:t>
            </w:r>
            <w:r w:rsidRPr="000F5A61">
              <w:rPr>
                <w:rFonts w:ascii="Arial" w:eastAsia="Arial" w:hAnsi="Arial" w:cs="Arial"/>
                <w:sz w:val="20"/>
                <w:szCs w:val="20"/>
              </w:rPr>
              <w:t>sb</w:t>
            </w:r>
            <w:r w:rsidRPr="000F5A61">
              <w:rPr>
                <w:rFonts w:ascii="Arial" w:eastAsia="Arial" w:hAnsi="Arial" w:cs="Arial"/>
                <w:spacing w:val="1"/>
                <w:sz w:val="20"/>
                <w:szCs w:val="20"/>
              </w:rPr>
              <w:t>e</w:t>
            </w:r>
            <w:r w:rsidRPr="000F5A61">
              <w:rPr>
                <w:rFonts w:ascii="Arial" w:eastAsia="Arial" w:hAnsi="Arial" w:cs="Arial"/>
                <w:spacing w:val="-1"/>
                <w:sz w:val="20"/>
                <w:szCs w:val="20"/>
              </w:rPr>
              <w:t>l</w:t>
            </w:r>
            <w:r w:rsidRPr="000F5A61">
              <w:rPr>
                <w:rFonts w:ascii="Arial" w:eastAsia="Arial" w:hAnsi="Arial" w:cs="Arial"/>
                <w:spacing w:val="2"/>
                <w:sz w:val="20"/>
                <w:szCs w:val="20"/>
              </w:rPr>
              <w:t>o</w:t>
            </w:r>
            <w:r w:rsidRPr="000F5A61">
              <w:rPr>
                <w:rFonts w:ascii="Arial" w:eastAsia="Arial" w:hAnsi="Arial" w:cs="Arial"/>
                <w:sz w:val="20"/>
                <w:szCs w:val="20"/>
              </w:rPr>
              <w:t>w.</w:t>
            </w:r>
          </w:p>
        </w:tc>
        <w:tc>
          <w:tcPr>
            <w:tcW w:w="2096" w:type="dxa"/>
            <w:tcBorders>
              <w:top w:val="single" w:sz="5" w:space="0" w:color="808080"/>
              <w:left w:val="single" w:sz="5" w:space="0" w:color="808080"/>
              <w:bottom w:val="single" w:sz="5" w:space="0" w:color="808080"/>
              <w:right w:val="single" w:sz="5" w:space="0" w:color="808080"/>
            </w:tcBorders>
          </w:tcPr>
          <w:p w:rsidR="00C31623" w:rsidRPr="000F5A61" w:rsidRDefault="00C31623" w:rsidP="005A251C">
            <w:pPr>
              <w:spacing w:before="8" w:line="120" w:lineRule="exact"/>
              <w:rPr>
                <w:rFonts w:ascii="Arial" w:hAnsi="Arial" w:cs="Arial"/>
                <w:sz w:val="20"/>
                <w:szCs w:val="20"/>
              </w:rPr>
            </w:pPr>
          </w:p>
          <w:p w:rsidR="00C31623" w:rsidRPr="000F5A61" w:rsidRDefault="00C31623" w:rsidP="005A251C">
            <w:pPr>
              <w:spacing w:line="200" w:lineRule="exact"/>
              <w:rPr>
                <w:rFonts w:ascii="Arial" w:hAnsi="Arial" w:cs="Arial"/>
                <w:sz w:val="20"/>
                <w:szCs w:val="20"/>
              </w:rPr>
            </w:pPr>
          </w:p>
          <w:p w:rsidR="00C31623" w:rsidRPr="000F5A61" w:rsidRDefault="003A3853" w:rsidP="005A251C">
            <w:pPr>
              <w:ind w:left="136"/>
              <w:rPr>
                <w:rFonts w:ascii="Arial" w:eastAsia="Arial" w:hAnsi="Arial" w:cs="Arial"/>
                <w:sz w:val="20"/>
                <w:szCs w:val="20"/>
              </w:rPr>
            </w:pPr>
            <w:r w:rsidRPr="003A3853">
              <w:rPr>
                <w:rFonts w:ascii="Segoe UI Symbol" w:eastAsia="Segoe UI Symbol" w:hAnsi="Segoe UI Symbol" w:cs="Arial"/>
                <w:sz w:val="20"/>
                <w:szCs w:val="20"/>
              </w:rPr>
              <w:t>☑</w:t>
            </w:r>
            <w:r w:rsidR="00C31623" w:rsidRPr="000F5A61">
              <w:rPr>
                <w:rFonts w:ascii="Arial" w:eastAsia="Arial" w:hAnsi="Arial" w:cs="Arial"/>
                <w:spacing w:val="-1"/>
                <w:sz w:val="20"/>
                <w:szCs w:val="20"/>
              </w:rPr>
              <w:t>Y</w:t>
            </w:r>
            <w:r w:rsidR="00C31623" w:rsidRPr="000F5A61">
              <w:rPr>
                <w:rFonts w:ascii="Arial" w:eastAsia="Arial" w:hAnsi="Arial" w:cs="Arial"/>
                <w:sz w:val="20"/>
                <w:szCs w:val="20"/>
              </w:rPr>
              <w:t xml:space="preserve">es        </w:t>
            </w:r>
            <w:r w:rsidR="00C31623" w:rsidRPr="000F5A61">
              <w:rPr>
                <w:rFonts w:ascii="Arial" w:eastAsia="Segoe UI Symbol" w:hAnsi="Arial" w:cs="Arial"/>
                <w:sz w:val="20"/>
                <w:szCs w:val="20"/>
              </w:rPr>
              <w:t>☐</w:t>
            </w:r>
            <w:r w:rsidR="00C31623" w:rsidRPr="000F5A61">
              <w:rPr>
                <w:rFonts w:ascii="Arial" w:eastAsia="Arial" w:hAnsi="Arial" w:cs="Arial"/>
                <w:sz w:val="20"/>
                <w:szCs w:val="20"/>
              </w:rPr>
              <w:t>No</w:t>
            </w:r>
          </w:p>
        </w:tc>
      </w:tr>
      <w:tr w:rsidR="00C31623" w:rsidRPr="000F5A61" w:rsidTr="005A251C">
        <w:trPr>
          <w:trHeight w:hRule="exact" w:val="938"/>
        </w:trPr>
        <w:tc>
          <w:tcPr>
            <w:tcW w:w="6798" w:type="dxa"/>
            <w:tcBorders>
              <w:top w:val="single" w:sz="5" w:space="0" w:color="808080"/>
              <w:left w:val="single" w:sz="5" w:space="0" w:color="808080"/>
              <w:bottom w:val="single" w:sz="5" w:space="0" w:color="808080"/>
              <w:right w:val="single" w:sz="5" w:space="0" w:color="808080"/>
            </w:tcBorders>
            <w:shd w:val="clear" w:color="auto" w:fill="F1F1F1"/>
          </w:tcPr>
          <w:p w:rsidR="00C31623" w:rsidRPr="000F5A61" w:rsidRDefault="00C31623" w:rsidP="005A251C">
            <w:pPr>
              <w:spacing w:before="8" w:line="100" w:lineRule="exact"/>
              <w:rPr>
                <w:rFonts w:ascii="Arial" w:hAnsi="Arial" w:cs="Arial"/>
                <w:sz w:val="20"/>
                <w:szCs w:val="20"/>
              </w:rPr>
            </w:pPr>
          </w:p>
          <w:p w:rsidR="00C31623" w:rsidRPr="000F5A61" w:rsidRDefault="00C31623" w:rsidP="005A251C">
            <w:pPr>
              <w:ind w:left="412" w:right="105" w:hanging="283"/>
              <w:jc w:val="both"/>
              <w:rPr>
                <w:rFonts w:ascii="Arial" w:eastAsia="Arial" w:hAnsi="Arial" w:cs="Arial"/>
                <w:sz w:val="20"/>
                <w:szCs w:val="20"/>
              </w:rPr>
            </w:pPr>
            <w:r w:rsidRPr="000F5A61">
              <w:rPr>
                <w:rFonts w:ascii="Arial" w:eastAsia="Arial" w:hAnsi="Arial" w:cs="Arial"/>
                <w:sz w:val="20"/>
                <w:szCs w:val="20"/>
              </w:rPr>
              <w:t>b)</w:t>
            </w:r>
            <w:r w:rsidR="00976815">
              <w:rPr>
                <w:rFonts w:ascii="Arial" w:eastAsia="Arial" w:hAnsi="Arial" w:cs="Arial"/>
                <w:sz w:val="20"/>
                <w:szCs w:val="20"/>
              </w:rPr>
              <w:t>Is</w:t>
            </w:r>
            <w:r w:rsidRPr="000F5A61">
              <w:rPr>
                <w:rFonts w:ascii="Arial" w:eastAsia="Arial" w:hAnsi="Arial" w:cs="Arial"/>
                <w:sz w:val="20"/>
                <w:szCs w:val="20"/>
              </w:rPr>
              <w:t>th</w:t>
            </w:r>
            <w:r w:rsidRPr="000F5A61">
              <w:rPr>
                <w:rFonts w:ascii="Arial" w:eastAsia="Arial" w:hAnsi="Arial" w:cs="Arial"/>
                <w:spacing w:val="-1"/>
                <w:sz w:val="20"/>
                <w:szCs w:val="20"/>
              </w:rPr>
              <w:t>i</w:t>
            </w:r>
            <w:r w:rsidRPr="000F5A61">
              <w:rPr>
                <w:rFonts w:ascii="Arial" w:eastAsia="Arial" w:hAnsi="Arial" w:cs="Arial"/>
                <w:sz w:val="20"/>
                <w:szCs w:val="20"/>
              </w:rPr>
              <w:t xml:space="preserve">s </w:t>
            </w:r>
            <w:r w:rsidRPr="000F5A61">
              <w:rPr>
                <w:rFonts w:ascii="Arial" w:eastAsia="Arial" w:hAnsi="Arial" w:cs="Arial"/>
                <w:spacing w:val="1"/>
                <w:sz w:val="20"/>
                <w:szCs w:val="20"/>
              </w:rPr>
              <w:t>c</w:t>
            </w:r>
            <w:r w:rsidRPr="000F5A61">
              <w:rPr>
                <w:rFonts w:ascii="Arial" w:eastAsia="Arial" w:hAnsi="Arial" w:cs="Arial"/>
                <w:sz w:val="20"/>
                <w:szCs w:val="20"/>
              </w:rPr>
              <w:t>ur</w:t>
            </w:r>
            <w:r w:rsidRPr="000F5A61">
              <w:rPr>
                <w:rFonts w:ascii="Arial" w:eastAsia="Arial" w:hAnsi="Arial" w:cs="Arial"/>
                <w:spacing w:val="1"/>
                <w:sz w:val="20"/>
                <w:szCs w:val="20"/>
              </w:rPr>
              <w:t>r</w:t>
            </w:r>
            <w:r w:rsidRPr="000F5A61">
              <w:rPr>
                <w:rFonts w:ascii="Arial" w:eastAsia="Arial" w:hAnsi="Arial" w:cs="Arial"/>
                <w:sz w:val="20"/>
                <w:szCs w:val="20"/>
              </w:rPr>
              <w:t>e</w:t>
            </w:r>
            <w:r w:rsidRPr="000F5A61">
              <w:rPr>
                <w:rFonts w:ascii="Arial" w:eastAsia="Arial" w:hAnsi="Arial" w:cs="Arial"/>
                <w:spacing w:val="-1"/>
                <w:sz w:val="20"/>
                <w:szCs w:val="20"/>
              </w:rPr>
              <w:t>n</w:t>
            </w:r>
            <w:r w:rsidR="00976815">
              <w:rPr>
                <w:rFonts w:ascii="Arial" w:eastAsia="Arial" w:hAnsi="Arial" w:cs="Arial"/>
                <w:sz w:val="20"/>
                <w:szCs w:val="20"/>
              </w:rPr>
              <w:t>t</w:t>
            </w:r>
            <w:r w:rsidRPr="000F5A61">
              <w:rPr>
                <w:rFonts w:ascii="Arial" w:eastAsia="Arial" w:hAnsi="Arial" w:cs="Arial"/>
                <w:sz w:val="20"/>
                <w:szCs w:val="20"/>
              </w:rPr>
              <w:t>a</w:t>
            </w:r>
            <w:r w:rsidRPr="000F5A61">
              <w:rPr>
                <w:rFonts w:ascii="Arial" w:eastAsia="Arial" w:hAnsi="Arial" w:cs="Arial"/>
                <w:spacing w:val="1"/>
                <w:sz w:val="20"/>
                <w:szCs w:val="20"/>
              </w:rPr>
              <w:t>p</w:t>
            </w:r>
            <w:r w:rsidRPr="000F5A61">
              <w:rPr>
                <w:rFonts w:ascii="Arial" w:eastAsia="Arial" w:hAnsi="Arial" w:cs="Arial"/>
                <w:sz w:val="20"/>
                <w:szCs w:val="20"/>
              </w:rPr>
              <w:t>p</w:t>
            </w:r>
            <w:r w:rsidRPr="000F5A61">
              <w:rPr>
                <w:rFonts w:ascii="Arial" w:eastAsia="Arial" w:hAnsi="Arial" w:cs="Arial"/>
                <w:spacing w:val="1"/>
                <w:sz w:val="20"/>
                <w:szCs w:val="20"/>
              </w:rPr>
              <w:t>l</w:t>
            </w:r>
            <w:r w:rsidRPr="000F5A61">
              <w:rPr>
                <w:rFonts w:ascii="Arial" w:eastAsia="Arial" w:hAnsi="Arial" w:cs="Arial"/>
                <w:spacing w:val="-1"/>
                <w:sz w:val="20"/>
                <w:szCs w:val="20"/>
              </w:rPr>
              <w:t>i</w:t>
            </w:r>
            <w:r w:rsidRPr="000F5A61">
              <w:rPr>
                <w:rFonts w:ascii="Arial" w:eastAsia="Arial" w:hAnsi="Arial" w:cs="Arial"/>
                <w:spacing w:val="1"/>
                <w:sz w:val="20"/>
                <w:szCs w:val="20"/>
              </w:rPr>
              <w:t>c</w:t>
            </w:r>
            <w:r w:rsidRPr="000F5A61">
              <w:rPr>
                <w:rFonts w:ascii="Arial" w:eastAsia="Arial" w:hAnsi="Arial" w:cs="Arial"/>
                <w:sz w:val="20"/>
                <w:szCs w:val="20"/>
              </w:rPr>
              <w:t>at</w:t>
            </w:r>
            <w:r w:rsidRPr="000F5A61">
              <w:rPr>
                <w:rFonts w:ascii="Arial" w:eastAsia="Arial" w:hAnsi="Arial" w:cs="Arial"/>
                <w:spacing w:val="1"/>
                <w:sz w:val="20"/>
                <w:szCs w:val="20"/>
              </w:rPr>
              <w:t>i</w:t>
            </w:r>
            <w:r w:rsidRPr="000F5A61">
              <w:rPr>
                <w:rFonts w:ascii="Arial" w:eastAsia="Arial" w:hAnsi="Arial" w:cs="Arial"/>
                <w:spacing w:val="2"/>
                <w:sz w:val="20"/>
                <w:szCs w:val="20"/>
              </w:rPr>
              <w:t>o</w:t>
            </w:r>
            <w:r w:rsidR="00976815">
              <w:rPr>
                <w:rFonts w:ascii="Arial" w:eastAsia="Arial" w:hAnsi="Arial" w:cs="Arial"/>
                <w:sz w:val="20"/>
                <w:szCs w:val="20"/>
              </w:rPr>
              <w:t>n</w:t>
            </w:r>
            <w:r w:rsidRPr="000F5A61">
              <w:rPr>
                <w:rFonts w:ascii="Arial" w:eastAsia="Arial" w:hAnsi="Arial" w:cs="Arial"/>
                <w:spacing w:val="1"/>
                <w:sz w:val="20"/>
                <w:szCs w:val="20"/>
              </w:rPr>
              <w:t xml:space="preserve"> r</w:t>
            </w:r>
            <w:r w:rsidRPr="000F5A61">
              <w:rPr>
                <w:rFonts w:ascii="Arial" w:eastAsia="Arial" w:hAnsi="Arial" w:cs="Arial"/>
                <w:sz w:val="20"/>
                <w:szCs w:val="20"/>
              </w:rPr>
              <w:t>e</w:t>
            </w:r>
            <w:r w:rsidRPr="000F5A61">
              <w:rPr>
                <w:rFonts w:ascii="Arial" w:eastAsia="Arial" w:hAnsi="Arial" w:cs="Arial"/>
                <w:spacing w:val="-1"/>
                <w:sz w:val="20"/>
                <w:szCs w:val="20"/>
              </w:rPr>
              <w:t>q</w:t>
            </w:r>
            <w:r w:rsidRPr="000F5A61">
              <w:rPr>
                <w:rFonts w:ascii="Arial" w:eastAsia="Arial" w:hAnsi="Arial" w:cs="Arial"/>
                <w:sz w:val="20"/>
                <w:szCs w:val="20"/>
              </w:rPr>
              <w:t>u</w:t>
            </w:r>
            <w:r w:rsidRPr="000F5A61">
              <w:rPr>
                <w:rFonts w:ascii="Arial" w:eastAsia="Arial" w:hAnsi="Arial" w:cs="Arial"/>
                <w:spacing w:val="-1"/>
                <w:sz w:val="20"/>
                <w:szCs w:val="20"/>
              </w:rPr>
              <w:t>e</w:t>
            </w:r>
            <w:r w:rsidRPr="000F5A61">
              <w:rPr>
                <w:rFonts w:ascii="Arial" w:eastAsia="Arial" w:hAnsi="Arial" w:cs="Arial"/>
                <w:spacing w:val="1"/>
                <w:sz w:val="20"/>
                <w:szCs w:val="20"/>
              </w:rPr>
              <w:t>s</w:t>
            </w:r>
            <w:r w:rsidRPr="000F5A61">
              <w:rPr>
                <w:rFonts w:ascii="Arial" w:eastAsia="Arial" w:hAnsi="Arial" w:cs="Arial"/>
                <w:spacing w:val="2"/>
                <w:sz w:val="20"/>
                <w:szCs w:val="20"/>
              </w:rPr>
              <w:t>t</w:t>
            </w:r>
            <w:r w:rsidRPr="000F5A61">
              <w:rPr>
                <w:rFonts w:ascii="Arial" w:eastAsia="Arial" w:hAnsi="Arial" w:cs="Arial"/>
                <w:spacing w:val="-1"/>
                <w:sz w:val="20"/>
                <w:szCs w:val="20"/>
              </w:rPr>
              <w:t>i</w:t>
            </w:r>
            <w:r w:rsidR="00976815">
              <w:rPr>
                <w:rFonts w:ascii="Arial" w:eastAsia="Arial" w:hAnsi="Arial" w:cs="Arial"/>
                <w:sz w:val="20"/>
                <w:szCs w:val="20"/>
              </w:rPr>
              <w:t>ng</w:t>
            </w:r>
            <w:r w:rsidRPr="000F5A61">
              <w:rPr>
                <w:rFonts w:ascii="Arial" w:eastAsia="Arial" w:hAnsi="Arial" w:cs="Arial"/>
                <w:spacing w:val="3"/>
                <w:sz w:val="20"/>
                <w:szCs w:val="20"/>
              </w:rPr>
              <w:t>G</w:t>
            </w:r>
            <w:r w:rsidRPr="000F5A61">
              <w:rPr>
                <w:rFonts w:ascii="Arial" w:eastAsia="Arial" w:hAnsi="Arial" w:cs="Arial"/>
                <w:spacing w:val="-1"/>
                <w:sz w:val="20"/>
                <w:szCs w:val="20"/>
              </w:rPr>
              <w:t>l</w:t>
            </w:r>
            <w:r w:rsidRPr="000F5A61">
              <w:rPr>
                <w:rFonts w:ascii="Arial" w:eastAsia="Arial" w:hAnsi="Arial" w:cs="Arial"/>
                <w:sz w:val="20"/>
                <w:szCs w:val="20"/>
              </w:rPr>
              <w:t>o</w:t>
            </w:r>
            <w:r w:rsidRPr="000F5A61">
              <w:rPr>
                <w:rFonts w:ascii="Arial" w:eastAsia="Arial" w:hAnsi="Arial" w:cs="Arial"/>
                <w:spacing w:val="1"/>
                <w:sz w:val="20"/>
                <w:szCs w:val="20"/>
              </w:rPr>
              <w:t>b</w:t>
            </w:r>
            <w:r w:rsidRPr="000F5A61">
              <w:rPr>
                <w:rFonts w:ascii="Arial" w:eastAsia="Arial" w:hAnsi="Arial" w:cs="Arial"/>
                <w:sz w:val="20"/>
                <w:szCs w:val="20"/>
              </w:rPr>
              <w:t>al F</w:t>
            </w:r>
            <w:r w:rsidRPr="000F5A61">
              <w:rPr>
                <w:rFonts w:ascii="Arial" w:eastAsia="Arial" w:hAnsi="Arial" w:cs="Arial"/>
                <w:spacing w:val="2"/>
                <w:sz w:val="20"/>
                <w:szCs w:val="20"/>
              </w:rPr>
              <w:t>u</w:t>
            </w:r>
            <w:r w:rsidR="00976815">
              <w:rPr>
                <w:rFonts w:ascii="Arial" w:eastAsia="Arial" w:hAnsi="Arial" w:cs="Arial"/>
                <w:sz w:val="20"/>
                <w:szCs w:val="20"/>
              </w:rPr>
              <w:t>nd</w:t>
            </w:r>
            <w:r w:rsidRPr="000F5A61">
              <w:rPr>
                <w:rFonts w:ascii="Arial" w:eastAsia="Arial" w:hAnsi="Arial" w:cs="Arial"/>
                <w:spacing w:val="1"/>
                <w:sz w:val="20"/>
                <w:szCs w:val="20"/>
              </w:rPr>
              <w:t>s</w:t>
            </w:r>
            <w:r w:rsidRPr="000F5A61">
              <w:rPr>
                <w:rFonts w:ascii="Arial" w:eastAsia="Arial" w:hAnsi="Arial" w:cs="Arial"/>
                <w:sz w:val="20"/>
                <w:szCs w:val="20"/>
              </w:rPr>
              <w:t>u</w:t>
            </w:r>
            <w:r w:rsidRPr="000F5A61">
              <w:rPr>
                <w:rFonts w:ascii="Arial" w:eastAsia="Arial" w:hAnsi="Arial" w:cs="Arial"/>
                <w:spacing w:val="-1"/>
                <w:sz w:val="20"/>
                <w:szCs w:val="20"/>
              </w:rPr>
              <w:t>p</w:t>
            </w:r>
            <w:r w:rsidRPr="000F5A61">
              <w:rPr>
                <w:rFonts w:ascii="Arial" w:eastAsia="Arial" w:hAnsi="Arial" w:cs="Arial"/>
                <w:spacing w:val="2"/>
                <w:sz w:val="20"/>
                <w:szCs w:val="20"/>
              </w:rPr>
              <w:t>p</w:t>
            </w:r>
            <w:r w:rsidRPr="000F5A61">
              <w:rPr>
                <w:rFonts w:ascii="Arial" w:eastAsia="Arial" w:hAnsi="Arial" w:cs="Arial"/>
                <w:sz w:val="20"/>
                <w:szCs w:val="20"/>
              </w:rPr>
              <w:t xml:space="preserve">ort </w:t>
            </w:r>
            <w:r w:rsidRPr="000F5A61">
              <w:rPr>
                <w:rFonts w:ascii="Arial" w:eastAsia="Arial" w:hAnsi="Arial" w:cs="Arial"/>
                <w:spacing w:val="2"/>
                <w:sz w:val="20"/>
                <w:szCs w:val="20"/>
              </w:rPr>
              <w:t>f</w:t>
            </w:r>
            <w:r w:rsidRPr="000F5A61">
              <w:rPr>
                <w:rFonts w:ascii="Arial" w:eastAsia="Arial" w:hAnsi="Arial" w:cs="Arial"/>
                <w:sz w:val="20"/>
                <w:szCs w:val="20"/>
              </w:rPr>
              <w:t>or d</w:t>
            </w:r>
            <w:r w:rsidRPr="000F5A61">
              <w:rPr>
                <w:rFonts w:ascii="Arial" w:eastAsia="Arial" w:hAnsi="Arial" w:cs="Arial"/>
                <w:spacing w:val="-1"/>
                <w:sz w:val="20"/>
                <w:szCs w:val="20"/>
              </w:rPr>
              <w:t>e</w:t>
            </w:r>
            <w:r w:rsidRPr="000F5A61">
              <w:rPr>
                <w:rFonts w:ascii="Arial" w:eastAsia="Arial" w:hAnsi="Arial" w:cs="Arial"/>
                <w:spacing w:val="1"/>
                <w:sz w:val="20"/>
                <w:szCs w:val="20"/>
              </w:rPr>
              <w:t>v</w:t>
            </w:r>
            <w:r w:rsidRPr="000F5A61">
              <w:rPr>
                <w:rFonts w:ascii="Arial" w:eastAsia="Arial" w:hAnsi="Arial" w:cs="Arial"/>
                <w:sz w:val="20"/>
                <w:szCs w:val="20"/>
              </w:rPr>
              <w:t>e</w:t>
            </w:r>
            <w:r w:rsidRPr="000F5A61">
              <w:rPr>
                <w:rFonts w:ascii="Arial" w:eastAsia="Arial" w:hAnsi="Arial" w:cs="Arial"/>
                <w:spacing w:val="1"/>
                <w:sz w:val="20"/>
                <w:szCs w:val="20"/>
              </w:rPr>
              <w:t>l</w:t>
            </w:r>
            <w:r w:rsidRPr="000F5A61">
              <w:rPr>
                <w:rFonts w:ascii="Arial" w:eastAsia="Arial" w:hAnsi="Arial" w:cs="Arial"/>
                <w:sz w:val="20"/>
                <w:szCs w:val="20"/>
              </w:rPr>
              <w:t>o</w:t>
            </w:r>
            <w:r w:rsidRPr="000F5A61">
              <w:rPr>
                <w:rFonts w:ascii="Arial" w:eastAsia="Arial" w:hAnsi="Arial" w:cs="Arial"/>
                <w:spacing w:val="-1"/>
                <w:sz w:val="20"/>
                <w:szCs w:val="20"/>
              </w:rPr>
              <w:t>p</w:t>
            </w:r>
            <w:r w:rsidRPr="000F5A61">
              <w:rPr>
                <w:rFonts w:ascii="Arial" w:eastAsia="Arial" w:hAnsi="Arial" w:cs="Arial"/>
                <w:spacing w:val="1"/>
                <w:sz w:val="20"/>
                <w:szCs w:val="20"/>
              </w:rPr>
              <w:t>i</w:t>
            </w:r>
            <w:r w:rsidRPr="000F5A61">
              <w:rPr>
                <w:rFonts w:ascii="Arial" w:eastAsia="Arial" w:hAnsi="Arial" w:cs="Arial"/>
                <w:sz w:val="20"/>
                <w:szCs w:val="20"/>
              </w:rPr>
              <w:t>ngah</w:t>
            </w:r>
            <w:r w:rsidRPr="000F5A61">
              <w:rPr>
                <w:rFonts w:ascii="Arial" w:eastAsia="Arial" w:hAnsi="Arial" w:cs="Arial"/>
                <w:spacing w:val="1"/>
                <w:sz w:val="20"/>
                <w:szCs w:val="20"/>
              </w:rPr>
              <w:t>e</w:t>
            </w:r>
            <w:r w:rsidRPr="000F5A61">
              <w:rPr>
                <w:rFonts w:ascii="Arial" w:eastAsia="Arial" w:hAnsi="Arial" w:cs="Arial"/>
                <w:sz w:val="20"/>
                <w:szCs w:val="20"/>
              </w:rPr>
              <w:t>a</w:t>
            </w:r>
            <w:r w:rsidRPr="000F5A61">
              <w:rPr>
                <w:rFonts w:ascii="Arial" w:eastAsia="Arial" w:hAnsi="Arial" w:cs="Arial"/>
                <w:spacing w:val="-1"/>
                <w:sz w:val="20"/>
                <w:szCs w:val="20"/>
              </w:rPr>
              <w:t>l</w:t>
            </w:r>
            <w:r w:rsidRPr="000F5A61">
              <w:rPr>
                <w:rFonts w:ascii="Arial" w:eastAsia="Arial" w:hAnsi="Arial" w:cs="Arial"/>
                <w:spacing w:val="2"/>
                <w:sz w:val="20"/>
                <w:szCs w:val="20"/>
              </w:rPr>
              <w:t>t</w:t>
            </w:r>
            <w:r w:rsidRPr="000F5A61">
              <w:rPr>
                <w:rFonts w:ascii="Arial" w:eastAsia="Arial" w:hAnsi="Arial" w:cs="Arial"/>
                <w:sz w:val="20"/>
                <w:szCs w:val="20"/>
              </w:rPr>
              <w:t>h</w:t>
            </w:r>
            <w:r w:rsidRPr="000F5A61">
              <w:rPr>
                <w:rFonts w:ascii="Arial" w:eastAsia="Arial" w:hAnsi="Arial" w:cs="Arial"/>
                <w:spacing w:val="2"/>
                <w:sz w:val="20"/>
                <w:szCs w:val="20"/>
              </w:rPr>
              <w:t>f</w:t>
            </w:r>
            <w:r w:rsidRPr="000F5A61">
              <w:rPr>
                <w:rFonts w:ascii="Arial" w:eastAsia="Arial" w:hAnsi="Arial" w:cs="Arial"/>
                <w:spacing w:val="-1"/>
                <w:sz w:val="20"/>
                <w:szCs w:val="20"/>
              </w:rPr>
              <w:t>i</w:t>
            </w:r>
            <w:r w:rsidRPr="000F5A61">
              <w:rPr>
                <w:rFonts w:ascii="Arial" w:eastAsia="Arial" w:hAnsi="Arial" w:cs="Arial"/>
                <w:spacing w:val="2"/>
                <w:sz w:val="20"/>
                <w:szCs w:val="20"/>
              </w:rPr>
              <w:t>n</w:t>
            </w:r>
            <w:r w:rsidRPr="000F5A61">
              <w:rPr>
                <w:rFonts w:ascii="Arial" w:eastAsia="Arial" w:hAnsi="Arial" w:cs="Arial"/>
                <w:sz w:val="20"/>
                <w:szCs w:val="20"/>
              </w:rPr>
              <w:t>a</w:t>
            </w:r>
            <w:r w:rsidRPr="000F5A61">
              <w:rPr>
                <w:rFonts w:ascii="Arial" w:eastAsia="Arial" w:hAnsi="Arial" w:cs="Arial"/>
                <w:spacing w:val="1"/>
                <w:sz w:val="20"/>
                <w:szCs w:val="20"/>
              </w:rPr>
              <w:t>nc</w:t>
            </w:r>
            <w:r w:rsidRPr="000F5A61">
              <w:rPr>
                <w:rFonts w:ascii="Arial" w:eastAsia="Arial" w:hAnsi="Arial" w:cs="Arial"/>
                <w:spacing w:val="-1"/>
                <w:sz w:val="20"/>
                <w:szCs w:val="20"/>
              </w:rPr>
              <w:t>i</w:t>
            </w:r>
            <w:r w:rsidRPr="000F5A61">
              <w:rPr>
                <w:rFonts w:ascii="Arial" w:eastAsia="Arial" w:hAnsi="Arial" w:cs="Arial"/>
                <w:sz w:val="20"/>
                <w:szCs w:val="20"/>
              </w:rPr>
              <w:t>ng</w:t>
            </w:r>
            <w:r w:rsidRPr="000F5A61">
              <w:rPr>
                <w:rFonts w:ascii="Arial" w:eastAsia="Arial" w:hAnsi="Arial" w:cs="Arial"/>
                <w:spacing w:val="1"/>
                <w:sz w:val="20"/>
                <w:szCs w:val="20"/>
              </w:rPr>
              <w:t>s</w:t>
            </w:r>
            <w:r w:rsidRPr="000F5A61">
              <w:rPr>
                <w:rFonts w:ascii="Arial" w:eastAsia="Arial" w:hAnsi="Arial" w:cs="Arial"/>
                <w:sz w:val="20"/>
                <w:szCs w:val="20"/>
              </w:rPr>
              <w:t>tr</w:t>
            </w:r>
            <w:r w:rsidRPr="000F5A61">
              <w:rPr>
                <w:rFonts w:ascii="Arial" w:eastAsia="Arial" w:hAnsi="Arial" w:cs="Arial"/>
                <w:spacing w:val="2"/>
                <w:sz w:val="20"/>
                <w:szCs w:val="20"/>
              </w:rPr>
              <w:t>a</w:t>
            </w:r>
            <w:r w:rsidRPr="000F5A61">
              <w:rPr>
                <w:rFonts w:ascii="Arial" w:eastAsia="Arial" w:hAnsi="Arial" w:cs="Arial"/>
                <w:sz w:val="20"/>
                <w:szCs w:val="20"/>
              </w:rPr>
              <w:t>te</w:t>
            </w:r>
            <w:r w:rsidRPr="000F5A61">
              <w:rPr>
                <w:rFonts w:ascii="Arial" w:eastAsia="Arial" w:hAnsi="Arial" w:cs="Arial"/>
                <w:spacing w:val="4"/>
                <w:sz w:val="20"/>
                <w:szCs w:val="20"/>
              </w:rPr>
              <w:t>g</w:t>
            </w:r>
            <w:r w:rsidRPr="000F5A61">
              <w:rPr>
                <w:rFonts w:ascii="Arial" w:eastAsia="Arial" w:hAnsi="Arial" w:cs="Arial"/>
                <w:sz w:val="20"/>
                <w:szCs w:val="20"/>
              </w:rPr>
              <w:t>ya</w:t>
            </w:r>
            <w:r w:rsidRPr="000F5A61">
              <w:rPr>
                <w:rFonts w:ascii="Arial" w:eastAsia="Arial" w:hAnsi="Arial" w:cs="Arial"/>
                <w:spacing w:val="1"/>
                <w:sz w:val="20"/>
                <w:szCs w:val="20"/>
              </w:rPr>
              <w:t>n</w:t>
            </w:r>
            <w:r w:rsidRPr="000F5A61">
              <w:rPr>
                <w:rFonts w:ascii="Arial" w:eastAsia="Arial" w:hAnsi="Arial" w:cs="Arial"/>
                <w:sz w:val="20"/>
                <w:szCs w:val="20"/>
              </w:rPr>
              <w:t>d/</w:t>
            </w:r>
            <w:r w:rsidRPr="000F5A61">
              <w:rPr>
                <w:rFonts w:ascii="Arial" w:eastAsia="Arial" w:hAnsi="Arial" w:cs="Arial"/>
                <w:spacing w:val="-1"/>
                <w:sz w:val="20"/>
                <w:szCs w:val="20"/>
              </w:rPr>
              <w:t>o</w:t>
            </w:r>
            <w:r w:rsidRPr="000F5A61">
              <w:rPr>
                <w:rFonts w:ascii="Arial" w:eastAsia="Arial" w:hAnsi="Arial" w:cs="Arial"/>
                <w:sz w:val="20"/>
                <w:szCs w:val="20"/>
              </w:rPr>
              <w:t>r</w:t>
            </w:r>
            <w:r w:rsidRPr="000F5A61">
              <w:rPr>
                <w:rFonts w:ascii="Arial" w:eastAsia="Arial" w:hAnsi="Arial" w:cs="Arial"/>
                <w:spacing w:val="-1"/>
                <w:sz w:val="20"/>
                <w:szCs w:val="20"/>
              </w:rPr>
              <w:t>i</w:t>
            </w:r>
            <w:r w:rsidRPr="000F5A61">
              <w:rPr>
                <w:rFonts w:ascii="Arial" w:eastAsia="Arial" w:hAnsi="Arial" w:cs="Arial"/>
                <w:spacing w:val="4"/>
                <w:sz w:val="20"/>
                <w:szCs w:val="20"/>
              </w:rPr>
              <w:t>m</w:t>
            </w:r>
            <w:r w:rsidRPr="000F5A61">
              <w:rPr>
                <w:rFonts w:ascii="Arial" w:eastAsia="Arial" w:hAnsi="Arial" w:cs="Arial"/>
                <w:sz w:val="20"/>
                <w:szCs w:val="20"/>
              </w:rPr>
              <w:t>p</w:t>
            </w:r>
            <w:r w:rsidRPr="000F5A61">
              <w:rPr>
                <w:rFonts w:ascii="Arial" w:eastAsia="Arial" w:hAnsi="Arial" w:cs="Arial"/>
                <w:spacing w:val="-1"/>
                <w:sz w:val="20"/>
                <w:szCs w:val="20"/>
              </w:rPr>
              <w:t>l</w:t>
            </w:r>
            <w:r w:rsidRPr="000F5A61">
              <w:rPr>
                <w:rFonts w:ascii="Arial" w:eastAsia="Arial" w:hAnsi="Arial" w:cs="Arial"/>
                <w:spacing w:val="2"/>
                <w:sz w:val="20"/>
                <w:szCs w:val="20"/>
              </w:rPr>
              <w:t>e</w:t>
            </w:r>
            <w:r w:rsidRPr="000F5A61">
              <w:rPr>
                <w:rFonts w:ascii="Arial" w:eastAsia="Arial" w:hAnsi="Arial" w:cs="Arial"/>
                <w:spacing w:val="4"/>
                <w:sz w:val="20"/>
                <w:szCs w:val="20"/>
              </w:rPr>
              <w:t>m</w:t>
            </w:r>
            <w:r w:rsidRPr="000F5A61">
              <w:rPr>
                <w:rFonts w:ascii="Arial" w:eastAsia="Arial" w:hAnsi="Arial" w:cs="Arial"/>
                <w:sz w:val="20"/>
                <w:szCs w:val="20"/>
              </w:rPr>
              <w:t>e</w:t>
            </w:r>
            <w:r w:rsidRPr="000F5A61">
              <w:rPr>
                <w:rFonts w:ascii="Arial" w:eastAsia="Arial" w:hAnsi="Arial" w:cs="Arial"/>
                <w:spacing w:val="-1"/>
                <w:sz w:val="20"/>
                <w:szCs w:val="20"/>
              </w:rPr>
              <w:t>n</w:t>
            </w:r>
            <w:r w:rsidRPr="000F5A61">
              <w:rPr>
                <w:rFonts w:ascii="Arial" w:eastAsia="Arial" w:hAnsi="Arial" w:cs="Arial"/>
                <w:sz w:val="20"/>
                <w:szCs w:val="20"/>
              </w:rPr>
              <w:t>t</w:t>
            </w:r>
            <w:r w:rsidRPr="000F5A61">
              <w:rPr>
                <w:rFonts w:ascii="Arial" w:eastAsia="Arial" w:hAnsi="Arial" w:cs="Arial"/>
                <w:spacing w:val="-1"/>
                <w:sz w:val="20"/>
                <w:szCs w:val="20"/>
              </w:rPr>
              <w:t>i</w:t>
            </w:r>
            <w:r w:rsidRPr="000F5A61">
              <w:rPr>
                <w:rFonts w:ascii="Arial" w:eastAsia="Arial" w:hAnsi="Arial" w:cs="Arial"/>
                <w:sz w:val="20"/>
                <w:szCs w:val="20"/>
              </w:rPr>
              <w:t xml:space="preserve">ng </w:t>
            </w:r>
            <w:r w:rsidRPr="000F5A61">
              <w:rPr>
                <w:rFonts w:ascii="Arial" w:eastAsia="Arial" w:hAnsi="Arial" w:cs="Arial"/>
                <w:spacing w:val="2"/>
                <w:sz w:val="20"/>
                <w:szCs w:val="20"/>
              </w:rPr>
              <w:t>h</w:t>
            </w:r>
            <w:r w:rsidRPr="000F5A61">
              <w:rPr>
                <w:rFonts w:ascii="Arial" w:eastAsia="Arial" w:hAnsi="Arial" w:cs="Arial"/>
                <w:sz w:val="20"/>
                <w:szCs w:val="20"/>
              </w:rPr>
              <w:t>e</w:t>
            </w:r>
            <w:r w:rsidRPr="000F5A61">
              <w:rPr>
                <w:rFonts w:ascii="Arial" w:eastAsia="Arial" w:hAnsi="Arial" w:cs="Arial"/>
                <w:spacing w:val="1"/>
                <w:sz w:val="20"/>
                <w:szCs w:val="20"/>
              </w:rPr>
              <w:t>a</w:t>
            </w:r>
            <w:r w:rsidRPr="000F5A61">
              <w:rPr>
                <w:rFonts w:ascii="Arial" w:eastAsia="Arial" w:hAnsi="Arial" w:cs="Arial"/>
                <w:spacing w:val="-1"/>
                <w:sz w:val="20"/>
                <w:szCs w:val="20"/>
              </w:rPr>
              <w:t>l</w:t>
            </w:r>
            <w:r w:rsidRPr="000F5A61">
              <w:rPr>
                <w:rFonts w:ascii="Arial" w:eastAsia="Arial" w:hAnsi="Arial" w:cs="Arial"/>
                <w:sz w:val="20"/>
                <w:szCs w:val="20"/>
              </w:rPr>
              <w:t>t</w:t>
            </w:r>
            <w:r w:rsidRPr="000F5A61">
              <w:rPr>
                <w:rFonts w:ascii="Arial" w:eastAsia="Arial" w:hAnsi="Arial" w:cs="Arial"/>
                <w:spacing w:val="8"/>
                <w:sz w:val="20"/>
                <w:szCs w:val="20"/>
              </w:rPr>
              <w:t>h</w:t>
            </w:r>
            <w:r w:rsidRPr="000F5A61">
              <w:rPr>
                <w:rFonts w:ascii="Arial" w:eastAsia="Arial" w:hAnsi="Arial" w:cs="Arial"/>
                <w:sz w:val="20"/>
                <w:szCs w:val="20"/>
              </w:rPr>
              <w:t xml:space="preserve">- </w:t>
            </w:r>
            <w:r w:rsidRPr="000F5A61">
              <w:rPr>
                <w:rFonts w:ascii="Arial" w:eastAsia="Arial" w:hAnsi="Arial" w:cs="Arial"/>
                <w:spacing w:val="2"/>
                <w:sz w:val="20"/>
                <w:szCs w:val="20"/>
              </w:rPr>
              <w:t>f</w:t>
            </w:r>
            <w:r w:rsidRPr="000F5A61">
              <w:rPr>
                <w:rFonts w:ascii="Arial" w:eastAsia="Arial" w:hAnsi="Arial" w:cs="Arial"/>
                <w:spacing w:val="-1"/>
                <w:sz w:val="20"/>
                <w:szCs w:val="20"/>
              </w:rPr>
              <w:t>i</w:t>
            </w:r>
            <w:r w:rsidRPr="000F5A61">
              <w:rPr>
                <w:rFonts w:ascii="Arial" w:eastAsia="Arial" w:hAnsi="Arial" w:cs="Arial"/>
                <w:sz w:val="20"/>
                <w:szCs w:val="20"/>
              </w:rPr>
              <w:t>n</w:t>
            </w:r>
            <w:r w:rsidRPr="000F5A61">
              <w:rPr>
                <w:rFonts w:ascii="Arial" w:eastAsia="Arial" w:hAnsi="Arial" w:cs="Arial"/>
                <w:spacing w:val="-1"/>
                <w:sz w:val="20"/>
                <w:szCs w:val="20"/>
              </w:rPr>
              <w:t>a</w:t>
            </w:r>
            <w:r w:rsidRPr="000F5A61">
              <w:rPr>
                <w:rFonts w:ascii="Arial" w:eastAsia="Arial" w:hAnsi="Arial" w:cs="Arial"/>
                <w:sz w:val="20"/>
                <w:szCs w:val="20"/>
              </w:rPr>
              <w:t>n</w:t>
            </w:r>
            <w:r w:rsidRPr="000F5A61">
              <w:rPr>
                <w:rFonts w:ascii="Arial" w:eastAsia="Arial" w:hAnsi="Arial" w:cs="Arial"/>
                <w:spacing w:val="1"/>
                <w:sz w:val="20"/>
                <w:szCs w:val="20"/>
              </w:rPr>
              <w:t>c</w:t>
            </w:r>
            <w:r w:rsidRPr="000F5A61">
              <w:rPr>
                <w:rFonts w:ascii="Arial" w:eastAsia="Arial" w:hAnsi="Arial" w:cs="Arial"/>
                <w:spacing w:val="-1"/>
                <w:sz w:val="20"/>
                <w:szCs w:val="20"/>
              </w:rPr>
              <w:t>i</w:t>
            </w:r>
            <w:r w:rsidRPr="000F5A61">
              <w:rPr>
                <w:rFonts w:ascii="Arial" w:eastAsia="Arial" w:hAnsi="Arial" w:cs="Arial"/>
                <w:spacing w:val="2"/>
                <w:sz w:val="20"/>
                <w:szCs w:val="20"/>
              </w:rPr>
              <w:t>n</w:t>
            </w:r>
            <w:r w:rsidRPr="000F5A61">
              <w:rPr>
                <w:rFonts w:ascii="Arial" w:eastAsia="Arial" w:hAnsi="Arial" w:cs="Arial"/>
                <w:sz w:val="20"/>
                <w:szCs w:val="20"/>
              </w:rPr>
              <w:t>gre</w:t>
            </w:r>
            <w:r w:rsidRPr="000F5A61">
              <w:rPr>
                <w:rFonts w:ascii="Arial" w:eastAsia="Arial" w:hAnsi="Arial" w:cs="Arial"/>
                <w:spacing w:val="2"/>
                <w:sz w:val="20"/>
                <w:szCs w:val="20"/>
              </w:rPr>
              <w:t>f</w:t>
            </w:r>
            <w:r w:rsidRPr="000F5A61">
              <w:rPr>
                <w:rFonts w:ascii="Arial" w:eastAsia="Arial" w:hAnsi="Arial" w:cs="Arial"/>
                <w:sz w:val="20"/>
                <w:szCs w:val="20"/>
              </w:rPr>
              <w:t>or</w:t>
            </w:r>
            <w:r w:rsidRPr="000F5A61">
              <w:rPr>
                <w:rFonts w:ascii="Arial" w:eastAsia="Arial" w:hAnsi="Arial" w:cs="Arial"/>
                <w:spacing w:val="2"/>
                <w:sz w:val="20"/>
                <w:szCs w:val="20"/>
              </w:rPr>
              <w:t>m</w:t>
            </w:r>
            <w:r w:rsidRPr="000F5A61">
              <w:rPr>
                <w:rFonts w:ascii="Arial" w:eastAsia="Arial" w:hAnsi="Arial" w:cs="Arial"/>
                <w:spacing w:val="1"/>
                <w:sz w:val="20"/>
                <w:szCs w:val="20"/>
              </w:rPr>
              <w:t>s</w:t>
            </w:r>
            <w:r w:rsidRPr="000F5A61">
              <w:rPr>
                <w:rFonts w:ascii="Arial" w:eastAsia="Arial" w:hAnsi="Arial" w:cs="Arial"/>
                <w:sz w:val="20"/>
                <w:szCs w:val="20"/>
              </w:rPr>
              <w:t>?</w:t>
            </w:r>
            <w:r w:rsidRPr="000F5A61">
              <w:rPr>
                <w:rFonts w:ascii="Arial" w:eastAsia="Arial" w:hAnsi="Arial" w:cs="Arial"/>
                <w:b/>
                <w:sz w:val="20"/>
                <w:szCs w:val="20"/>
              </w:rPr>
              <w:t>If</w:t>
            </w:r>
            <w:r w:rsidRPr="000F5A61">
              <w:rPr>
                <w:rFonts w:ascii="Arial" w:eastAsia="Arial" w:hAnsi="Arial" w:cs="Arial"/>
                <w:b/>
                <w:spacing w:val="-3"/>
                <w:sz w:val="20"/>
                <w:szCs w:val="20"/>
              </w:rPr>
              <w:t>y</w:t>
            </w:r>
            <w:r w:rsidRPr="000F5A61">
              <w:rPr>
                <w:rFonts w:ascii="Arial" w:eastAsia="Arial" w:hAnsi="Arial" w:cs="Arial"/>
                <w:b/>
                <w:spacing w:val="2"/>
                <w:sz w:val="20"/>
                <w:szCs w:val="20"/>
              </w:rPr>
              <w:t>e</w:t>
            </w:r>
            <w:r w:rsidRPr="000F5A61">
              <w:rPr>
                <w:rFonts w:ascii="Arial" w:eastAsia="Arial" w:hAnsi="Arial" w:cs="Arial"/>
                <w:b/>
                <w:sz w:val="20"/>
                <w:szCs w:val="20"/>
              </w:rPr>
              <w:t>s,</w:t>
            </w:r>
            <w:r w:rsidRPr="000F5A61">
              <w:rPr>
                <w:rFonts w:ascii="Arial" w:eastAsia="Arial" w:hAnsi="Arial" w:cs="Arial"/>
                <w:spacing w:val="2"/>
                <w:sz w:val="20"/>
                <w:szCs w:val="20"/>
              </w:rPr>
              <w:t>p</w:t>
            </w:r>
            <w:r w:rsidRPr="000F5A61">
              <w:rPr>
                <w:rFonts w:ascii="Arial" w:eastAsia="Arial" w:hAnsi="Arial" w:cs="Arial"/>
                <w:spacing w:val="1"/>
                <w:sz w:val="20"/>
                <w:szCs w:val="20"/>
              </w:rPr>
              <w:t>r</w:t>
            </w:r>
            <w:r w:rsidRPr="000F5A61">
              <w:rPr>
                <w:rFonts w:ascii="Arial" w:eastAsia="Arial" w:hAnsi="Arial" w:cs="Arial"/>
                <w:sz w:val="20"/>
                <w:szCs w:val="20"/>
              </w:rPr>
              <w:t>o</w:t>
            </w:r>
            <w:r w:rsidRPr="000F5A61">
              <w:rPr>
                <w:rFonts w:ascii="Arial" w:eastAsia="Arial" w:hAnsi="Arial" w:cs="Arial"/>
                <w:spacing w:val="-2"/>
                <w:sz w:val="20"/>
                <w:szCs w:val="20"/>
              </w:rPr>
              <w:t>v</w:t>
            </w:r>
            <w:r w:rsidRPr="000F5A61">
              <w:rPr>
                <w:rFonts w:ascii="Arial" w:eastAsia="Arial" w:hAnsi="Arial" w:cs="Arial"/>
                <w:spacing w:val="1"/>
                <w:sz w:val="20"/>
                <w:szCs w:val="20"/>
              </w:rPr>
              <w:t>i</w:t>
            </w:r>
            <w:r w:rsidRPr="000F5A61">
              <w:rPr>
                <w:rFonts w:ascii="Arial" w:eastAsia="Arial" w:hAnsi="Arial" w:cs="Arial"/>
                <w:sz w:val="20"/>
                <w:szCs w:val="20"/>
              </w:rPr>
              <w:t>deabr</w:t>
            </w:r>
            <w:r w:rsidRPr="000F5A61">
              <w:rPr>
                <w:rFonts w:ascii="Arial" w:eastAsia="Arial" w:hAnsi="Arial" w:cs="Arial"/>
                <w:spacing w:val="2"/>
                <w:sz w:val="20"/>
                <w:szCs w:val="20"/>
              </w:rPr>
              <w:t>i</w:t>
            </w:r>
            <w:r w:rsidRPr="000F5A61">
              <w:rPr>
                <w:rFonts w:ascii="Arial" w:eastAsia="Arial" w:hAnsi="Arial" w:cs="Arial"/>
                <w:sz w:val="20"/>
                <w:szCs w:val="20"/>
              </w:rPr>
              <w:t>efd</w:t>
            </w:r>
            <w:r w:rsidRPr="000F5A61">
              <w:rPr>
                <w:rFonts w:ascii="Arial" w:eastAsia="Arial" w:hAnsi="Arial" w:cs="Arial"/>
                <w:spacing w:val="-1"/>
                <w:sz w:val="20"/>
                <w:szCs w:val="20"/>
              </w:rPr>
              <w:t>e</w:t>
            </w:r>
            <w:r w:rsidRPr="000F5A61">
              <w:rPr>
                <w:rFonts w:ascii="Arial" w:eastAsia="Arial" w:hAnsi="Arial" w:cs="Arial"/>
                <w:spacing w:val="1"/>
                <w:sz w:val="20"/>
                <w:szCs w:val="20"/>
              </w:rPr>
              <w:t>scr</w:t>
            </w:r>
            <w:r w:rsidRPr="000F5A61">
              <w:rPr>
                <w:rFonts w:ascii="Arial" w:eastAsia="Arial" w:hAnsi="Arial" w:cs="Arial"/>
                <w:spacing w:val="-1"/>
                <w:sz w:val="20"/>
                <w:szCs w:val="20"/>
              </w:rPr>
              <w:t>i</w:t>
            </w:r>
            <w:r w:rsidRPr="000F5A61">
              <w:rPr>
                <w:rFonts w:ascii="Arial" w:eastAsia="Arial" w:hAnsi="Arial" w:cs="Arial"/>
                <w:sz w:val="20"/>
                <w:szCs w:val="20"/>
              </w:rPr>
              <w:t>pt</w:t>
            </w:r>
            <w:r w:rsidRPr="000F5A61">
              <w:rPr>
                <w:rFonts w:ascii="Arial" w:eastAsia="Arial" w:hAnsi="Arial" w:cs="Arial"/>
                <w:spacing w:val="1"/>
                <w:sz w:val="20"/>
                <w:szCs w:val="20"/>
              </w:rPr>
              <w:t>i</w:t>
            </w:r>
            <w:r w:rsidRPr="000F5A61">
              <w:rPr>
                <w:rFonts w:ascii="Arial" w:eastAsia="Arial" w:hAnsi="Arial" w:cs="Arial"/>
                <w:sz w:val="20"/>
                <w:szCs w:val="20"/>
              </w:rPr>
              <w:t>on</w:t>
            </w:r>
            <w:r w:rsidRPr="000F5A61">
              <w:rPr>
                <w:rFonts w:ascii="Arial" w:eastAsia="Arial" w:hAnsi="Arial" w:cs="Arial"/>
                <w:spacing w:val="2"/>
                <w:sz w:val="20"/>
                <w:szCs w:val="20"/>
              </w:rPr>
              <w:t>b</w:t>
            </w:r>
            <w:r w:rsidRPr="000F5A61">
              <w:rPr>
                <w:rFonts w:ascii="Arial" w:eastAsia="Arial" w:hAnsi="Arial" w:cs="Arial"/>
                <w:sz w:val="20"/>
                <w:szCs w:val="20"/>
              </w:rPr>
              <w:t>e</w:t>
            </w:r>
            <w:r w:rsidRPr="000F5A61">
              <w:rPr>
                <w:rFonts w:ascii="Arial" w:eastAsia="Arial" w:hAnsi="Arial" w:cs="Arial"/>
                <w:spacing w:val="-1"/>
                <w:sz w:val="20"/>
                <w:szCs w:val="20"/>
              </w:rPr>
              <w:t>l</w:t>
            </w:r>
            <w:r w:rsidRPr="000F5A61">
              <w:rPr>
                <w:rFonts w:ascii="Arial" w:eastAsia="Arial" w:hAnsi="Arial" w:cs="Arial"/>
                <w:spacing w:val="2"/>
                <w:sz w:val="20"/>
                <w:szCs w:val="20"/>
              </w:rPr>
              <w:t>o</w:t>
            </w:r>
            <w:r w:rsidRPr="000F5A61">
              <w:rPr>
                <w:rFonts w:ascii="Arial" w:eastAsia="Arial" w:hAnsi="Arial" w:cs="Arial"/>
                <w:sz w:val="20"/>
                <w:szCs w:val="20"/>
              </w:rPr>
              <w:t>w.</w:t>
            </w:r>
          </w:p>
        </w:tc>
        <w:tc>
          <w:tcPr>
            <w:tcW w:w="2096" w:type="dxa"/>
            <w:tcBorders>
              <w:top w:val="single" w:sz="5" w:space="0" w:color="808080"/>
              <w:left w:val="single" w:sz="5" w:space="0" w:color="808080"/>
              <w:bottom w:val="single" w:sz="5" w:space="0" w:color="808080"/>
              <w:right w:val="single" w:sz="5" w:space="0" w:color="808080"/>
            </w:tcBorders>
          </w:tcPr>
          <w:p w:rsidR="00C31623" w:rsidRPr="000F5A61" w:rsidRDefault="00C31623" w:rsidP="005A251C">
            <w:pPr>
              <w:spacing w:before="8" w:line="120" w:lineRule="exact"/>
              <w:rPr>
                <w:rFonts w:ascii="Arial" w:hAnsi="Arial" w:cs="Arial"/>
                <w:sz w:val="20"/>
                <w:szCs w:val="20"/>
              </w:rPr>
            </w:pPr>
          </w:p>
          <w:p w:rsidR="00C31623" w:rsidRPr="000F5A61" w:rsidRDefault="00C31623" w:rsidP="005A251C">
            <w:pPr>
              <w:spacing w:line="200" w:lineRule="exact"/>
              <w:rPr>
                <w:rFonts w:ascii="Arial" w:hAnsi="Arial" w:cs="Arial"/>
                <w:sz w:val="20"/>
                <w:szCs w:val="20"/>
              </w:rPr>
            </w:pPr>
          </w:p>
          <w:p w:rsidR="00C31623" w:rsidRPr="000F5A61" w:rsidRDefault="00C31623" w:rsidP="005A251C">
            <w:pPr>
              <w:ind w:left="136"/>
              <w:rPr>
                <w:rFonts w:ascii="Arial" w:eastAsia="Arial" w:hAnsi="Arial" w:cs="Arial"/>
                <w:sz w:val="20"/>
                <w:szCs w:val="20"/>
              </w:rPr>
            </w:pPr>
            <w:r w:rsidRPr="000F5A61">
              <w:rPr>
                <w:rFonts w:ascii="Arial" w:eastAsia="Segoe UI Symbol" w:hAnsi="Arial" w:cs="Arial"/>
                <w:sz w:val="20"/>
                <w:szCs w:val="20"/>
              </w:rPr>
              <w:t xml:space="preserve">☐ </w:t>
            </w:r>
            <w:r w:rsidRPr="000F5A61">
              <w:rPr>
                <w:rFonts w:ascii="Arial" w:eastAsia="Arial" w:hAnsi="Arial" w:cs="Arial"/>
                <w:spacing w:val="-1"/>
                <w:sz w:val="20"/>
                <w:szCs w:val="20"/>
              </w:rPr>
              <w:t>Y</w:t>
            </w:r>
            <w:r w:rsidRPr="000F5A61">
              <w:rPr>
                <w:rFonts w:ascii="Arial" w:eastAsia="Arial" w:hAnsi="Arial" w:cs="Arial"/>
                <w:sz w:val="20"/>
                <w:szCs w:val="20"/>
              </w:rPr>
              <w:t xml:space="preserve">es        </w:t>
            </w:r>
            <w:r w:rsidR="003A3853" w:rsidRPr="003A3853">
              <w:rPr>
                <w:rFonts w:ascii="Segoe UI Symbol" w:eastAsia="Segoe UI Symbol" w:hAnsi="Segoe UI Symbol" w:cs="Arial"/>
                <w:sz w:val="20"/>
                <w:szCs w:val="20"/>
              </w:rPr>
              <w:t>☑</w:t>
            </w:r>
            <w:r w:rsidRPr="000F5A61">
              <w:rPr>
                <w:rFonts w:ascii="Arial" w:eastAsia="Arial" w:hAnsi="Arial" w:cs="Arial"/>
                <w:sz w:val="20"/>
                <w:szCs w:val="20"/>
              </w:rPr>
              <w:t>No</w:t>
            </w:r>
          </w:p>
        </w:tc>
      </w:tr>
      <w:tr w:rsidR="00C31623" w:rsidRPr="000F5A61" w:rsidTr="005A251C">
        <w:trPr>
          <w:trHeight w:hRule="exact" w:val="710"/>
        </w:trPr>
        <w:tc>
          <w:tcPr>
            <w:tcW w:w="6798" w:type="dxa"/>
            <w:tcBorders>
              <w:top w:val="single" w:sz="5" w:space="0" w:color="808080"/>
              <w:left w:val="single" w:sz="5" w:space="0" w:color="808080"/>
              <w:bottom w:val="single" w:sz="5" w:space="0" w:color="808080"/>
              <w:right w:val="single" w:sz="5" w:space="0" w:color="808080"/>
            </w:tcBorders>
            <w:shd w:val="clear" w:color="auto" w:fill="F1F1F1"/>
          </w:tcPr>
          <w:p w:rsidR="00C31623" w:rsidRPr="000F5A61" w:rsidRDefault="00C31623" w:rsidP="005A251C">
            <w:pPr>
              <w:spacing w:before="1" w:line="120" w:lineRule="exact"/>
              <w:rPr>
                <w:rFonts w:ascii="Arial" w:hAnsi="Arial" w:cs="Arial"/>
                <w:sz w:val="20"/>
                <w:szCs w:val="20"/>
              </w:rPr>
            </w:pPr>
          </w:p>
          <w:p w:rsidR="00C31623" w:rsidRPr="000F5A61" w:rsidRDefault="00C31623" w:rsidP="005A251C">
            <w:pPr>
              <w:spacing w:line="220" w:lineRule="exact"/>
              <w:ind w:left="412" w:right="105" w:hanging="283"/>
              <w:rPr>
                <w:rFonts w:ascii="Arial" w:eastAsia="Arial" w:hAnsi="Arial" w:cs="Arial"/>
                <w:sz w:val="20"/>
                <w:szCs w:val="20"/>
              </w:rPr>
            </w:pPr>
            <w:r w:rsidRPr="000F5A61">
              <w:rPr>
                <w:rFonts w:ascii="Arial" w:eastAsia="Arial" w:hAnsi="Arial" w:cs="Arial"/>
                <w:spacing w:val="1"/>
                <w:sz w:val="20"/>
                <w:szCs w:val="20"/>
              </w:rPr>
              <w:t>c</w:t>
            </w:r>
            <w:r w:rsidRPr="000F5A61">
              <w:rPr>
                <w:rFonts w:ascii="Arial" w:eastAsia="Arial" w:hAnsi="Arial" w:cs="Arial"/>
                <w:sz w:val="20"/>
                <w:szCs w:val="20"/>
              </w:rPr>
              <w:t>) Ha</w:t>
            </w:r>
            <w:r w:rsidRPr="000F5A61">
              <w:rPr>
                <w:rFonts w:ascii="Arial" w:eastAsia="Arial" w:hAnsi="Arial" w:cs="Arial"/>
                <w:spacing w:val="1"/>
                <w:sz w:val="20"/>
                <w:szCs w:val="20"/>
              </w:rPr>
              <w:t>v</w:t>
            </w:r>
            <w:r w:rsidRPr="000F5A61">
              <w:rPr>
                <w:rFonts w:ascii="Arial" w:eastAsia="Arial" w:hAnsi="Arial" w:cs="Arial"/>
                <w:sz w:val="20"/>
                <w:szCs w:val="20"/>
              </w:rPr>
              <w:t>epr</w:t>
            </w:r>
            <w:r w:rsidRPr="000F5A61">
              <w:rPr>
                <w:rFonts w:ascii="Arial" w:eastAsia="Arial" w:hAnsi="Arial" w:cs="Arial"/>
                <w:spacing w:val="2"/>
                <w:sz w:val="20"/>
                <w:szCs w:val="20"/>
              </w:rPr>
              <w:t>e</w:t>
            </w:r>
            <w:r w:rsidRPr="000F5A61">
              <w:rPr>
                <w:rFonts w:ascii="Arial" w:eastAsia="Arial" w:hAnsi="Arial" w:cs="Arial"/>
                <w:spacing w:val="1"/>
                <w:sz w:val="20"/>
                <w:szCs w:val="20"/>
              </w:rPr>
              <w:t>v</w:t>
            </w:r>
            <w:r w:rsidRPr="000F5A61">
              <w:rPr>
                <w:rFonts w:ascii="Arial" w:eastAsia="Arial" w:hAnsi="Arial" w:cs="Arial"/>
                <w:spacing w:val="-1"/>
                <w:sz w:val="20"/>
                <w:szCs w:val="20"/>
              </w:rPr>
              <w:t>i</w:t>
            </w:r>
            <w:r w:rsidRPr="000F5A61">
              <w:rPr>
                <w:rFonts w:ascii="Arial" w:eastAsia="Arial" w:hAnsi="Arial" w:cs="Arial"/>
                <w:sz w:val="20"/>
                <w:szCs w:val="20"/>
              </w:rPr>
              <w:t>o</w:t>
            </w:r>
            <w:r w:rsidRPr="000F5A61">
              <w:rPr>
                <w:rFonts w:ascii="Arial" w:eastAsia="Arial" w:hAnsi="Arial" w:cs="Arial"/>
                <w:spacing w:val="-1"/>
                <w:sz w:val="20"/>
                <w:szCs w:val="20"/>
              </w:rPr>
              <w:t>u</w:t>
            </w:r>
            <w:r w:rsidRPr="000F5A61">
              <w:rPr>
                <w:rFonts w:ascii="Arial" w:eastAsia="Arial" w:hAnsi="Arial" w:cs="Arial"/>
                <w:sz w:val="20"/>
                <w:szCs w:val="20"/>
              </w:rPr>
              <w:t>sg</w:t>
            </w:r>
            <w:r w:rsidRPr="000F5A61">
              <w:rPr>
                <w:rFonts w:ascii="Arial" w:eastAsia="Arial" w:hAnsi="Arial" w:cs="Arial"/>
                <w:spacing w:val="2"/>
                <w:sz w:val="20"/>
                <w:szCs w:val="20"/>
              </w:rPr>
              <w:t>o</w:t>
            </w:r>
            <w:r w:rsidRPr="000F5A61">
              <w:rPr>
                <w:rFonts w:ascii="Arial" w:eastAsia="Arial" w:hAnsi="Arial" w:cs="Arial"/>
                <w:spacing w:val="-1"/>
                <w:sz w:val="20"/>
                <w:szCs w:val="20"/>
              </w:rPr>
              <w:t>v</w:t>
            </w:r>
            <w:r w:rsidRPr="000F5A61">
              <w:rPr>
                <w:rFonts w:ascii="Arial" w:eastAsia="Arial" w:hAnsi="Arial" w:cs="Arial"/>
                <w:sz w:val="20"/>
                <w:szCs w:val="20"/>
              </w:rPr>
              <w:t>ern</w:t>
            </w:r>
            <w:r w:rsidRPr="000F5A61">
              <w:rPr>
                <w:rFonts w:ascii="Arial" w:eastAsia="Arial" w:hAnsi="Arial" w:cs="Arial"/>
                <w:spacing w:val="4"/>
                <w:sz w:val="20"/>
                <w:szCs w:val="20"/>
              </w:rPr>
              <w:t>m</w:t>
            </w:r>
            <w:r w:rsidRPr="000F5A61">
              <w:rPr>
                <w:rFonts w:ascii="Arial" w:eastAsia="Arial" w:hAnsi="Arial" w:cs="Arial"/>
                <w:sz w:val="20"/>
                <w:szCs w:val="20"/>
              </w:rPr>
              <w:t>e</w:t>
            </w:r>
            <w:r w:rsidRPr="000F5A61">
              <w:rPr>
                <w:rFonts w:ascii="Arial" w:eastAsia="Arial" w:hAnsi="Arial" w:cs="Arial"/>
                <w:spacing w:val="-1"/>
                <w:sz w:val="20"/>
                <w:szCs w:val="20"/>
              </w:rPr>
              <w:t>n</w:t>
            </w:r>
            <w:r w:rsidRPr="000F5A61">
              <w:rPr>
                <w:rFonts w:ascii="Arial" w:eastAsia="Arial" w:hAnsi="Arial" w:cs="Arial"/>
                <w:sz w:val="20"/>
                <w:szCs w:val="20"/>
              </w:rPr>
              <w:t>t</w:t>
            </w:r>
            <w:r w:rsidRPr="000F5A61">
              <w:rPr>
                <w:rFonts w:ascii="Arial" w:eastAsia="Arial" w:hAnsi="Arial" w:cs="Arial"/>
                <w:spacing w:val="1"/>
                <w:sz w:val="20"/>
                <w:szCs w:val="20"/>
              </w:rPr>
              <w:t>c</w:t>
            </w:r>
            <w:r w:rsidRPr="000F5A61">
              <w:rPr>
                <w:rFonts w:ascii="Arial" w:eastAsia="Arial" w:hAnsi="Arial" w:cs="Arial"/>
                <w:sz w:val="20"/>
                <w:szCs w:val="20"/>
              </w:rPr>
              <w:t>o</w:t>
            </w:r>
            <w:r w:rsidRPr="000F5A61">
              <w:rPr>
                <w:rFonts w:ascii="Arial" w:eastAsia="Arial" w:hAnsi="Arial" w:cs="Arial"/>
                <w:spacing w:val="2"/>
                <w:sz w:val="20"/>
                <w:szCs w:val="20"/>
              </w:rPr>
              <w:t>m</w:t>
            </w:r>
            <w:r w:rsidRPr="000F5A61">
              <w:rPr>
                <w:rFonts w:ascii="Arial" w:eastAsia="Arial" w:hAnsi="Arial" w:cs="Arial"/>
                <w:spacing w:val="4"/>
                <w:sz w:val="20"/>
                <w:szCs w:val="20"/>
              </w:rPr>
              <w:t>m</w:t>
            </w:r>
            <w:r w:rsidRPr="000F5A61">
              <w:rPr>
                <w:rFonts w:ascii="Arial" w:eastAsia="Arial" w:hAnsi="Arial" w:cs="Arial"/>
                <w:spacing w:val="-1"/>
                <w:sz w:val="20"/>
                <w:szCs w:val="20"/>
              </w:rPr>
              <w:t>i</w:t>
            </w:r>
            <w:r w:rsidRPr="000F5A61">
              <w:rPr>
                <w:rFonts w:ascii="Arial" w:eastAsia="Arial" w:hAnsi="Arial" w:cs="Arial"/>
                <w:spacing w:val="-3"/>
                <w:sz w:val="20"/>
                <w:szCs w:val="20"/>
              </w:rPr>
              <w:t>t</w:t>
            </w:r>
            <w:r w:rsidRPr="000F5A61">
              <w:rPr>
                <w:rFonts w:ascii="Arial" w:eastAsia="Arial" w:hAnsi="Arial" w:cs="Arial"/>
                <w:spacing w:val="4"/>
                <w:sz w:val="20"/>
                <w:szCs w:val="20"/>
              </w:rPr>
              <w:t>m</w:t>
            </w:r>
            <w:r w:rsidRPr="000F5A61">
              <w:rPr>
                <w:rFonts w:ascii="Arial" w:eastAsia="Arial" w:hAnsi="Arial" w:cs="Arial"/>
                <w:sz w:val="20"/>
                <w:szCs w:val="20"/>
              </w:rPr>
              <w:t>e</w:t>
            </w:r>
            <w:r w:rsidRPr="000F5A61">
              <w:rPr>
                <w:rFonts w:ascii="Arial" w:eastAsia="Arial" w:hAnsi="Arial" w:cs="Arial"/>
                <w:spacing w:val="-1"/>
                <w:sz w:val="20"/>
                <w:szCs w:val="20"/>
              </w:rPr>
              <w:t>n</w:t>
            </w:r>
            <w:r w:rsidRPr="000F5A61">
              <w:rPr>
                <w:rFonts w:ascii="Arial" w:eastAsia="Arial" w:hAnsi="Arial" w:cs="Arial"/>
                <w:sz w:val="20"/>
                <w:szCs w:val="20"/>
              </w:rPr>
              <w:t>ts</w:t>
            </w:r>
            <w:r w:rsidRPr="000F5A61">
              <w:rPr>
                <w:rFonts w:ascii="Arial" w:eastAsia="Arial" w:hAnsi="Arial" w:cs="Arial"/>
                <w:spacing w:val="2"/>
                <w:sz w:val="20"/>
                <w:szCs w:val="20"/>
              </w:rPr>
              <w:t>f</w:t>
            </w:r>
            <w:r w:rsidRPr="000F5A61">
              <w:rPr>
                <w:rFonts w:ascii="Arial" w:eastAsia="Arial" w:hAnsi="Arial" w:cs="Arial"/>
                <w:sz w:val="20"/>
                <w:szCs w:val="20"/>
              </w:rPr>
              <w:t>orthe</w:t>
            </w:r>
            <w:r w:rsidRPr="000F5A61">
              <w:rPr>
                <w:rFonts w:ascii="Arial" w:eastAsia="Arial" w:hAnsi="Arial" w:cs="Arial"/>
                <w:spacing w:val="2"/>
                <w:sz w:val="20"/>
                <w:szCs w:val="20"/>
              </w:rPr>
              <w:t>20</w:t>
            </w:r>
            <w:r w:rsidRPr="000F5A61">
              <w:rPr>
                <w:rFonts w:ascii="Arial" w:eastAsia="Arial" w:hAnsi="Arial" w:cs="Arial"/>
                <w:sz w:val="20"/>
                <w:szCs w:val="20"/>
              </w:rPr>
              <w:t>14</w:t>
            </w:r>
            <w:r w:rsidRPr="000F5A61">
              <w:rPr>
                <w:rFonts w:ascii="Arial" w:eastAsia="Arial" w:hAnsi="Arial" w:cs="Arial"/>
                <w:spacing w:val="1"/>
                <w:sz w:val="20"/>
                <w:szCs w:val="20"/>
              </w:rPr>
              <w:t>-</w:t>
            </w:r>
            <w:r w:rsidRPr="000F5A61">
              <w:rPr>
                <w:rFonts w:ascii="Arial" w:eastAsia="Arial" w:hAnsi="Arial" w:cs="Arial"/>
                <w:sz w:val="20"/>
                <w:szCs w:val="20"/>
              </w:rPr>
              <w:t>16a</w:t>
            </w:r>
            <w:r w:rsidRPr="000F5A61">
              <w:rPr>
                <w:rFonts w:ascii="Arial" w:eastAsia="Arial" w:hAnsi="Arial" w:cs="Arial"/>
                <w:spacing w:val="1"/>
                <w:sz w:val="20"/>
                <w:szCs w:val="20"/>
              </w:rPr>
              <w:t>l</w:t>
            </w:r>
            <w:r w:rsidRPr="000F5A61">
              <w:rPr>
                <w:rFonts w:ascii="Arial" w:eastAsia="Arial" w:hAnsi="Arial" w:cs="Arial"/>
                <w:spacing w:val="-1"/>
                <w:sz w:val="20"/>
                <w:szCs w:val="20"/>
              </w:rPr>
              <w:t>l</w:t>
            </w:r>
            <w:r w:rsidRPr="000F5A61">
              <w:rPr>
                <w:rFonts w:ascii="Arial" w:eastAsia="Arial" w:hAnsi="Arial" w:cs="Arial"/>
                <w:sz w:val="20"/>
                <w:szCs w:val="20"/>
              </w:rPr>
              <w:t>o</w:t>
            </w:r>
            <w:r w:rsidRPr="000F5A61">
              <w:rPr>
                <w:rFonts w:ascii="Arial" w:eastAsia="Arial" w:hAnsi="Arial" w:cs="Arial"/>
                <w:spacing w:val="1"/>
                <w:sz w:val="20"/>
                <w:szCs w:val="20"/>
              </w:rPr>
              <w:t>c</w:t>
            </w:r>
            <w:r w:rsidRPr="000F5A61">
              <w:rPr>
                <w:rFonts w:ascii="Arial" w:eastAsia="Arial" w:hAnsi="Arial" w:cs="Arial"/>
                <w:sz w:val="20"/>
                <w:szCs w:val="20"/>
              </w:rPr>
              <w:t>a</w:t>
            </w:r>
            <w:r w:rsidRPr="000F5A61">
              <w:rPr>
                <w:rFonts w:ascii="Arial" w:eastAsia="Arial" w:hAnsi="Arial" w:cs="Arial"/>
                <w:spacing w:val="2"/>
                <w:sz w:val="20"/>
                <w:szCs w:val="20"/>
              </w:rPr>
              <w:t>t</w:t>
            </w:r>
            <w:r w:rsidRPr="000F5A61">
              <w:rPr>
                <w:rFonts w:ascii="Arial" w:eastAsia="Arial" w:hAnsi="Arial" w:cs="Arial"/>
                <w:spacing w:val="-1"/>
                <w:sz w:val="20"/>
                <w:szCs w:val="20"/>
              </w:rPr>
              <w:t>i</w:t>
            </w:r>
            <w:r w:rsidRPr="000F5A61">
              <w:rPr>
                <w:rFonts w:ascii="Arial" w:eastAsia="Arial" w:hAnsi="Arial" w:cs="Arial"/>
                <w:spacing w:val="2"/>
                <w:sz w:val="20"/>
                <w:szCs w:val="20"/>
              </w:rPr>
              <w:t>o</w:t>
            </w:r>
            <w:r w:rsidRPr="000F5A61">
              <w:rPr>
                <w:rFonts w:ascii="Arial" w:eastAsia="Arial" w:hAnsi="Arial" w:cs="Arial"/>
                <w:sz w:val="20"/>
                <w:szCs w:val="20"/>
              </w:rPr>
              <w:t>n b</w:t>
            </w:r>
            <w:r w:rsidRPr="000F5A61">
              <w:rPr>
                <w:rFonts w:ascii="Arial" w:eastAsia="Arial" w:hAnsi="Arial" w:cs="Arial"/>
                <w:spacing w:val="-1"/>
                <w:sz w:val="20"/>
                <w:szCs w:val="20"/>
              </w:rPr>
              <w:t>e</w:t>
            </w:r>
            <w:r w:rsidRPr="000F5A61">
              <w:rPr>
                <w:rFonts w:ascii="Arial" w:eastAsia="Arial" w:hAnsi="Arial" w:cs="Arial"/>
                <w:sz w:val="20"/>
                <w:szCs w:val="20"/>
              </w:rPr>
              <w:t>enre</w:t>
            </w:r>
            <w:r w:rsidRPr="000F5A61">
              <w:rPr>
                <w:rFonts w:ascii="Arial" w:eastAsia="Arial" w:hAnsi="Arial" w:cs="Arial"/>
                <w:spacing w:val="1"/>
                <w:sz w:val="20"/>
                <w:szCs w:val="20"/>
              </w:rPr>
              <w:t>a</w:t>
            </w:r>
            <w:r w:rsidRPr="000F5A61">
              <w:rPr>
                <w:rFonts w:ascii="Arial" w:eastAsia="Arial" w:hAnsi="Arial" w:cs="Arial"/>
                <w:spacing w:val="-1"/>
                <w:sz w:val="20"/>
                <w:szCs w:val="20"/>
              </w:rPr>
              <w:t>l</w:t>
            </w:r>
            <w:r w:rsidRPr="000F5A61">
              <w:rPr>
                <w:rFonts w:ascii="Arial" w:eastAsia="Arial" w:hAnsi="Arial" w:cs="Arial"/>
                <w:spacing w:val="1"/>
                <w:sz w:val="20"/>
                <w:szCs w:val="20"/>
              </w:rPr>
              <w:t>i</w:t>
            </w:r>
            <w:r w:rsidRPr="000F5A61">
              <w:rPr>
                <w:rFonts w:ascii="Arial" w:eastAsia="Arial" w:hAnsi="Arial" w:cs="Arial"/>
                <w:spacing w:val="-1"/>
                <w:sz w:val="20"/>
                <w:szCs w:val="20"/>
              </w:rPr>
              <w:t>z</w:t>
            </w:r>
            <w:r w:rsidRPr="000F5A61">
              <w:rPr>
                <w:rFonts w:ascii="Arial" w:eastAsia="Arial" w:hAnsi="Arial" w:cs="Arial"/>
                <w:sz w:val="20"/>
                <w:szCs w:val="20"/>
              </w:rPr>
              <w:t>e</w:t>
            </w:r>
            <w:r w:rsidRPr="000F5A61">
              <w:rPr>
                <w:rFonts w:ascii="Arial" w:eastAsia="Arial" w:hAnsi="Arial" w:cs="Arial"/>
                <w:spacing w:val="1"/>
                <w:sz w:val="20"/>
                <w:szCs w:val="20"/>
              </w:rPr>
              <w:t>d</w:t>
            </w:r>
            <w:r w:rsidRPr="000F5A61">
              <w:rPr>
                <w:rFonts w:ascii="Arial" w:eastAsia="Arial" w:hAnsi="Arial" w:cs="Arial"/>
                <w:sz w:val="20"/>
                <w:szCs w:val="20"/>
              </w:rPr>
              <w:t>?</w:t>
            </w:r>
            <w:r w:rsidRPr="000F5A61">
              <w:rPr>
                <w:rFonts w:ascii="Arial" w:eastAsia="Arial" w:hAnsi="Arial" w:cs="Arial"/>
                <w:b/>
                <w:sz w:val="20"/>
                <w:szCs w:val="20"/>
              </w:rPr>
              <w:t>Ifn</w:t>
            </w:r>
            <w:r w:rsidRPr="000F5A61">
              <w:rPr>
                <w:rFonts w:ascii="Arial" w:eastAsia="Arial" w:hAnsi="Arial" w:cs="Arial"/>
                <w:b/>
                <w:spacing w:val="1"/>
                <w:sz w:val="20"/>
                <w:szCs w:val="20"/>
              </w:rPr>
              <w:t>ot</w:t>
            </w:r>
            <w:r w:rsidRPr="000F5A61">
              <w:rPr>
                <w:rFonts w:ascii="Arial" w:eastAsia="Arial" w:hAnsi="Arial" w:cs="Arial"/>
                <w:sz w:val="20"/>
                <w:szCs w:val="20"/>
              </w:rPr>
              <w:t>,</w:t>
            </w:r>
            <w:r w:rsidRPr="000F5A61">
              <w:rPr>
                <w:rFonts w:ascii="Arial" w:eastAsia="Arial" w:hAnsi="Arial" w:cs="Arial"/>
                <w:spacing w:val="-1"/>
                <w:sz w:val="20"/>
                <w:szCs w:val="20"/>
              </w:rPr>
              <w:t>p</w:t>
            </w:r>
            <w:r w:rsidRPr="000F5A61">
              <w:rPr>
                <w:rFonts w:ascii="Arial" w:eastAsia="Arial" w:hAnsi="Arial" w:cs="Arial"/>
                <w:spacing w:val="1"/>
                <w:sz w:val="20"/>
                <w:szCs w:val="20"/>
              </w:rPr>
              <w:t>r</w:t>
            </w:r>
            <w:r w:rsidRPr="000F5A61">
              <w:rPr>
                <w:rFonts w:ascii="Arial" w:eastAsia="Arial" w:hAnsi="Arial" w:cs="Arial"/>
                <w:spacing w:val="2"/>
                <w:sz w:val="20"/>
                <w:szCs w:val="20"/>
              </w:rPr>
              <w:t>o</w:t>
            </w:r>
            <w:r w:rsidRPr="000F5A61">
              <w:rPr>
                <w:rFonts w:ascii="Arial" w:eastAsia="Arial" w:hAnsi="Arial" w:cs="Arial"/>
                <w:spacing w:val="-1"/>
                <w:sz w:val="20"/>
                <w:szCs w:val="20"/>
              </w:rPr>
              <w:t>v</w:t>
            </w:r>
            <w:r w:rsidRPr="000F5A61">
              <w:rPr>
                <w:rFonts w:ascii="Arial" w:eastAsia="Arial" w:hAnsi="Arial" w:cs="Arial"/>
                <w:spacing w:val="1"/>
                <w:sz w:val="20"/>
                <w:szCs w:val="20"/>
              </w:rPr>
              <w:t>i</w:t>
            </w:r>
            <w:r w:rsidRPr="000F5A61">
              <w:rPr>
                <w:rFonts w:ascii="Arial" w:eastAsia="Arial" w:hAnsi="Arial" w:cs="Arial"/>
                <w:sz w:val="20"/>
                <w:szCs w:val="20"/>
              </w:rPr>
              <w:t>dere</w:t>
            </w:r>
            <w:r w:rsidRPr="000F5A61">
              <w:rPr>
                <w:rFonts w:ascii="Arial" w:eastAsia="Arial" w:hAnsi="Arial" w:cs="Arial"/>
                <w:spacing w:val="-1"/>
                <w:sz w:val="20"/>
                <w:szCs w:val="20"/>
              </w:rPr>
              <w:t>a</w:t>
            </w:r>
            <w:r w:rsidRPr="000F5A61">
              <w:rPr>
                <w:rFonts w:ascii="Arial" w:eastAsia="Arial" w:hAnsi="Arial" w:cs="Arial"/>
                <w:spacing w:val="1"/>
                <w:sz w:val="20"/>
                <w:szCs w:val="20"/>
              </w:rPr>
              <w:t>s</w:t>
            </w:r>
            <w:r w:rsidRPr="000F5A61">
              <w:rPr>
                <w:rFonts w:ascii="Arial" w:eastAsia="Arial" w:hAnsi="Arial" w:cs="Arial"/>
                <w:spacing w:val="2"/>
                <w:sz w:val="20"/>
                <w:szCs w:val="20"/>
              </w:rPr>
              <w:t>o</w:t>
            </w:r>
            <w:r w:rsidRPr="000F5A61">
              <w:rPr>
                <w:rFonts w:ascii="Arial" w:eastAsia="Arial" w:hAnsi="Arial" w:cs="Arial"/>
                <w:sz w:val="20"/>
                <w:szCs w:val="20"/>
              </w:rPr>
              <w:t>nsb</w:t>
            </w:r>
            <w:r w:rsidRPr="000F5A61">
              <w:rPr>
                <w:rFonts w:ascii="Arial" w:eastAsia="Arial" w:hAnsi="Arial" w:cs="Arial"/>
                <w:spacing w:val="1"/>
                <w:sz w:val="20"/>
                <w:szCs w:val="20"/>
              </w:rPr>
              <w:t>e</w:t>
            </w:r>
            <w:r w:rsidRPr="000F5A61">
              <w:rPr>
                <w:rFonts w:ascii="Arial" w:eastAsia="Arial" w:hAnsi="Arial" w:cs="Arial"/>
                <w:spacing w:val="-1"/>
                <w:sz w:val="20"/>
                <w:szCs w:val="20"/>
              </w:rPr>
              <w:t>l</w:t>
            </w:r>
            <w:r w:rsidRPr="000F5A61">
              <w:rPr>
                <w:rFonts w:ascii="Arial" w:eastAsia="Arial" w:hAnsi="Arial" w:cs="Arial"/>
                <w:spacing w:val="2"/>
                <w:sz w:val="20"/>
                <w:szCs w:val="20"/>
              </w:rPr>
              <w:t>o</w:t>
            </w:r>
            <w:r w:rsidRPr="000F5A61">
              <w:rPr>
                <w:rFonts w:ascii="Arial" w:eastAsia="Arial" w:hAnsi="Arial" w:cs="Arial"/>
                <w:spacing w:val="-2"/>
                <w:sz w:val="20"/>
                <w:szCs w:val="20"/>
              </w:rPr>
              <w:t>w</w:t>
            </w:r>
            <w:r w:rsidRPr="000F5A61">
              <w:rPr>
                <w:rFonts w:ascii="Arial" w:eastAsia="Arial" w:hAnsi="Arial" w:cs="Arial"/>
                <w:sz w:val="20"/>
                <w:szCs w:val="20"/>
              </w:rPr>
              <w:t>.</w:t>
            </w:r>
          </w:p>
        </w:tc>
        <w:tc>
          <w:tcPr>
            <w:tcW w:w="2096" w:type="dxa"/>
            <w:tcBorders>
              <w:top w:val="single" w:sz="5" w:space="0" w:color="808080"/>
              <w:left w:val="single" w:sz="5" w:space="0" w:color="808080"/>
              <w:bottom w:val="single" w:sz="5" w:space="0" w:color="808080"/>
              <w:right w:val="single" w:sz="5" w:space="0" w:color="808080"/>
            </w:tcBorders>
          </w:tcPr>
          <w:p w:rsidR="00C31623" w:rsidRPr="000F5A61" w:rsidRDefault="00C31623" w:rsidP="005A251C">
            <w:pPr>
              <w:spacing w:before="15" w:line="200" w:lineRule="exact"/>
              <w:rPr>
                <w:rFonts w:ascii="Arial" w:hAnsi="Arial" w:cs="Arial"/>
                <w:sz w:val="20"/>
                <w:szCs w:val="20"/>
              </w:rPr>
            </w:pPr>
          </w:p>
          <w:p w:rsidR="00C31623" w:rsidRPr="000F5A61" w:rsidRDefault="003A3853" w:rsidP="005A251C">
            <w:pPr>
              <w:ind w:left="136"/>
              <w:rPr>
                <w:rFonts w:ascii="Arial" w:eastAsia="Arial" w:hAnsi="Arial" w:cs="Arial"/>
                <w:sz w:val="20"/>
                <w:szCs w:val="20"/>
              </w:rPr>
            </w:pPr>
            <w:r w:rsidRPr="003A3853">
              <w:rPr>
                <w:rFonts w:ascii="Segoe UI Symbol" w:eastAsia="Segoe UI Symbol" w:hAnsi="Segoe UI Symbol" w:cs="Arial"/>
                <w:sz w:val="20"/>
                <w:szCs w:val="20"/>
              </w:rPr>
              <w:t>☑</w:t>
            </w:r>
            <w:r w:rsidR="00C31623" w:rsidRPr="000F5A61">
              <w:rPr>
                <w:rFonts w:ascii="Arial" w:eastAsia="Arial" w:hAnsi="Arial" w:cs="Arial"/>
                <w:spacing w:val="-1"/>
                <w:sz w:val="20"/>
                <w:szCs w:val="20"/>
              </w:rPr>
              <w:t>Y</w:t>
            </w:r>
            <w:r w:rsidR="00C31623" w:rsidRPr="000F5A61">
              <w:rPr>
                <w:rFonts w:ascii="Arial" w:eastAsia="Arial" w:hAnsi="Arial" w:cs="Arial"/>
                <w:sz w:val="20"/>
                <w:szCs w:val="20"/>
              </w:rPr>
              <w:t xml:space="preserve">es        </w:t>
            </w:r>
            <w:r w:rsidR="00C31623" w:rsidRPr="000F5A61">
              <w:rPr>
                <w:rFonts w:ascii="Arial" w:eastAsia="Segoe UI Symbol" w:hAnsi="Arial" w:cs="Arial"/>
                <w:sz w:val="20"/>
                <w:szCs w:val="20"/>
              </w:rPr>
              <w:t>☐</w:t>
            </w:r>
            <w:r w:rsidR="00C31623" w:rsidRPr="000F5A61">
              <w:rPr>
                <w:rFonts w:ascii="Arial" w:eastAsia="Arial" w:hAnsi="Arial" w:cs="Arial"/>
                <w:sz w:val="20"/>
                <w:szCs w:val="20"/>
              </w:rPr>
              <w:t>No</w:t>
            </w:r>
          </w:p>
        </w:tc>
      </w:tr>
      <w:tr w:rsidR="00C31623" w:rsidRPr="000F5A61" w:rsidTr="005A251C">
        <w:trPr>
          <w:trHeight w:hRule="exact" w:val="1171"/>
        </w:trPr>
        <w:tc>
          <w:tcPr>
            <w:tcW w:w="6798" w:type="dxa"/>
            <w:tcBorders>
              <w:top w:val="single" w:sz="5" w:space="0" w:color="808080"/>
              <w:left w:val="single" w:sz="5" w:space="0" w:color="808080"/>
              <w:bottom w:val="single" w:sz="5" w:space="0" w:color="808080"/>
              <w:right w:val="single" w:sz="5" w:space="0" w:color="808080"/>
            </w:tcBorders>
            <w:shd w:val="clear" w:color="auto" w:fill="F1F1F1"/>
          </w:tcPr>
          <w:p w:rsidR="00C31623" w:rsidRPr="000F5A61" w:rsidRDefault="00C31623" w:rsidP="005A251C">
            <w:pPr>
              <w:spacing w:before="6" w:line="100" w:lineRule="exact"/>
              <w:rPr>
                <w:rFonts w:ascii="Arial" w:hAnsi="Arial" w:cs="Arial"/>
                <w:sz w:val="20"/>
                <w:szCs w:val="20"/>
              </w:rPr>
            </w:pPr>
          </w:p>
          <w:p w:rsidR="00C31623" w:rsidRPr="000F5A61" w:rsidRDefault="00C31623" w:rsidP="005A251C">
            <w:pPr>
              <w:ind w:left="412" w:right="101" w:hanging="283"/>
              <w:jc w:val="both"/>
              <w:rPr>
                <w:rFonts w:ascii="Arial" w:eastAsia="Arial" w:hAnsi="Arial" w:cs="Arial"/>
                <w:sz w:val="20"/>
                <w:szCs w:val="20"/>
              </w:rPr>
            </w:pPr>
            <w:r w:rsidRPr="000F5A61">
              <w:rPr>
                <w:rFonts w:ascii="Arial" w:eastAsia="Arial" w:hAnsi="Arial" w:cs="Arial"/>
                <w:sz w:val="20"/>
                <w:szCs w:val="20"/>
              </w:rPr>
              <w:t>d)Do</w:t>
            </w:r>
            <w:r w:rsidRPr="000F5A61">
              <w:rPr>
                <w:rFonts w:ascii="Arial" w:eastAsia="Arial" w:hAnsi="Arial" w:cs="Arial"/>
                <w:spacing w:val="1"/>
                <w:sz w:val="20"/>
                <w:szCs w:val="20"/>
              </w:rPr>
              <w:t>c</w:t>
            </w:r>
            <w:r w:rsidRPr="000F5A61">
              <w:rPr>
                <w:rFonts w:ascii="Arial" w:eastAsia="Arial" w:hAnsi="Arial" w:cs="Arial"/>
                <w:sz w:val="20"/>
                <w:szCs w:val="20"/>
              </w:rPr>
              <w:t>ur</w:t>
            </w:r>
            <w:r w:rsidRPr="000F5A61">
              <w:rPr>
                <w:rFonts w:ascii="Arial" w:eastAsia="Arial" w:hAnsi="Arial" w:cs="Arial"/>
                <w:spacing w:val="1"/>
                <w:sz w:val="20"/>
                <w:szCs w:val="20"/>
              </w:rPr>
              <w:t>r</w:t>
            </w:r>
            <w:r w:rsidRPr="000F5A61">
              <w:rPr>
                <w:rFonts w:ascii="Arial" w:eastAsia="Arial" w:hAnsi="Arial" w:cs="Arial"/>
                <w:sz w:val="20"/>
                <w:szCs w:val="20"/>
              </w:rPr>
              <w:t>e</w:t>
            </w:r>
            <w:r w:rsidRPr="000F5A61">
              <w:rPr>
                <w:rFonts w:ascii="Arial" w:eastAsia="Arial" w:hAnsi="Arial" w:cs="Arial"/>
                <w:spacing w:val="-1"/>
                <w:sz w:val="20"/>
                <w:szCs w:val="20"/>
              </w:rPr>
              <w:t>n</w:t>
            </w:r>
            <w:r w:rsidRPr="000F5A61">
              <w:rPr>
                <w:rFonts w:ascii="Arial" w:eastAsia="Arial" w:hAnsi="Arial" w:cs="Arial"/>
                <w:sz w:val="20"/>
                <w:szCs w:val="20"/>
              </w:rPr>
              <w:t>t</w:t>
            </w:r>
            <w:r w:rsidRPr="000F5A61">
              <w:rPr>
                <w:rFonts w:ascii="Arial" w:eastAsia="Arial" w:hAnsi="Arial" w:cs="Arial"/>
                <w:spacing w:val="1"/>
                <w:sz w:val="20"/>
                <w:szCs w:val="20"/>
              </w:rPr>
              <w:t>c</w:t>
            </w:r>
            <w:r w:rsidRPr="000F5A61">
              <w:rPr>
                <w:rFonts w:ascii="Arial" w:eastAsia="Arial" w:hAnsi="Arial" w:cs="Arial"/>
                <w:sz w:val="20"/>
                <w:szCs w:val="20"/>
              </w:rPr>
              <w:t>o</w:t>
            </w:r>
            <w:r w:rsidRPr="000F5A61">
              <w:rPr>
                <w:rFonts w:ascii="Arial" w:eastAsia="Arial" w:hAnsi="Arial" w:cs="Arial"/>
                <w:spacing w:val="1"/>
                <w:sz w:val="20"/>
                <w:szCs w:val="20"/>
              </w:rPr>
              <w:t>-</w:t>
            </w:r>
            <w:r w:rsidRPr="000F5A61">
              <w:rPr>
                <w:rFonts w:ascii="Arial" w:eastAsia="Arial" w:hAnsi="Arial" w:cs="Arial"/>
                <w:spacing w:val="2"/>
                <w:sz w:val="20"/>
                <w:szCs w:val="20"/>
              </w:rPr>
              <w:t>f</w:t>
            </w:r>
            <w:r w:rsidRPr="000F5A61">
              <w:rPr>
                <w:rFonts w:ascii="Arial" w:eastAsia="Arial" w:hAnsi="Arial" w:cs="Arial"/>
                <w:spacing w:val="-1"/>
                <w:sz w:val="20"/>
                <w:szCs w:val="20"/>
              </w:rPr>
              <w:t>i</w:t>
            </w:r>
            <w:r w:rsidRPr="000F5A61">
              <w:rPr>
                <w:rFonts w:ascii="Arial" w:eastAsia="Arial" w:hAnsi="Arial" w:cs="Arial"/>
                <w:sz w:val="20"/>
                <w:szCs w:val="20"/>
              </w:rPr>
              <w:t>n</w:t>
            </w:r>
            <w:r w:rsidRPr="000F5A61">
              <w:rPr>
                <w:rFonts w:ascii="Arial" w:eastAsia="Arial" w:hAnsi="Arial" w:cs="Arial"/>
                <w:spacing w:val="-1"/>
                <w:sz w:val="20"/>
                <w:szCs w:val="20"/>
              </w:rPr>
              <w:t>a</w:t>
            </w:r>
            <w:r w:rsidRPr="000F5A61">
              <w:rPr>
                <w:rFonts w:ascii="Arial" w:eastAsia="Arial" w:hAnsi="Arial" w:cs="Arial"/>
                <w:sz w:val="20"/>
                <w:szCs w:val="20"/>
              </w:rPr>
              <w:t>n</w:t>
            </w:r>
            <w:r w:rsidRPr="000F5A61">
              <w:rPr>
                <w:rFonts w:ascii="Arial" w:eastAsia="Arial" w:hAnsi="Arial" w:cs="Arial"/>
                <w:spacing w:val="1"/>
                <w:sz w:val="20"/>
                <w:szCs w:val="20"/>
              </w:rPr>
              <w:t>ci</w:t>
            </w:r>
            <w:r w:rsidRPr="000F5A61">
              <w:rPr>
                <w:rFonts w:ascii="Arial" w:eastAsia="Arial" w:hAnsi="Arial" w:cs="Arial"/>
                <w:sz w:val="20"/>
                <w:szCs w:val="20"/>
              </w:rPr>
              <w:t xml:space="preserve">ng </w:t>
            </w:r>
            <w:r w:rsidRPr="000F5A61">
              <w:rPr>
                <w:rFonts w:ascii="Arial" w:eastAsia="Arial" w:hAnsi="Arial" w:cs="Arial"/>
                <w:spacing w:val="1"/>
                <w:sz w:val="20"/>
                <w:szCs w:val="20"/>
              </w:rPr>
              <w:t>c</w:t>
            </w:r>
            <w:r w:rsidRPr="000F5A61">
              <w:rPr>
                <w:rFonts w:ascii="Arial" w:eastAsia="Arial" w:hAnsi="Arial" w:cs="Arial"/>
                <w:spacing w:val="2"/>
                <w:sz w:val="20"/>
                <w:szCs w:val="20"/>
              </w:rPr>
              <w:t>omm</w:t>
            </w:r>
            <w:r w:rsidRPr="000F5A61">
              <w:rPr>
                <w:rFonts w:ascii="Arial" w:eastAsia="Arial" w:hAnsi="Arial" w:cs="Arial"/>
                <w:spacing w:val="-1"/>
                <w:sz w:val="20"/>
                <w:szCs w:val="20"/>
              </w:rPr>
              <w:t>i</w:t>
            </w:r>
            <w:r w:rsidRPr="000F5A61">
              <w:rPr>
                <w:rFonts w:ascii="Arial" w:eastAsia="Arial" w:hAnsi="Arial" w:cs="Arial"/>
                <w:spacing w:val="-3"/>
                <w:sz w:val="20"/>
                <w:szCs w:val="20"/>
              </w:rPr>
              <w:t>t</w:t>
            </w:r>
            <w:r w:rsidRPr="000F5A61">
              <w:rPr>
                <w:rFonts w:ascii="Arial" w:eastAsia="Arial" w:hAnsi="Arial" w:cs="Arial"/>
                <w:spacing w:val="4"/>
                <w:sz w:val="20"/>
                <w:szCs w:val="20"/>
              </w:rPr>
              <w:t>m</w:t>
            </w:r>
            <w:r w:rsidRPr="000F5A61">
              <w:rPr>
                <w:rFonts w:ascii="Arial" w:eastAsia="Arial" w:hAnsi="Arial" w:cs="Arial"/>
                <w:sz w:val="20"/>
                <w:szCs w:val="20"/>
              </w:rPr>
              <w:t>e</w:t>
            </w:r>
            <w:r w:rsidRPr="000F5A61">
              <w:rPr>
                <w:rFonts w:ascii="Arial" w:eastAsia="Arial" w:hAnsi="Arial" w:cs="Arial"/>
                <w:spacing w:val="-1"/>
                <w:sz w:val="20"/>
                <w:szCs w:val="20"/>
              </w:rPr>
              <w:t>n</w:t>
            </w:r>
            <w:r w:rsidRPr="000F5A61">
              <w:rPr>
                <w:rFonts w:ascii="Arial" w:eastAsia="Arial" w:hAnsi="Arial" w:cs="Arial"/>
                <w:sz w:val="20"/>
                <w:szCs w:val="20"/>
              </w:rPr>
              <w:t>ts</w:t>
            </w:r>
            <w:r w:rsidRPr="000F5A61">
              <w:rPr>
                <w:rFonts w:ascii="Arial" w:eastAsia="Arial" w:hAnsi="Arial" w:cs="Arial"/>
                <w:spacing w:val="2"/>
                <w:sz w:val="20"/>
                <w:szCs w:val="20"/>
              </w:rPr>
              <w:t>f</w:t>
            </w:r>
            <w:r w:rsidRPr="000F5A61">
              <w:rPr>
                <w:rFonts w:ascii="Arial" w:eastAsia="Arial" w:hAnsi="Arial" w:cs="Arial"/>
                <w:sz w:val="20"/>
                <w:szCs w:val="20"/>
              </w:rPr>
              <w:t>orthe2</w:t>
            </w:r>
            <w:r w:rsidRPr="000F5A61">
              <w:rPr>
                <w:rFonts w:ascii="Arial" w:eastAsia="Arial" w:hAnsi="Arial" w:cs="Arial"/>
                <w:spacing w:val="-1"/>
                <w:sz w:val="20"/>
                <w:szCs w:val="20"/>
              </w:rPr>
              <w:t>0</w:t>
            </w:r>
            <w:r w:rsidRPr="000F5A61">
              <w:rPr>
                <w:rFonts w:ascii="Arial" w:eastAsia="Arial" w:hAnsi="Arial" w:cs="Arial"/>
                <w:sz w:val="20"/>
                <w:szCs w:val="20"/>
              </w:rPr>
              <w:t>1</w:t>
            </w:r>
            <w:r w:rsidRPr="000F5A61">
              <w:rPr>
                <w:rFonts w:ascii="Arial" w:eastAsia="Arial" w:hAnsi="Arial" w:cs="Arial"/>
                <w:spacing w:val="3"/>
                <w:sz w:val="20"/>
                <w:szCs w:val="20"/>
              </w:rPr>
              <w:t>7</w:t>
            </w:r>
            <w:r w:rsidRPr="000F5A61">
              <w:rPr>
                <w:rFonts w:ascii="Arial" w:eastAsia="Arial" w:hAnsi="Arial" w:cs="Arial"/>
                <w:spacing w:val="1"/>
                <w:sz w:val="20"/>
                <w:szCs w:val="20"/>
              </w:rPr>
              <w:t>-</w:t>
            </w:r>
            <w:r w:rsidRPr="000F5A61">
              <w:rPr>
                <w:rFonts w:ascii="Arial" w:eastAsia="Arial" w:hAnsi="Arial" w:cs="Arial"/>
                <w:sz w:val="20"/>
                <w:szCs w:val="20"/>
              </w:rPr>
              <w:t>19a</w:t>
            </w:r>
            <w:r w:rsidRPr="000F5A61">
              <w:rPr>
                <w:rFonts w:ascii="Arial" w:eastAsia="Arial" w:hAnsi="Arial" w:cs="Arial"/>
                <w:spacing w:val="-1"/>
                <w:sz w:val="20"/>
                <w:szCs w:val="20"/>
              </w:rPr>
              <w:t>l</w:t>
            </w:r>
            <w:r w:rsidRPr="000F5A61">
              <w:rPr>
                <w:rFonts w:ascii="Arial" w:eastAsia="Arial" w:hAnsi="Arial" w:cs="Arial"/>
                <w:spacing w:val="1"/>
                <w:sz w:val="20"/>
                <w:szCs w:val="20"/>
              </w:rPr>
              <w:t>l</w:t>
            </w:r>
            <w:r w:rsidRPr="000F5A61">
              <w:rPr>
                <w:rFonts w:ascii="Arial" w:eastAsia="Arial" w:hAnsi="Arial" w:cs="Arial"/>
                <w:sz w:val="20"/>
                <w:szCs w:val="20"/>
              </w:rPr>
              <w:t>o</w:t>
            </w:r>
            <w:r w:rsidRPr="000F5A61">
              <w:rPr>
                <w:rFonts w:ascii="Arial" w:eastAsia="Arial" w:hAnsi="Arial" w:cs="Arial"/>
                <w:spacing w:val="1"/>
                <w:sz w:val="20"/>
                <w:szCs w:val="20"/>
              </w:rPr>
              <w:t>c</w:t>
            </w:r>
            <w:r w:rsidRPr="000F5A61">
              <w:rPr>
                <w:rFonts w:ascii="Arial" w:eastAsia="Arial" w:hAnsi="Arial" w:cs="Arial"/>
                <w:sz w:val="20"/>
                <w:szCs w:val="20"/>
              </w:rPr>
              <w:t>at</w:t>
            </w:r>
            <w:r w:rsidRPr="000F5A61">
              <w:rPr>
                <w:rFonts w:ascii="Arial" w:eastAsia="Arial" w:hAnsi="Arial" w:cs="Arial"/>
                <w:spacing w:val="1"/>
                <w:sz w:val="20"/>
                <w:szCs w:val="20"/>
              </w:rPr>
              <w:t>i</w:t>
            </w:r>
            <w:r w:rsidRPr="000F5A61">
              <w:rPr>
                <w:rFonts w:ascii="Arial" w:eastAsia="Arial" w:hAnsi="Arial" w:cs="Arial"/>
                <w:sz w:val="20"/>
                <w:szCs w:val="20"/>
              </w:rPr>
              <w:t>on</w:t>
            </w:r>
            <w:r w:rsidRPr="000F5A61">
              <w:rPr>
                <w:rFonts w:ascii="Arial" w:eastAsia="Arial" w:hAnsi="Arial" w:cs="Arial"/>
                <w:spacing w:val="4"/>
                <w:sz w:val="20"/>
                <w:szCs w:val="20"/>
              </w:rPr>
              <w:t>m</w:t>
            </w:r>
            <w:r w:rsidRPr="000F5A61">
              <w:rPr>
                <w:rFonts w:ascii="Arial" w:eastAsia="Arial" w:hAnsi="Arial" w:cs="Arial"/>
                <w:sz w:val="20"/>
                <w:szCs w:val="20"/>
              </w:rPr>
              <w:t>e</w:t>
            </w:r>
            <w:r w:rsidRPr="000F5A61">
              <w:rPr>
                <w:rFonts w:ascii="Arial" w:eastAsia="Arial" w:hAnsi="Arial" w:cs="Arial"/>
                <w:spacing w:val="-1"/>
                <w:sz w:val="20"/>
                <w:szCs w:val="20"/>
              </w:rPr>
              <w:t>e</w:t>
            </w:r>
            <w:r w:rsidRPr="000F5A61">
              <w:rPr>
                <w:rFonts w:ascii="Arial" w:eastAsia="Arial" w:hAnsi="Arial" w:cs="Arial"/>
                <w:sz w:val="20"/>
                <w:szCs w:val="20"/>
              </w:rPr>
              <w:t xml:space="preserve">t </w:t>
            </w:r>
            <w:r w:rsidRPr="000F5A61">
              <w:rPr>
                <w:rFonts w:ascii="Arial" w:eastAsia="Arial" w:hAnsi="Arial" w:cs="Arial"/>
                <w:spacing w:val="4"/>
                <w:sz w:val="20"/>
                <w:szCs w:val="20"/>
              </w:rPr>
              <w:t>m</w:t>
            </w:r>
            <w:r w:rsidRPr="000F5A61">
              <w:rPr>
                <w:rFonts w:ascii="Arial" w:eastAsia="Arial" w:hAnsi="Arial" w:cs="Arial"/>
                <w:spacing w:val="-1"/>
                <w:sz w:val="20"/>
                <w:szCs w:val="20"/>
              </w:rPr>
              <w:t>i</w:t>
            </w:r>
            <w:r w:rsidRPr="000F5A61">
              <w:rPr>
                <w:rFonts w:ascii="Arial" w:eastAsia="Arial" w:hAnsi="Arial" w:cs="Arial"/>
                <w:sz w:val="20"/>
                <w:szCs w:val="20"/>
              </w:rPr>
              <w:t>n</w:t>
            </w:r>
            <w:r w:rsidRPr="000F5A61">
              <w:rPr>
                <w:rFonts w:ascii="Arial" w:eastAsia="Arial" w:hAnsi="Arial" w:cs="Arial"/>
                <w:spacing w:val="-4"/>
                <w:sz w:val="20"/>
                <w:szCs w:val="20"/>
              </w:rPr>
              <w:t>i</w:t>
            </w:r>
            <w:r w:rsidRPr="000F5A61">
              <w:rPr>
                <w:rFonts w:ascii="Arial" w:eastAsia="Arial" w:hAnsi="Arial" w:cs="Arial"/>
                <w:spacing w:val="4"/>
                <w:sz w:val="20"/>
                <w:szCs w:val="20"/>
              </w:rPr>
              <w:t>m</w:t>
            </w:r>
            <w:r w:rsidRPr="000F5A61">
              <w:rPr>
                <w:rFonts w:ascii="Arial" w:eastAsia="Arial" w:hAnsi="Arial" w:cs="Arial"/>
                <w:spacing w:val="-3"/>
                <w:sz w:val="20"/>
                <w:szCs w:val="20"/>
              </w:rPr>
              <w:t>u</w:t>
            </w:r>
            <w:r w:rsidRPr="000F5A61">
              <w:rPr>
                <w:rFonts w:ascii="Arial" w:eastAsia="Arial" w:hAnsi="Arial" w:cs="Arial"/>
                <w:sz w:val="20"/>
                <w:szCs w:val="20"/>
              </w:rPr>
              <w:t>m</w:t>
            </w:r>
            <w:r w:rsidRPr="000F5A61">
              <w:rPr>
                <w:rFonts w:ascii="Arial" w:eastAsia="Arial" w:hAnsi="Arial" w:cs="Arial"/>
                <w:spacing w:val="1"/>
                <w:sz w:val="20"/>
                <w:szCs w:val="20"/>
              </w:rPr>
              <w:t>r</w:t>
            </w:r>
            <w:r w:rsidRPr="000F5A61">
              <w:rPr>
                <w:rFonts w:ascii="Arial" w:eastAsia="Arial" w:hAnsi="Arial" w:cs="Arial"/>
                <w:sz w:val="20"/>
                <w:szCs w:val="20"/>
              </w:rPr>
              <w:t>e</w:t>
            </w:r>
            <w:r w:rsidRPr="000F5A61">
              <w:rPr>
                <w:rFonts w:ascii="Arial" w:eastAsia="Arial" w:hAnsi="Arial" w:cs="Arial"/>
                <w:spacing w:val="-1"/>
                <w:sz w:val="20"/>
                <w:szCs w:val="20"/>
              </w:rPr>
              <w:t>q</w:t>
            </w:r>
            <w:r w:rsidRPr="000F5A61">
              <w:rPr>
                <w:rFonts w:ascii="Arial" w:eastAsia="Arial" w:hAnsi="Arial" w:cs="Arial"/>
                <w:sz w:val="20"/>
                <w:szCs w:val="20"/>
              </w:rPr>
              <w:t>u</w:t>
            </w:r>
            <w:r w:rsidRPr="000F5A61">
              <w:rPr>
                <w:rFonts w:ascii="Arial" w:eastAsia="Arial" w:hAnsi="Arial" w:cs="Arial"/>
                <w:spacing w:val="-1"/>
                <w:sz w:val="20"/>
                <w:szCs w:val="20"/>
              </w:rPr>
              <w:t>i</w:t>
            </w:r>
            <w:r w:rsidRPr="000F5A61">
              <w:rPr>
                <w:rFonts w:ascii="Arial" w:eastAsia="Arial" w:hAnsi="Arial" w:cs="Arial"/>
                <w:spacing w:val="1"/>
                <w:sz w:val="20"/>
                <w:szCs w:val="20"/>
              </w:rPr>
              <w:t>r</w:t>
            </w:r>
            <w:r w:rsidRPr="000F5A61">
              <w:rPr>
                <w:rFonts w:ascii="Arial" w:eastAsia="Arial" w:hAnsi="Arial" w:cs="Arial"/>
                <w:sz w:val="20"/>
                <w:szCs w:val="20"/>
              </w:rPr>
              <w:t>e</w:t>
            </w:r>
            <w:r w:rsidRPr="000F5A61">
              <w:rPr>
                <w:rFonts w:ascii="Arial" w:eastAsia="Arial" w:hAnsi="Arial" w:cs="Arial"/>
                <w:spacing w:val="4"/>
                <w:sz w:val="20"/>
                <w:szCs w:val="20"/>
              </w:rPr>
              <w:t>m</w:t>
            </w:r>
            <w:r w:rsidRPr="000F5A61">
              <w:rPr>
                <w:rFonts w:ascii="Arial" w:eastAsia="Arial" w:hAnsi="Arial" w:cs="Arial"/>
                <w:sz w:val="20"/>
                <w:szCs w:val="20"/>
              </w:rPr>
              <w:t>e</w:t>
            </w:r>
            <w:r w:rsidRPr="000F5A61">
              <w:rPr>
                <w:rFonts w:ascii="Arial" w:eastAsia="Arial" w:hAnsi="Arial" w:cs="Arial"/>
                <w:spacing w:val="-1"/>
                <w:sz w:val="20"/>
                <w:szCs w:val="20"/>
              </w:rPr>
              <w:t>n</w:t>
            </w:r>
            <w:r w:rsidRPr="000F5A61">
              <w:rPr>
                <w:rFonts w:ascii="Arial" w:eastAsia="Arial" w:hAnsi="Arial" w:cs="Arial"/>
                <w:sz w:val="20"/>
                <w:szCs w:val="20"/>
              </w:rPr>
              <w:t>tstofu</w:t>
            </w:r>
            <w:r w:rsidRPr="000F5A61">
              <w:rPr>
                <w:rFonts w:ascii="Arial" w:eastAsia="Arial" w:hAnsi="Arial" w:cs="Arial"/>
                <w:spacing w:val="-2"/>
                <w:sz w:val="20"/>
                <w:szCs w:val="20"/>
              </w:rPr>
              <w:t>l</w:t>
            </w:r>
            <w:r w:rsidRPr="000F5A61">
              <w:rPr>
                <w:rFonts w:ascii="Arial" w:eastAsia="Arial" w:hAnsi="Arial" w:cs="Arial"/>
                <w:spacing w:val="4"/>
                <w:sz w:val="20"/>
                <w:szCs w:val="20"/>
              </w:rPr>
              <w:t>l</w:t>
            </w:r>
            <w:r w:rsidRPr="000F5A61">
              <w:rPr>
                <w:rFonts w:ascii="Arial" w:eastAsia="Arial" w:hAnsi="Arial" w:cs="Arial"/>
                <w:sz w:val="20"/>
                <w:szCs w:val="20"/>
              </w:rPr>
              <w:t>ya</w:t>
            </w:r>
            <w:r w:rsidRPr="000F5A61">
              <w:rPr>
                <w:rFonts w:ascii="Arial" w:eastAsia="Arial" w:hAnsi="Arial" w:cs="Arial"/>
                <w:spacing w:val="1"/>
                <w:sz w:val="20"/>
                <w:szCs w:val="20"/>
              </w:rPr>
              <w:t>cc</w:t>
            </w:r>
            <w:r w:rsidRPr="000F5A61">
              <w:rPr>
                <w:rFonts w:ascii="Arial" w:eastAsia="Arial" w:hAnsi="Arial" w:cs="Arial"/>
                <w:sz w:val="20"/>
                <w:szCs w:val="20"/>
              </w:rPr>
              <w:t>e</w:t>
            </w:r>
            <w:r w:rsidRPr="000F5A61">
              <w:rPr>
                <w:rFonts w:ascii="Arial" w:eastAsia="Arial" w:hAnsi="Arial" w:cs="Arial"/>
                <w:spacing w:val="1"/>
                <w:sz w:val="20"/>
                <w:szCs w:val="20"/>
              </w:rPr>
              <w:t>s</w:t>
            </w:r>
            <w:r w:rsidRPr="000F5A61">
              <w:rPr>
                <w:rFonts w:ascii="Arial" w:eastAsia="Arial" w:hAnsi="Arial" w:cs="Arial"/>
                <w:sz w:val="20"/>
                <w:szCs w:val="20"/>
              </w:rPr>
              <w:t>sthe</w:t>
            </w:r>
            <w:r w:rsidRPr="000F5A61">
              <w:rPr>
                <w:rFonts w:ascii="Arial" w:eastAsia="Arial" w:hAnsi="Arial" w:cs="Arial"/>
                <w:spacing w:val="1"/>
                <w:sz w:val="20"/>
                <w:szCs w:val="20"/>
              </w:rPr>
              <w:t>c</w:t>
            </w:r>
            <w:r w:rsidRPr="000F5A61">
              <w:rPr>
                <w:rFonts w:ascii="Arial" w:eastAsia="Arial" w:hAnsi="Arial" w:cs="Arial"/>
                <w:spacing w:val="4"/>
                <w:sz w:val="20"/>
                <w:szCs w:val="20"/>
              </w:rPr>
              <w:t>o</w:t>
            </w:r>
            <w:r w:rsidRPr="000F5A61">
              <w:rPr>
                <w:rFonts w:ascii="Arial" w:eastAsia="Arial" w:hAnsi="Arial" w:cs="Arial"/>
                <w:spacing w:val="1"/>
                <w:sz w:val="20"/>
                <w:szCs w:val="20"/>
              </w:rPr>
              <w:t>-</w:t>
            </w:r>
            <w:r w:rsidRPr="000F5A61">
              <w:rPr>
                <w:rFonts w:ascii="Arial" w:eastAsia="Arial" w:hAnsi="Arial" w:cs="Arial"/>
                <w:spacing w:val="2"/>
                <w:sz w:val="20"/>
                <w:szCs w:val="20"/>
              </w:rPr>
              <w:t>f</w:t>
            </w:r>
            <w:r w:rsidRPr="000F5A61">
              <w:rPr>
                <w:rFonts w:ascii="Arial" w:eastAsia="Arial" w:hAnsi="Arial" w:cs="Arial"/>
                <w:spacing w:val="-1"/>
                <w:sz w:val="20"/>
                <w:szCs w:val="20"/>
              </w:rPr>
              <w:t>i</w:t>
            </w:r>
            <w:r w:rsidRPr="000F5A61">
              <w:rPr>
                <w:rFonts w:ascii="Arial" w:eastAsia="Arial" w:hAnsi="Arial" w:cs="Arial"/>
                <w:spacing w:val="2"/>
                <w:sz w:val="20"/>
                <w:szCs w:val="20"/>
              </w:rPr>
              <w:t>n</w:t>
            </w:r>
            <w:r w:rsidRPr="000F5A61">
              <w:rPr>
                <w:rFonts w:ascii="Arial" w:eastAsia="Arial" w:hAnsi="Arial" w:cs="Arial"/>
                <w:sz w:val="20"/>
                <w:szCs w:val="20"/>
              </w:rPr>
              <w:t>a</w:t>
            </w:r>
            <w:r w:rsidRPr="000F5A61">
              <w:rPr>
                <w:rFonts w:ascii="Arial" w:eastAsia="Arial" w:hAnsi="Arial" w:cs="Arial"/>
                <w:spacing w:val="-1"/>
                <w:sz w:val="20"/>
                <w:szCs w:val="20"/>
              </w:rPr>
              <w:t>n</w:t>
            </w:r>
            <w:r w:rsidRPr="000F5A61">
              <w:rPr>
                <w:rFonts w:ascii="Arial" w:eastAsia="Arial" w:hAnsi="Arial" w:cs="Arial"/>
                <w:spacing w:val="1"/>
                <w:sz w:val="20"/>
                <w:szCs w:val="20"/>
              </w:rPr>
              <w:t>ci</w:t>
            </w:r>
            <w:r w:rsidRPr="000F5A61">
              <w:rPr>
                <w:rFonts w:ascii="Arial" w:eastAsia="Arial" w:hAnsi="Arial" w:cs="Arial"/>
                <w:sz w:val="20"/>
                <w:szCs w:val="20"/>
              </w:rPr>
              <w:t>ng</w:t>
            </w:r>
            <w:r w:rsidRPr="000F5A61">
              <w:rPr>
                <w:rFonts w:ascii="Arial" w:eastAsia="Arial" w:hAnsi="Arial" w:cs="Arial"/>
                <w:spacing w:val="-1"/>
                <w:sz w:val="20"/>
                <w:szCs w:val="20"/>
              </w:rPr>
              <w:t>i</w:t>
            </w:r>
            <w:r w:rsidRPr="000F5A61">
              <w:rPr>
                <w:rFonts w:ascii="Arial" w:eastAsia="Arial" w:hAnsi="Arial" w:cs="Arial"/>
                <w:sz w:val="20"/>
                <w:szCs w:val="20"/>
              </w:rPr>
              <w:t>n</w:t>
            </w:r>
            <w:r w:rsidRPr="000F5A61">
              <w:rPr>
                <w:rFonts w:ascii="Arial" w:eastAsia="Arial" w:hAnsi="Arial" w:cs="Arial"/>
                <w:spacing w:val="1"/>
                <w:sz w:val="20"/>
                <w:szCs w:val="20"/>
              </w:rPr>
              <w:t>c</w:t>
            </w:r>
            <w:r w:rsidRPr="000F5A61">
              <w:rPr>
                <w:rFonts w:ascii="Arial" w:eastAsia="Arial" w:hAnsi="Arial" w:cs="Arial"/>
                <w:sz w:val="20"/>
                <w:szCs w:val="20"/>
              </w:rPr>
              <w:t>e</w:t>
            </w:r>
            <w:r w:rsidRPr="000F5A61">
              <w:rPr>
                <w:rFonts w:ascii="Arial" w:eastAsia="Arial" w:hAnsi="Arial" w:cs="Arial"/>
                <w:spacing w:val="-1"/>
                <w:sz w:val="20"/>
                <w:szCs w:val="20"/>
              </w:rPr>
              <w:t>n</w:t>
            </w:r>
            <w:r w:rsidRPr="000F5A61">
              <w:rPr>
                <w:rFonts w:ascii="Arial" w:eastAsia="Arial" w:hAnsi="Arial" w:cs="Arial"/>
                <w:spacing w:val="2"/>
                <w:sz w:val="20"/>
                <w:szCs w:val="20"/>
              </w:rPr>
              <w:t>t</w:t>
            </w:r>
            <w:r w:rsidRPr="000F5A61">
              <w:rPr>
                <w:rFonts w:ascii="Arial" w:eastAsia="Arial" w:hAnsi="Arial" w:cs="Arial"/>
                <w:spacing w:val="1"/>
                <w:sz w:val="20"/>
                <w:szCs w:val="20"/>
              </w:rPr>
              <w:t>i</w:t>
            </w:r>
            <w:r w:rsidRPr="000F5A61">
              <w:rPr>
                <w:rFonts w:ascii="Arial" w:eastAsia="Arial" w:hAnsi="Arial" w:cs="Arial"/>
                <w:spacing w:val="-1"/>
                <w:sz w:val="20"/>
                <w:szCs w:val="20"/>
              </w:rPr>
              <w:t>v</w:t>
            </w:r>
            <w:r w:rsidRPr="000F5A61">
              <w:rPr>
                <w:rFonts w:ascii="Arial" w:eastAsia="Arial" w:hAnsi="Arial" w:cs="Arial"/>
                <w:sz w:val="20"/>
                <w:szCs w:val="20"/>
              </w:rPr>
              <w:t>e,as</w:t>
            </w:r>
            <w:r w:rsidRPr="000F5A61">
              <w:rPr>
                <w:rFonts w:ascii="Arial" w:eastAsia="Arial" w:hAnsi="Arial" w:cs="Arial"/>
                <w:spacing w:val="1"/>
                <w:sz w:val="20"/>
                <w:szCs w:val="20"/>
              </w:rPr>
              <w:t>s</w:t>
            </w:r>
            <w:r w:rsidRPr="000F5A61">
              <w:rPr>
                <w:rFonts w:ascii="Arial" w:eastAsia="Arial" w:hAnsi="Arial" w:cs="Arial"/>
                <w:sz w:val="20"/>
                <w:szCs w:val="20"/>
              </w:rPr>
              <w:t xml:space="preserve">et </w:t>
            </w:r>
            <w:r w:rsidRPr="000F5A61">
              <w:rPr>
                <w:rFonts w:ascii="Arial" w:eastAsia="Arial" w:hAnsi="Arial" w:cs="Arial"/>
                <w:spacing w:val="2"/>
                <w:sz w:val="20"/>
                <w:szCs w:val="20"/>
              </w:rPr>
              <w:t>f</w:t>
            </w:r>
            <w:r w:rsidRPr="000F5A61">
              <w:rPr>
                <w:rFonts w:ascii="Arial" w:eastAsia="Arial" w:hAnsi="Arial" w:cs="Arial"/>
                <w:sz w:val="20"/>
                <w:szCs w:val="20"/>
              </w:rPr>
              <w:t>orth</w:t>
            </w:r>
            <w:r w:rsidRPr="000F5A61">
              <w:rPr>
                <w:rFonts w:ascii="Arial" w:eastAsia="Arial" w:hAnsi="Arial" w:cs="Arial"/>
                <w:spacing w:val="-1"/>
                <w:sz w:val="20"/>
                <w:szCs w:val="20"/>
              </w:rPr>
              <w:t>i</w:t>
            </w:r>
            <w:r w:rsidRPr="000F5A61">
              <w:rPr>
                <w:rFonts w:ascii="Arial" w:eastAsia="Arial" w:hAnsi="Arial" w:cs="Arial"/>
                <w:sz w:val="20"/>
                <w:szCs w:val="20"/>
              </w:rPr>
              <w:t>nt</w:t>
            </w:r>
            <w:r w:rsidRPr="000F5A61">
              <w:rPr>
                <w:rFonts w:ascii="Arial" w:eastAsia="Arial" w:hAnsi="Arial" w:cs="Arial"/>
                <w:spacing w:val="2"/>
                <w:sz w:val="20"/>
                <w:szCs w:val="20"/>
              </w:rPr>
              <w:t>h</w:t>
            </w:r>
            <w:r w:rsidRPr="000F5A61">
              <w:rPr>
                <w:rFonts w:ascii="Arial" w:eastAsia="Arial" w:hAnsi="Arial" w:cs="Arial"/>
                <w:sz w:val="20"/>
                <w:szCs w:val="20"/>
              </w:rPr>
              <w:t>e</w:t>
            </w:r>
            <w:r w:rsidRPr="000F5A61">
              <w:rPr>
                <w:rFonts w:ascii="Arial" w:eastAsia="Arial" w:hAnsi="Arial" w:cs="Arial"/>
                <w:spacing w:val="1"/>
                <w:sz w:val="20"/>
                <w:szCs w:val="20"/>
              </w:rPr>
              <w:t>S</w:t>
            </w:r>
            <w:r w:rsidRPr="000F5A61">
              <w:rPr>
                <w:rFonts w:ascii="Arial" w:eastAsia="Arial" w:hAnsi="Arial" w:cs="Arial"/>
                <w:sz w:val="20"/>
                <w:szCs w:val="20"/>
              </w:rPr>
              <w:t>u</w:t>
            </w:r>
            <w:r w:rsidRPr="000F5A61">
              <w:rPr>
                <w:rFonts w:ascii="Arial" w:eastAsia="Arial" w:hAnsi="Arial" w:cs="Arial"/>
                <w:spacing w:val="1"/>
                <w:sz w:val="20"/>
                <w:szCs w:val="20"/>
              </w:rPr>
              <w:t>s</w:t>
            </w:r>
            <w:r w:rsidRPr="000F5A61">
              <w:rPr>
                <w:rFonts w:ascii="Arial" w:eastAsia="Arial" w:hAnsi="Arial" w:cs="Arial"/>
                <w:sz w:val="20"/>
                <w:szCs w:val="20"/>
              </w:rPr>
              <w:t>ta</w:t>
            </w:r>
            <w:r w:rsidRPr="000F5A61">
              <w:rPr>
                <w:rFonts w:ascii="Arial" w:eastAsia="Arial" w:hAnsi="Arial" w:cs="Arial"/>
                <w:spacing w:val="1"/>
                <w:sz w:val="20"/>
                <w:szCs w:val="20"/>
              </w:rPr>
              <w:t>i</w:t>
            </w:r>
            <w:r w:rsidRPr="000F5A61">
              <w:rPr>
                <w:rFonts w:ascii="Arial" w:eastAsia="Arial" w:hAnsi="Arial" w:cs="Arial"/>
                <w:sz w:val="20"/>
                <w:szCs w:val="20"/>
              </w:rPr>
              <w:t>n</w:t>
            </w:r>
            <w:r w:rsidRPr="000F5A61">
              <w:rPr>
                <w:rFonts w:ascii="Arial" w:eastAsia="Arial" w:hAnsi="Arial" w:cs="Arial"/>
                <w:spacing w:val="-1"/>
                <w:sz w:val="20"/>
                <w:szCs w:val="20"/>
              </w:rPr>
              <w:t>a</w:t>
            </w:r>
            <w:r w:rsidRPr="000F5A61">
              <w:rPr>
                <w:rFonts w:ascii="Arial" w:eastAsia="Arial" w:hAnsi="Arial" w:cs="Arial"/>
                <w:spacing w:val="2"/>
                <w:sz w:val="20"/>
                <w:szCs w:val="20"/>
              </w:rPr>
              <w:t>b</w:t>
            </w:r>
            <w:r w:rsidRPr="000F5A61">
              <w:rPr>
                <w:rFonts w:ascii="Arial" w:eastAsia="Arial" w:hAnsi="Arial" w:cs="Arial"/>
                <w:spacing w:val="-1"/>
                <w:sz w:val="20"/>
                <w:szCs w:val="20"/>
              </w:rPr>
              <w:t>i</w:t>
            </w:r>
            <w:r w:rsidRPr="000F5A61">
              <w:rPr>
                <w:rFonts w:ascii="Arial" w:eastAsia="Arial" w:hAnsi="Arial" w:cs="Arial"/>
                <w:spacing w:val="1"/>
                <w:sz w:val="20"/>
                <w:szCs w:val="20"/>
              </w:rPr>
              <w:t>l</w:t>
            </w:r>
            <w:r w:rsidRPr="000F5A61">
              <w:rPr>
                <w:rFonts w:ascii="Arial" w:eastAsia="Arial" w:hAnsi="Arial" w:cs="Arial"/>
                <w:spacing w:val="-1"/>
                <w:sz w:val="20"/>
                <w:szCs w:val="20"/>
              </w:rPr>
              <w:t>i</w:t>
            </w:r>
            <w:r w:rsidRPr="000F5A61">
              <w:rPr>
                <w:rFonts w:ascii="Arial" w:eastAsia="Arial" w:hAnsi="Arial" w:cs="Arial"/>
                <w:spacing w:val="4"/>
                <w:sz w:val="20"/>
                <w:szCs w:val="20"/>
              </w:rPr>
              <w:t>t</w:t>
            </w:r>
            <w:r w:rsidRPr="000F5A61">
              <w:rPr>
                <w:rFonts w:ascii="Arial" w:eastAsia="Arial" w:hAnsi="Arial" w:cs="Arial"/>
                <w:spacing w:val="-4"/>
                <w:sz w:val="20"/>
                <w:szCs w:val="20"/>
              </w:rPr>
              <w:t>y</w:t>
            </w:r>
            <w:r w:rsidRPr="000F5A61">
              <w:rPr>
                <w:rFonts w:ascii="Arial" w:eastAsia="Arial" w:hAnsi="Arial" w:cs="Arial"/>
                <w:sz w:val="20"/>
                <w:szCs w:val="20"/>
              </w:rPr>
              <w:t>,</w:t>
            </w:r>
            <w:r w:rsidRPr="000F5A61">
              <w:rPr>
                <w:rFonts w:ascii="Arial" w:eastAsia="Arial" w:hAnsi="Arial" w:cs="Arial"/>
                <w:spacing w:val="3"/>
                <w:sz w:val="20"/>
                <w:szCs w:val="20"/>
              </w:rPr>
              <w:t>T</w:t>
            </w:r>
            <w:r w:rsidRPr="000F5A61">
              <w:rPr>
                <w:rFonts w:ascii="Arial" w:eastAsia="Arial" w:hAnsi="Arial" w:cs="Arial"/>
                <w:spacing w:val="1"/>
                <w:sz w:val="20"/>
                <w:szCs w:val="20"/>
              </w:rPr>
              <w:t>r</w:t>
            </w:r>
            <w:r w:rsidRPr="000F5A61">
              <w:rPr>
                <w:rFonts w:ascii="Arial" w:eastAsia="Arial" w:hAnsi="Arial" w:cs="Arial"/>
                <w:sz w:val="20"/>
                <w:szCs w:val="20"/>
              </w:rPr>
              <w:t>a</w:t>
            </w:r>
            <w:r w:rsidRPr="000F5A61">
              <w:rPr>
                <w:rFonts w:ascii="Arial" w:eastAsia="Arial" w:hAnsi="Arial" w:cs="Arial"/>
                <w:spacing w:val="-1"/>
                <w:sz w:val="20"/>
                <w:szCs w:val="20"/>
              </w:rPr>
              <w:t>n</w:t>
            </w:r>
            <w:r w:rsidRPr="000F5A61">
              <w:rPr>
                <w:rFonts w:ascii="Arial" w:eastAsia="Arial" w:hAnsi="Arial" w:cs="Arial"/>
                <w:spacing w:val="1"/>
                <w:sz w:val="20"/>
                <w:szCs w:val="20"/>
              </w:rPr>
              <w:t>s</w:t>
            </w:r>
            <w:r w:rsidRPr="000F5A61">
              <w:rPr>
                <w:rFonts w:ascii="Arial" w:eastAsia="Arial" w:hAnsi="Arial" w:cs="Arial"/>
                <w:spacing w:val="-1"/>
                <w:sz w:val="20"/>
                <w:szCs w:val="20"/>
              </w:rPr>
              <w:t>i</w:t>
            </w:r>
            <w:r w:rsidRPr="000F5A61">
              <w:rPr>
                <w:rFonts w:ascii="Arial" w:eastAsia="Arial" w:hAnsi="Arial" w:cs="Arial"/>
                <w:sz w:val="20"/>
                <w:szCs w:val="20"/>
              </w:rPr>
              <w:t>t</w:t>
            </w:r>
            <w:r w:rsidRPr="000F5A61">
              <w:rPr>
                <w:rFonts w:ascii="Arial" w:eastAsia="Arial" w:hAnsi="Arial" w:cs="Arial"/>
                <w:spacing w:val="-1"/>
                <w:sz w:val="20"/>
                <w:szCs w:val="20"/>
              </w:rPr>
              <w:t>i</w:t>
            </w:r>
            <w:r w:rsidRPr="000F5A61">
              <w:rPr>
                <w:rFonts w:ascii="Arial" w:eastAsia="Arial" w:hAnsi="Arial" w:cs="Arial"/>
                <w:sz w:val="20"/>
                <w:szCs w:val="20"/>
              </w:rPr>
              <w:t>on</w:t>
            </w:r>
            <w:r w:rsidRPr="000F5A61">
              <w:rPr>
                <w:rFonts w:ascii="Arial" w:eastAsia="Arial" w:hAnsi="Arial" w:cs="Arial"/>
                <w:spacing w:val="2"/>
                <w:sz w:val="20"/>
                <w:szCs w:val="20"/>
              </w:rPr>
              <w:t>a</w:t>
            </w:r>
            <w:r w:rsidRPr="000F5A61">
              <w:rPr>
                <w:rFonts w:ascii="Arial" w:eastAsia="Arial" w:hAnsi="Arial" w:cs="Arial"/>
                <w:sz w:val="20"/>
                <w:szCs w:val="20"/>
              </w:rPr>
              <w:t>nd</w:t>
            </w:r>
            <w:r w:rsidRPr="000F5A61">
              <w:rPr>
                <w:rFonts w:ascii="Arial" w:eastAsia="Arial" w:hAnsi="Arial" w:cs="Arial"/>
                <w:spacing w:val="2"/>
                <w:sz w:val="20"/>
                <w:szCs w:val="20"/>
              </w:rPr>
              <w:t>C</w:t>
            </w:r>
            <w:r w:rsidRPr="000F5A61">
              <w:rPr>
                <w:rFonts w:ascii="Arial" w:eastAsia="Arial" w:hAnsi="Arial" w:cs="Arial"/>
                <w:spacing w:val="4"/>
                <w:sz w:val="20"/>
                <w:szCs w:val="20"/>
              </w:rPr>
              <w:t>o</w:t>
            </w:r>
            <w:r w:rsidRPr="000F5A61">
              <w:rPr>
                <w:rFonts w:ascii="Arial" w:eastAsia="Arial" w:hAnsi="Arial" w:cs="Arial"/>
                <w:spacing w:val="1"/>
                <w:sz w:val="20"/>
                <w:szCs w:val="20"/>
              </w:rPr>
              <w:t>-</w:t>
            </w:r>
            <w:r w:rsidRPr="000F5A61">
              <w:rPr>
                <w:rFonts w:ascii="Arial" w:eastAsia="Arial" w:hAnsi="Arial" w:cs="Arial"/>
                <w:spacing w:val="2"/>
                <w:sz w:val="20"/>
                <w:szCs w:val="20"/>
              </w:rPr>
              <w:t>f</w:t>
            </w:r>
            <w:r w:rsidRPr="000F5A61">
              <w:rPr>
                <w:rFonts w:ascii="Arial" w:eastAsia="Arial" w:hAnsi="Arial" w:cs="Arial"/>
                <w:spacing w:val="-1"/>
                <w:sz w:val="20"/>
                <w:szCs w:val="20"/>
              </w:rPr>
              <w:t>i</w:t>
            </w:r>
            <w:r w:rsidRPr="000F5A61">
              <w:rPr>
                <w:rFonts w:ascii="Arial" w:eastAsia="Arial" w:hAnsi="Arial" w:cs="Arial"/>
                <w:sz w:val="20"/>
                <w:szCs w:val="20"/>
              </w:rPr>
              <w:t>n</w:t>
            </w:r>
            <w:r w:rsidRPr="000F5A61">
              <w:rPr>
                <w:rFonts w:ascii="Arial" w:eastAsia="Arial" w:hAnsi="Arial" w:cs="Arial"/>
                <w:spacing w:val="-1"/>
                <w:sz w:val="20"/>
                <w:szCs w:val="20"/>
              </w:rPr>
              <w:t>a</w:t>
            </w:r>
            <w:r w:rsidRPr="000F5A61">
              <w:rPr>
                <w:rFonts w:ascii="Arial" w:eastAsia="Arial" w:hAnsi="Arial" w:cs="Arial"/>
                <w:sz w:val="20"/>
                <w:szCs w:val="20"/>
              </w:rPr>
              <w:t>n</w:t>
            </w:r>
            <w:r w:rsidRPr="000F5A61">
              <w:rPr>
                <w:rFonts w:ascii="Arial" w:eastAsia="Arial" w:hAnsi="Arial" w:cs="Arial"/>
                <w:spacing w:val="1"/>
                <w:sz w:val="20"/>
                <w:szCs w:val="20"/>
              </w:rPr>
              <w:t>ci</w:t>
            </w:r>
            <w:r w:rsidRPr="000F5A61">
              <w:rPr>
                <w:rFonts w:ascii="Arial" w:eastAsia="Arial" w:hAnsi="Arial" w:cs="Arial"/>
                <w:spacing w:val="2"/>
                <w:sz w:val="20"/>
                <w:szCs w:val="20"/>
              </w:rPr>
              <w:t>n</w:t>
            </w:r>
            <w:r w:rsidRPr="000F5A61">
              <w:rPr>
                <w:rFonts w:ascii="Arial" w:eastAsia="Arial" w:hAnsi="Arial" w:cs="Arial"/>
                <w:sz w:val="20"/>
                <w:szCs w:val="20"/>
              </w:rPr>
              <w:t xml:space="preserve">g </w:t>
            </w:r>
            <w:r w:rsidRPr="000F5A61">
              <w:rPr>
                <w:rFonts w:ascii="Arial" w:eastAsia="Arial" w:hAnsi="Arial" w:cs="Arial"/>
                <w:spacing w:val="-1"/>
                <w:sz w:val="20"/>
                <w:szCs w:val="20"/>
              </w:rPr>
              <w:t>P</w:t>
            </w:r>
            <w:r w:rsidRPr="000F5A61">
              <w:rPr>
                <w:rFonts w:ascii="Arial" w:eastAsia="Arial" w:hAnsi="Arial" w:cs="Arial"/>
                <w:spacing w:val="2"/>
                <w:sz w:val="20"/>
                <w:szCs w:val="20"/>
              </w:rPr>
              <w:t>o</w:t>
            </w:r>
            <w:r w:rsidRPr="000F5A61">
              <w:rPr>
                <w:rFonts w:ascii="Arial" w:eastAsia="Arial" w:hAnsi="Arial" w:cs="Arial"/>
                <w:spacing w:val="-1"/>
                <w:sz w:val="20"/>
                <w:szCs w:val="20"/>
              </w:rPr>
              <w:t>li</w:t>
            </w:r>
            <w:r w:rsidRPr="000F5A61">
              <w:rPr>
                <w:rFonts w:ascii="Arial" w:eastAsia="Arial" w:hAnsi="Arial" w:cs="Arial"/>
                <w:spacing w:val="6"/>
                <w:sz w:val="20"/>
                <w:szCs w:val="20"/>
              </w:rPr>
              <w:t>c</w:t>
            </w:r>
            <w:r w:rsidRPr="000F5A61">
              <w:rPr>
                <w:rFonts w:ascii="Arial" w:eastAsia="Arial" w:hAnsi="Arial" w:cs="Arial"/>
                <w:spacing w:val="-2"/>
                <w:sz w:val="20"/>
                <w:szCs w:val="20"/>
              </w:rPr>
              <w:t>y</w:t>
            </w:r>
            <w:r w:rsidRPr="000F5A61">
              <w:rPr>
                <w:rFonts w:ascii="Arial" w:eastAsia="Arial" w:hAnsi="Arial" w:cs="Arial"/>
                <w:spacing w:val="2"/>
                <w:sz w:val="20"/>
                <w:szCs w:val="20"/>
              </w:rPr>
              <w:t>?</w:t>
            </w:r>
            <w:r w:rsidRPr="000F5A61">
              <w:rPr>
                <w:rFonts w:ascii="Arial" w:eastAsia="Arial" w:hAnsi="Arial" w:cs="Arial"/>
                <w:b/>
                <w:sz w:val="20"/>
                <w:szCs w:val="20"/>
              </w:rPr>
              <w:t>Ifno</w:t>
            </w:r>
            <w:r w:rsidRPr="000F5A61">
              <w:rPr>
                <w:rFonts w:ascii="Arial" w:eastAsia="Arial" w:hAnsi="Arial" w:cs="Arial"/>
                <w:b/>
                <w:spacing w:val="2"/>
                <w:sz w:val="20"/>
                <w:szCs w:val="20"/>
              </w:rPr>
              <w:t>t</w:t>
            </w:r>
            <w:r w:rsidRPr="000F5A61">
              <w:rPr>
                <w:rFonts w:ascii="Arial" w:eastAsia="Arial" w:hAnsi="Arial" w:cs="Arial"/>
                <w:sz w:val="20"/>
                <w:szCs w:val="20"/>
              </w:rPr>
              <w:t>, pro</w:t>
            </w:r>
            <w:r w:rsidRPr="000F5A61">
              <w:rPr>
                <w:rFonts w:ascii="Arial" w:eastAsia="Arial" w:hAnsi="Arial" w:cs="Arial"/>
                <w:spacing w:val="1"/>
                <w:sz w:val="20"/>
                <w:szCs w:val="20"/>
              </w:rPr>
              <w:t>v</w:t>
            </w:r>
            <w:r w:rsidRPr="000F5A61">
              <w:rPr>
                <w:rFonts w:ascii="Arial" w:eastAsia="Arial" w:hAnsi="Arial" w:cs="Arial"/>
                <w:spacing w:val="-1"/>
                <w:sz w:val="20"/>
                <w:szCs w:val="20"/>
              </w:rPr>
              <w:t>i</w:t>
            </w:r>
            <w:r w:rsidRPr="000F5A61">
              <w:rPr>
                <w:rFonts w:ascii="Arial" w:eastAsia="Arial" w:hAnsi="Arial" w:cs="Arial"/>
                <w:sz w:val="20"/>
                <w:szCs w:val="20"/>
              </w:rPr>
              <w:t>de</w:t>
            </w:r>
            <w:r w:rsidRPr="000F5A61">
              <w:rPr>
                <w:rFonts w:ascii="Arial" w:eastAsia="Arial" w:hAnsi="Arial" w:cs="Arial"/>
                <w:spacing w:val="3"/>
                <w:sz w:val="20"/>
                <w:szCs w:val="20"/>
              </w:rPr>
              <w:t>r</w:t>
            </w:r>
            <w:r w:rsidRPr="000F5A61">
              <w:rPr>
                <w:rFonts w:ascii="Arial" w:eastAsia="Arial" w:hAnsi="Arial" w:cs="Arial"/>
                <w:sz w:val="20"/>
                <w:szCs w:val="20"/>
              </w:rPr>
              <w:t>e</w:t>
            </w:r>
            <w:r w:rsidRPr="000F5A61">
              <w:rPr>
                <w:rFonts w:ascii="Arial" w:eastAsia="Arial" w:hAnsi="Arial" w:cs="Arial"/>
                <w:spacing w:val="-1"/>
                <w:sz w:val="20"/>
                <w:szCs w:val="20"/>
              </w:rPr>
              <w:t>a</w:t>
            </w:r>
            <w:r w:rsidRPr="000F5A61">
              <w:rPr>
                <w:rFonts w:ascii="Arial" w:eastAsia="Arial" w:hAnsi="Arial" w:cs="Arial"/>
                <w:spacing w:val="1"/>
                <w:sz w:val="20"/>
                <w:szCs w:val="20"/>
              </w:rPr>
              <w:t>s</w:t>
            </w:r>
            <w:r w:rsidRPr="000F5A61">
              <w:rPr>
                <w:rFonts w:ascii="Arial" w:eastAsia="Arial" w:hAnsi="Arial" w:cs="Arial"/>
                <w:sz w:val="20"/>
                <w:szCs w:val="20"/>
              </w:rPr>
              <w:t>o</w:t>
            </w:r>
            <w:r w:rsidRPr="000F5A61">
              <w:rPr>
                <w:rFonts w:ascii="Arial" w:eastAsia="Arial" w:hAnsi="Arial" w:cs="Arial"/>
                <w:spacing w:val="-1"/>
                <w:sz w:val="20"/>
                <w:szCs w:val="20"/>
              </w:rPr>
              <w:t>n</w:t>
            </w:r>
            <w:r w:rsidRPr="000F5A61">
              <w:rPr>
                <w:rFonts w:ascii="Arial" w:eastAsia="Arial" w:hAnsi="Arial" w:cs="Arial"/>
                <w:sz w:val="20"/>
                <w:szCs w:val="20"/>
              </w:rPr>
              <w:t>s</w:t>
            </w:r>
            <w:r w:rsidRPr="000F5A61">
              <w:rPr>
                <w:rFonts w:ascii="Arial" w:eastAsia="Arial" w:hAnsi="Arial" w:cs="Arial"/>
                <w:spacing w:val="2"/>
                <w:sz w:val="20"/>
                <w:szCs w:val="20"/>
              </w:rPr>
              <w:t>b</w:t>
            </w:r>
            <w:r w:rsidRPr="000F5A61">
              <w:rPr>
                <w:rFonts w:ascii="Arial" w:eastAsia="Arial" w:hAnsi="Arial" w:cs="Arial"/>
                <w:sz w:val="20"/>
                <w:szCs w:val="20"/>
              </w:rPr>
              <w:t>e</w:t>
            </w:r>
            <w:r w:rsidRPr="000F5A61">
              <w:rPr>
                <w:rFonts w:ascii="Arial" w:eastAsia="Arial" w:hAnsi="Arial" w:cs="Arial"/>
                <w:spacing w:val="1"/>
                <w:sz w:val="20"/>
                <w:szCs w:val="20"/>
              </w:rPr>
              <w:t>l</w:t>
            </w:r>
            <w:r w:rsidRPr="000F5A61">
              <w:rPr>
                <w:rFonts w:ascii="Arial" w:eastAsia="Arial" w:hAnsi="Arial" w:cs="Arial"/>
                <w:spacing w:val="2"/>
                <w:sz w:val="20"/>
                <w:szCs w:val="20"/>
              </w:rPr>
              <w:t>o</w:t>
            </w:r>
            <w:r w:rsidRPr="000F5A61">
              <w:rPr>
                <w:rFonts w:ascii="Arial" w:eastAsia="Arial" w:hAnsi="Arial" w:cs="Arial"/>
                <w:spacing w:val="-2"/>
                <w:sz w:val="20"/>
                <w:szCs w:val="20"/>
              </w:rPr>
              <w:t>w</w:t>
            </w:r>
            <w:r w:rsidRPr="000F5A61">
              <w:rPr>
                <w:rFonts w:ascii="Arial" w:eastAsia="Arial" w:hAnsi="Arial" w:cs="Arial"/>
                <w:sz w:val="20"/>
                <w:szCs w:val="20"/>
              </w:rPr>
              <w:t>.</w:t>
            </w:r>
          </w:p>
        </w:tc>
        <w:tc>
          <w:tcPr>
            <w:tcW w:w="2096" w:type="dxa"/>
            <w:tcBorders>
              <w:top w:val="single" w:sz="5" w:space="0" w:color="808080"/>
              <w:left w:val="single" w:sz="5" w:space="0" w:color="808080"/>
              <w:bottom w:val="single" w:sz="5" w:space="0" w:color="808080"/>
              <w:right w:val="single" w:sz="5" w:space="0" w:color="808080"/>
            </w:tcBorders>
          </w:tcPr>
          <w:p w:rsidR="00C31623" w:rsidRPr="000F5A61" w:rsidRDefault="00C31623" w:rsidP="005A251C">
            <w:pPr>
              <w:spacing w:line="200" w:lineRule="exact"/>
              <w:rPr>
                <w:rFonts w:ascii="Arial" w:hAnsi="Arial" w:cs="Arial"/>
                <w:sz w:val="20"/>
                <w:szCs w:val="20"/>
              </w:rPr>
            </w:pPr>
          </w:p>
          <w:p w:rsidR="00C31623" w:rsidRPr="000F5A61" w:rsidRDefault="00C31623" w:rsidP="005A251C">
            <w:pPr>
              <w:spacing w:before="3" w:line="240" w:lineRule="exact"/>
              <w:rPr>
                <w:rFonts w:ascii="Arial" w:hAnsi="Arial" w:cs="Arial"/>
                <w:sz w:val="20"/>
                <w:szCs w:val="20"/>
              </w:rPr>
            </w:pPr>
          </w:p>
          <w:p w:rsidR="00C31623" w:rsidRPr="000F5A61" w:rsidRDefault="003A3853" w:rsidP="005A251C">
            <w:pPr>
              <w:ind w:left="136"/>
              <w:rPr>
                <w:rFonts w:ascii="Arial" w:eastAsia="Arial" w:hAnsi="Arial" w:cs="Arial"/>
                <w:sz w:val="20"/>
                <w:szCs w:val="20"/>
              </w:rPr>
            </w:pPr>
            <w:r w:rsidRPr="003A3853">
              <w:rPr>
                <w:rFonts w:ascii="Segoe UI Symbol" w:eastAsia="Segoe UI Symbol" w:hAnsi="Segoe UI Symbol" w:cs="Arial"/>
                <w:sz w:val="20"/>
                <w:szCs w:val="20"/>
              </w:rPr>
              <w:t>☑</w:t>
            </w:r>
            <w:r w:rsidR="00C31623" w:rsidRPr="000F5A61">
              <w:rPr>
                <w:rFonts w:ascii="Arial" w:eastAsia="Arial" w:hAnsi="Arial" w:cs="Arial"/>
                <w:spacing w:val="-1"/>
                <w:sz w:val="20"/>
                <w:szCs w:val="20"/>
              </w:rPr>
              <w:t>Y</w:t>
            </w:r>
            <w:r w:rsidR="00C31623" w:rsidRPr="000F5A61">
              <w:rPr>
                <w:rFonts w:ascii="Arial" w:eastAsia="Arial" w:hAnsi="Arial" w:cs="Arial"/>
                <w:sz w:val="20"/>
                <w:szCs w:val="20"/>
              </w:rPr>
              <w:t xml:space="preserve">es        </w:t>
            </w:r>
            <w:r w:rsidR="00C31623" w:rsidRPr="000F5A61">
              <w:rPr>
                <w:rFonts w:ascii="Arial" w:eastAsia="Segoe UI Symbol" w:hAnsi="Arial" w:cs="Arial"/>
                <w:sz w:val="20"/>
                <w:szCs w:val="20"/>
              </w:rPr>
              <w:t>☐</w:t>
            </w:r>
            <w:r w:rsidR="00C31623" w:rsidRPr="000F5A61">
              <w:rPr>
                <w:rFonts w:ascii="Arial" w:eastAsia="Arial" w:hAnsi="Arial" w:cs="Arial"/>
                <w:sz w:val="20"/>
                <w:szCs w:val="20"/>
              </w:rPr>
              <w:t>No</w:t>
            </w:r>
          </w:p>
        </w:tc>
      </w:tr>
      <w:tr w:rsidR="00C31623" w:rsidRPr="000F5A61" w:rsidTr="00976815">
        <w:trPr>
          <w:trHeight w:hRule="exact" w:val="1227"/>
        </w:trPr>
        <w:tc>
          <w:tcPr>
            <w:tcW w:w="6798" w:type="dxa"/>
            <w:tcBorders>
              <w:top w:val="single" w:sz="5" w:space="0" w:color="808080"/>
              <w:left w:val="single" w:sz="5" w:space="0" w:color="808080"/>
              <w:bottom w:val="single" w:sz="5" w:space="0" w:color="808080"/>
              <w:right w:val="single" w:sz="5" w:space="0" w:color="808080"/>
            </w:tcBorders>
            <w:shd w:val="clear" w:color="auto" w:fill="F1F1F1"/>
          </w:tcPr>
          <w:p w:rsidR="00C31623" w:rsidRPr="000F5A61" w:rsidRDefault="00C31623" w:rsidP="005A251C">
            <w:pPr>
              <w:spacing w:before="7" w:line="100" w:lineRule="exact"/>
              <w:rPr>
                <w:rFonts w:ascii="Arial" w:hAnsi="Arial" w:cs="Arial"/>
                <w:sz w:val="20"/>
                <w:szCs w:val="20"/>
              </w:rPr>
            </w:pPr>
          </w:p>
          <w:p w:rsidR="00C31623" w:rsidRPr="000F5A61" w:rsidRDefault="00C31623" w:rsidP="005A251C">
            <w:pPr>
              <w:ind w:left="412" w:right="103" w:hanging="283"/>
              <w:jc w:val="both"/>
              <w:rPr>
                <w:rFonts w:ascii="Arial" w:eastAsia="Arial" w:hAnsi="Arial" w:cs="Arial"/>
                <w:sz w:val="20"/>
                <w:szCs w:val="20"/>
              </w:rPr>
            </w:pPr>
            <w:r w:rsidRPr="000F5A61">
              <w:rPr>
                <w:rFonts w:ascii="Arial" w:eastAsia="Arial" w:hAnsi="Arial" w:cs="Arial"/>
                <w:sz w:val="20"/>
                <w:szCs w:val="20"/>
              </w:rPr>
              <w:t xml:space="preserve">e)Does  </w:t>
            </w:r>
            <w:r w:rsidRPr="000F5A61">
              <w:rPr>
                <w:rFonts w:ascii="Arial" w:eastAsia="Arial" w:hAnsi="Arial" w:cs="Arial"/>
                <w:spacing w:val="2"/>
                <w:sz w:val="20"/>
                <w:szCs w:val="20"/>
              </w:rPr>
              <w:t>t</w:t>
            </w:r>
            <w:r w:rsidRPr="000F5A61">
              <w:rPr>
                <w:rFonts w:ascii="Arial" w:eastAsia="Arial" w:hAnsi="Arial" w:cs="Arial"/>
                <w:sz w:val="20"/>
                <w:szCs w:val="20"/>
              </w:rPr>
              <w:t>h</w:t>
            </w:r>
            <w:r w:rsidRPr="000F5A61">
              <w:rPr>
                <w:rFonts w:ascii="Arial" w:eastAsia="Arial" w:hAnsi="Arial" w:cs="Arial"/>
                <w:spacing w:val="-1"/>
                <w:sz w:val="20"/>
                <w:szCs w:val="20"/>
              </w:rPr>
              <w:t>i</w:t>
            </w:r>
            <w:r w:rsidRPr="000F5A61">
              <w:rPr>
                <w:rFonts w:ascii="Arial" w:eastAsia="Arial" w:hAnsi="Arial" w:cs="Arial"/>
                <w:sz w:val="20"/>
                <w:szCs w:val="20"/>
              </w:rPr>
              <w:t>s  a</w:t>
            </w:r>
            <w:r w:rsidRPr="000F5A61">
              <w:rPr>
                <w:rFonts w:ascii="Arial" w:eastAsia="Arial" w:hAnsi="Arial" w:cs="Arial"/>
                <w:spacing w:val="-1"/>
                <w:sz w:val="20"/>
                <w:szCs w:val="20"/>
              </w:rPr>
              <w:t>p</w:t>
            </w:r>
            <w:r w:rsidRPr="000F5A61">
              <w:rPr>
                <w:rFonts w:ascii="Arial" w:eastAsia="Arial" w:hAnsi="Arial" w:cs="Arial"/>
                <w:spacing w:val="2"/>
                <w:sz w:val="20"/>
                <w:szCs w:val="20"/>
              </w:rPr>
              <w:t>p</w:t>
            </w:r>
            <w:r w:rsidRPr="000F5A61">
              <w:rPr>
                <w:rFonts w:ascii="Arial" w:eastAsia="Arial" w:hAnsi="Arial" w:cs="Arial"/>
                <w:spacing w:val="-1"/>
                <w:sz w:val="20"/>
                <w:szCs w:val="20"/>
              </w:rPr>
              <w:t>li</w:t>
            </w:r>
            <w:r w:rsidRPr="000F5A61">
              <w:rPr>
                <w:rFonts w:ascii="Arial" w:eastAsia="Arial" w:hAnsi="Arial" w:cs="Arial"/>
                <w:spacing w:val="1"/>
                <w:sz w:val="20"/>
                <w:szCs w:val="20"/>
              </w:rPr>
              <w:t>c</w:t>
            </w:r>
            <w:r w:rsidRPr="000F5A61">
              <w:rPr>
                <w:rFonts w:ascii="Arial" w:eastAsia="Arial" w:hAnsi="Arial" w:cs="Arial"/>
                <w:sz w:val="20"/>
                <w:szCs w:val="20"/>
              </w:rPr>
              <w:t>a</w:t>
            </w:r>
            <w:r w:rsidRPr="000F5A61">
              <w:rPr>
                <w:rFonts w:ascii="Arial" w:eastAsia="Arial" w:hAnsi="Arial" w:cs="Arial"/>
                <w:spacing w:val="2"/>
                <w:sz w:val="20"/>
                <w:szCs w:val="20"/>
              </w:rPr>
              <w:t>t</w:t>
            </w:r>
            <w:r w:rsidRPr="000F5A61">
              <w:rPr>
                <w:rFonts w:ascii="Arial" w:eastAsia="Arial" w:hAnsi="Arial" w:cs="Arial"/>
                <w:spacing w:val="-1"/>
                <w:sz w:val="20"/>
                <w:szCs w:val="20"/>
              </w:rPr>
              <w:t>i</w:t>
            </w:r>
            <w:r w:rsidRPr="000F5A61">
              <w:rPr>
                <w:rFonts w:ascii="Arial" w:eastAsia="Arial" w:hAnsi="Arial" w:cs="Arial"/>
                <w:spacing w:val="2"/>
                <w:sz w:val="20"/>
                <w:szCs w:val="20"/>
              </w:rPr>
              <w:t>o</w:t>
            </w:r>
            <w:r w:rsidRPr="000F5A61">
              <w:rPr>
                <w:rFonts w:ascii="Arial" w:eastAsia="Arial" w:hAnsi="Arial" w:cs="Arial"/>
                <w:sz w:val="20"/>
                <w:szCs w:val="20"/>
              </w:rPr>
              <w:t xml:space="preserve">n   </w:t>
            </w:r>
            <w:r w:rsidRPr="000F5A61">
              <w:rPr>
                <w:rFonts w:ascii="Arial" w:eastAsia="Arial" w:hAnsi="Arial" w:cs="Arial"/>
                <w:spacing w:val="3"/>
                <w:sz w:val="20"/>
                <w:szCs w:val="20"/>
              </w:rPr>
              <w:t>r</w:t>
            </w:r>
            <w:r w:rsidRPr="000F5A61">
              <w:rPr>
                <w:rFonts w:ascii="Arial" w:eastAsia="Arial" w:hAnsi="Arial" w:cs="Arial"/>
                <w:sz w:val="20"/>
                <w:szCs w:val="20"/>
              </w:rPr>
              <w:t>e</w:t>
            </w:r>
            <w:r w:rsidRPr="000F5A61">
              <w:rPr>
                <w:rFonts w:ascii="Arial" w:eastAsia="Arial" w:hAnsi="Arial" w:cs="Arial"/>
                <w:spacing w:val="-1"/>
                <w:sz w:val="20"/>
                <w:szCs w:val="20"/>
              </w:rPr>
              <w:t>q</w:t>
            </w:r>
            <w:r w:rsidRPr="000F5A61">
              <w:rPr>
                <w:rFonts w:ascii="Arial" w:eastAsia="Arial" w:hAnsi="Arial" w:cs="Arial"/>
                <w:sz w:val="20"/>
                <w:szCs w:val="20"/>
              </w:rPr>
              <w:t>u</w:t>
            </w:r>
            <w:r w:rsidRPr="000F5A61">
              <w:rPr>
                <w:rFonts w:ascii="Arial" w:eastAsia="Arial" w:hAnsi="Arial" w:cs="Arial"/>
                <w:spacing w:val="-1"/>
                <w:sz w:val="20"/>
                <w:szCs w:val="20"/>
              </w:rPr>
              <w:t>e</w:t>
            </w:r>
            <w:r w:rsidRPr="000F5A61">
              <w:rPr>
                <w:rFonts w:ascii="Arial" w:eastAsia="Arial" w:hAnsi="Arial" w:cs="Arial"/>
                <w:spacing w:val="1"/>
                <w:sz w:val="20"/>
                <w:szCs w:val="20"/>
              </w:rPr>
              <w:t>s</w:t>
            </w:r>
            <w:r w:rsidRPr="000F5A61">
              <w:rPr>
                <w:rFonts w:ascii="Arial" w:eastAsia="Arial" w:hAnsi="Arial" w:cs="Arial"/>
                <w:sz w:val="20"/>
                <w:szCs w:val="20"/>
              </w:rPr>
              <w:t xml:space="preserve">t  </w:t>
            </w:r>
            <w:r w:rsidRPr="000F5A61">
              <w:rPr>
                <w:rFonts w:ascii="Arial" w:eastAsia="Arial" w:hAnsi="Arial" w:cs="Arial"/>
                <w:spacing w:val="1"/>
                <w:sz w:val="20"/>
                <w:szCs w:val="20"/>
              </w:rPr>
              <w:t>G</w:t>
            </w:r>
            <w:r w:rsidRPr="000F5A61">
              <w:rPr>
                <w:rFonts w:ascii="Arial" w:eastAsia="Arial" w:hAnsi="Arial" w:cs="Arial"/>
                <w:spacing w:val="-1"/>
                <w:sz w:val="20"/>
                <w:szCs w:val="20"/>
              </w:rPr>
              <w:t>l</w:t>
            </w:r>
            <w:r w:rsidRPr="000F5A61">
              <w:rPr>
                <w:rFonts w:ascii="Arial" w:eastAsia="Arial" w:hAnsi="Arial" w:cs="Arial"/>
                <w:spacing w:val="2"/>
                <w:sz w:val="20"/>
                <w:szCs w:val="20"/>
              </w:rPr>
              <w:t>o</w:t>
            </w:r>
            <w:r w:rsidRPr="000F5A61">
              <w:rPr>
                <w:rFonts w:ascii="Arial" w:eastAsia="Arial" w:hAnsi="Arial" w:cs="Arial"/>
                <w:sz w:val="20"/>
                <w:szCs w:val="20"/>
              </w:rPr>
              <w:t>b</w:t>
            </w:r>
            <w:r w:rsidRPr="000F5A61">
              <w:rPr>
                <w:rFonts w:ascii="Arial" w:eastAsia="Arial" w:hAnsi="Arial" w:cs="Arial"/>
                <w:spacing w:val="1"/>
                <w:sz w:val="20"/>
                <w:szCs w:val="20"/>
              </w:rPr>
              <w:t>a</w:t>
            </w:r>
            <w:r w:rsidRPr="000F5A61">
              <w:rPr>
                <w:rFonts w:ascii="Arial" w:eastAsia="Arial" w:hAnsi="Arial" w:cs="Arial"/>
                <w:sz w:val="20"/>
                <w:szCs w:val="20"/>
              </w:rPr>
              <w:t>l  F</w:t>
            </w:r>
            <w:r w:rsidRPr="000F5A61">
              <w:rPr>
                <w:rFonts w:ascii="Arial" w:eastAsia="Arial" w:hAnsi="Arial" w:cs="Arial"/>
                <w:spacing w:val="2"/>
                <w:sz w:val="20"/>
                <w:szCs w:val="20"/>
              </w:rPr>
              <w:t>u</w:t>
            </w:r>
            <w:r w:rsidRPr="000F5A61">
              <w:rPr>
                <w:rFonts w:ascii="Arial" w:eastAsia="Arial" w:hAnsi="Arial" w:cs="Arial"/>
                <w:sz w:val="20"/>
                <w:szCs w:val="20"/>
              </w:rPr>
              <w:t xml:space="preserve">nd  </w:t>
            </w:r>
            <w:r w:rsidRPr="000F5A61">
              <w:rPr>
                <w:rFonts w:ascii="Arial" w:eastAsia="Arial" w:hAnsi="Arial" w:cs="Arial"/>
                <w:spacing w:val="1"/>
                <w:sz w:val="20"/>
                <w:szCs w:val="20"/>
              </w:rPr>
              <w:t>s</w:t>
            </w:r>
            <w:r w:rsidRPr="000F5A61">
              <w:rPr>
                <w:rFonts w:ascii="Arial" w:eastAsia="Arial" w:hAnsi="Arial" w:cs="Arial"/>
                <w:spacing w:val="2"/>
                <w:sz w:val="20"/>
                <w:szCs w:val="20"/>
              </w:rPr>
              <w:t>u</w:t>
            </w:r>
            <w:r w:rsidRPr="000F5A61">
              <w:rPr>
                <w:rFonts w:ascii="Arial" w:eastAsia="Arial" w:hAnsi="Arial" w:cs="Arial"/>
                <w:sz w:val="20"/>
                <w:szCs w:val="20"/>
              </w:rPr>
              <w:t>p</w:t>
            </w:r>
            <w:r w:rsidRPr="000F5A61">
              <w:rPr>
                <w:rFonts w:ascii="Arial" w:eastAsia="Arial" w:hAnsi="Arial" w:cs="Arial"/>
                <w:spacing w:val="-1"/>
                <w:sz w:val="20"/>
                <w:szCs w:val="20"/>
              </w:rPr>
              <w:t>p</w:t>
            </w:r>
            <w:r w:rsidRPr="000F5A61">
              <w:rPr>
                <w:rFonts w:ascii="Arial" w:eastAsia="Arial" w:hAnsi="Arial" w:cs="Arial"/>
                <w:sz w:val="20"/>
                <w:szCs w:val="20"/>
              </w:rPr>
              <w:t xml:space="preserve">ort  </w:t>
            </w:r>
            <w:r w:rsidRPr="000F5A61">
              <w:rPr>
                <w:rFonts w:ascii="Arial" w:eastAsia="Arial" w:hAnsi="Arial" w:cs="Arial"/>
                <w:spacing w:val="2"/>
                <w:sz w:val="20"/>
                <w:szCs w:val="20"/>
              </w:rPr>
              <w:t>f</w:t>
            </w:r>
            <w:r w:rsidRPr="000F5A61">
              <w:rPr>
                <w:rFonts w:ascii="Arial" w:eastAsia="Arial" w:hAnsi="Arial" w:cs="Arial"/>
                <w:sz w:val="20"/>
                <w:szCs w:val="20"/>
              </w:rPr>
              <w:t xml:space="preserve">or  </w:t>
            </w:r>
            <w:r w:rsidRPr="000F5A61">
              <w:rPr>
                <w:rFonts w:ascii="Arial" w:eastAsia="Arial" w:hAnsi="Arial" w:cs="Arial"/>
                <w:spacing w:val="2"/>
                <w:sz w:val="20"/>
                <w:szCs w:val="20"/>
              </w:rPr>
              <w:t>t</w:t>
            </w:r>
            <w:r w:rsidRPr="000F5A61">
              <w:rPr>
                <w:rFonts w:ascii="Arial" w:eastAsia="Arial" w:hAnsi="Arial" w:cs="Arial"/>
                <w:sz w:val="20"/>
                <w:szCs w:val="20"/>
              </w:rPr>
              <w:t xml:space="preserve">he </w:t>
            </w:r>
            <w:r w:rsidRPr="000F5A61">
              <w:rPr>
                <w:rFonts w:ascii="Arial" w:eastAsia="Arial" w:hAnsi="Arial" w:cs="Arial"/>
                <w:spacing w:val="-1"/>
                <w:sz w:val="20"/>
                <w:szCs w:val="20"/>
              </w:rPr>
              <w:t>i</w:t>
            </w:r>
            <w:r w:rsidRPr="000F5A61">
              <w:rPr>
                <w:rFonts w:ascii="Arial" w:eastAsia="Arial" w:hAnsi="Arial" w:cs="Arial"/>
                <w:sz w:val="20"/>
                <w:szCs w:val="20"/>
              </w:rPr>
              <w:t>n</w:t>
            </w:r>
            <w:r w:rsidRPr="000F5A61">
              <w:rPr>
                <w:rFonts w:ascii="Arial" w:eastAsia="Arial" w:hAnsi="Arial" w:cs="Arial"/>
                <w:spacing w:val="1"/>
                <w:sz w:val="20"/>
                <w:szCs w:val="20"/>
              </w:rPr>
              <w:t>s</w:t>
            </w:r>
            <w:r w:rsidRPr="000F5A61">
              <w:rPr>
                <w:rFonts w:ascii="Arial" w:eastAsia="Arial" w:hAnsi="Arial" w:cs="Arial"/>
                <w:sz w:val="20"/>
                <w:szCs w:val="20"/>
              </w:rPr>
              <w:t>t</w:t>
            </w:r>
            <w:r w:rsidRPr="000F5A61">
              <w:rPr>
                <w:rFonts w:ascii="Arial" w:eastAsia="Arial" w:hAnsi="Arial" w:cs="Arial"/>
                <w:spacing w:val="-1"/>
                <w:sz w:val="20"/>
                <w:szCs w:val="20"/>
              </w:rPr>
              <w:t>i</w:t>
            </w:r>
            <w:r w:rsidRPr="000F5A61">
              <w:rPr>
                <w:rFonts w:ascii="Arial" w:eastAsia="Arial" w:hAnsi="Arial" w:cs="Arial"/>
                <w:spacing w:val="2"/>
                <w:sz w:val="20"/>
                <w:szCs w:val="20"/>
              </w:rPr>
              <w:t>t</w:t>
            </w:r>
            <w:r w:rsidRPr="000F5A61">
              <w:rPr>
                <w:rFonts w:ascii="Arial" w:eastAsia="Arial" w:hAnsi="Arial" w:cs="Arial"/>
                <w:sz w:val="20"/>
                <w:szCs w:val="20"/>
              </w:rPr>
              <w:t>ut</w:t>
            </w:r>
            <w:r w:rsidRPr="000F5A61">
              <w:rPr>
                <w:rFonts w:ascii="Arial" w:eastAsia="Arial" w:hAnsi="Arial" w:cs="Arial"/>
                <w:spacing w:val="1"/>
                <w:sz w:val="20"/>
                <w:szCs w:val="20"/>
              </w:rPr>
              <w:t>i</w:t>
            </w:r>
            <w:r w:rsidRPr="000F5A61">
              <w:rPr>
                <w:rFonts w:ascii="Arial" w:eastAsia="Arial" w:hAnsi="Arial" w:cs="Arial"/>
                <w:sz w:val="20"/>
                <w:szCs w:val="20"/>
              </w:rPr>
              <w:t>o</w:t>
            </w:r>
            <w:r w:rsidRPr="000F5A61">
              <w:rPr>
                <w:rFonts w:ascii="Arial" w:eastAsia="Arial" w:hAnsi="Arial" w:cs="Arial"/>
                <w:spacing w:val="-1"/>
                <w:sz w:val="20"/>
                <w:szCs w:val="20"/>
              </w:rPr>
              <w:t>n</w:t>
            </w:r>
            <w:r w:rsidRPr="000F5A61">
              <w:rPr>
                <w:rFonts w:ascii="Arial" w:eastAsia="Arial" w:hAnsi="Arial" w:cs="Arial"/>
                <w:spacing w:val="2"/>
                <w:sz w:val="20"/>
                <w:szCs w:val="20"/>
              </w:rPr>
              <w:t>a</w:t>
            </w:r>
            <w:r w:rsidRPr="000F5A61">
              <w:rPr>
                <w:rFonts w:ascii="Arial" w:eastAsia="Arial" w:hAnsi="Arial" w:cs="Arial"/>
                <w:spacing w:val="-1"/>
                <w:sz w:val="20"/>
                <w:szCs w:val="20"/>
              </w:rPr>
              <w:t>l</w:t>
            </w:r>
            <w:r w:rsidRPr="000F5A61">
              <w:rPr>
                <w:rFonts w:ascii="Arial" w:eastAsia="Arial" w:hAnsi="Arial" w:cs="Arial"/>
                <w:spacing w:val="1"/>
                <w:sz w:val="20"/>
                <w:szCs w:val="20"/>
              </w:rPr>
              <w:t>i</w:t>
            </w:r>
            <w:r w:rsidRPr="000F5A61">
              <w:rPr>
                <w:rFonts w:ascii="Arial" w:eastAsia="Arial" w:hAnsi="Arial" w:cs="Arial"/>
                <w:spacing w:val="-1"/>
                <w:sz w:val="20"/>
                <w:szCs w:val="20"/>
              </w:rPr>
              <w:t>z</w:t>
            </w:r>
            <w:r w:rsidRPr="000F5A61">
              <w:rPr>
                <w:rFonts w:ascii="Arial" w:eastAsia="Arial" w:hAnsi="Arial" w:cs="Arial"/>
                <w:spacing w:val="2"/>
                <w:sz w:val="20"/>
                <w:szCs w:val="20"/>
              </w:rPr>
              <w:t>a</w:t>
            </w:r>
            <w:r w:rsidRPr="000F5A61">
              <w:rPr>
                <w:rFonts w:ascii="Arial" w:eastAsia="Arial" w:hAnsi="Arial" w:cs="Arial"/>
                <w:sz w:val="20"/>
                <w:szCs w:val="20"/>
              </w:rPr>
              <w:t>t</w:t>
            </w:r>
            <w:r w:rsidRPr="000F5A61">
              <w:rPr>
                <w:rFonts w:ascii="Arial" w:eastAsia="Arial" w:hAnsi="Arial" w:cs="Arial"/>
                <w:spacing w:val="-1"/>
                <w:sz w:val="20"/>
                <w:szCs w:val="20"/>
              </w:rPr>
              <w:t>i</w:t>
            </w:r>
            <w:r w:rsidRPr="000F5A61">
              <w:rPr>
                <w:rFonts w:ascii="Arial" w:eastAsia="Arial" w:hAnsi="Arial" w:cs="Arial"/>
                <w:spacing w:val="2"/>
                <w:sz w:val="20"/>
                <w:szCs w:val="20"/>
              </w:rPr>
              <w:t>o</w:t>
            </w:r>
            <w:r w:rsidRPr="000F5A61">
              <w:rPr>
                <w:rFonts w:ascii="Arial" w:eastAsia="Arial" w:hAnsi="Arial" w:cs="Arial"/>
                <w:sz w:val="20"/>
                <w:szCs w:val="20"/>
              </w:rPr>
              <w:t>n ofe</w:t>
            </w:r>
            <w:r w:rsidRPr="000F5A61">
              <w:rPr>
                <w:rFonts w:ascii="Arial" w:eastAsia="Arial" w:hAnsi="Arial" w:cs="Arial"/>
                <w:spacing w:val="1"/>
                <w:sz w:val="20"/>
                <w:szCs w:val="20"/>
              </w:rPr>
              <w:t>x</w:t>
            </w:r>
            <w:r w:rsidRPr="000F5A61">
              <w:rPr>
                <w:rFonts w:ascii="Arial" w:eastAsia="Arial" w:hAnsi="Arial" w:cs="Arial"/>
                <w:sz w:val="20"/>
                <w:szCs w:val="20"/>
              </w:rPr>
              <w:t>p</w:t>
            </w:r>
            <w:r w:rsidRPr="000F5A61">
              <w:rPr>
                <w:rFonts w:ascii="Arial" w:eastAsia="Arial" w:hAnsi="Arial" w:cs="Arial"/>
                <w:spacing w:val="-1"/>
                <w:sz w:val="20"/>
                <w:szCs w:val="20"/>
              </w:rPr>
              <w:t>e</w:t>
            </w:r>
            <w:r w:rsidRPr="000F5A61">
              <w:rPr>
                <w:rFonts w:ascii="Arial" w:eastAsia="Arial" w:hAnsi="Arial" w:cs="Arial"/>
                <w:sz w:val="20"/>
                <w:szCs w:val="20"/>
              </w:rPr>
              <w:t>n</w:t>
            </w:r>
            <w:r w:rsidRPr="000F5A61">
              <w:rPr>
                <w:rFonts w:ascii="Arial" w:eastAsia="Arial" w:hAnsi="Arial" w:cs="Arial"/>
                <w:spacing w:val="1"/>
                <w:sz w:val="20"/>
                <w:szCs w:val="20"/>
              </w:rPr>
              <w:t>d</w:t>
            </w:r>
            <w:r w:rsidRPr="000F5A61">
              <w:rPr>
                <w:rFonts w:ascii="Arial" w:eastAsia="Arial" w:hAnsi="Arial" w:cs="Arial"/>
                <w:spacing w:val="-1"/>
                <w:sz w:val="20"/>
                <w:szCs w:val="20"/>
              </w:rPr>
              <w:t>i</w:t>
            </w:r>
            <w:r w:rsidRPr="000F5A61">
              <w:rPr>
                <w:rFonts w:ascii="Arial" w:eastAsia="Arial" w:hAnsi="Arial" w:cs="Arial"/>
                <w:sz w:val="20"/>
                <w:szCs w:val="20"/>
              </w:rPr>
              <w:t>turetra</w:t>
            </w:r>
            <w:r w:rsidRPr="000F5A61">
              <w:rPr>
                <w:rFonts w:ascii="Arial" w:eastAsia="Arial" w:hAnsi="Arial" w:cs="Arial"/>
                <w:spacing w:val="1"/>
                <w:sz w:val="20"/>
                <w:szCs w:val="20"/>
              </w:rPr>
              <w:t>c</w:t>
            </w:r>
            <w:r w:rsidRPr="000F5A61">
              <w:rPr>
                <w:rFonts w:ascii="Arial" w:eastAsia="Arial" w:hAnsi="Arial" w:cs="Arial"/>
                <w:spacing w:val="3"/>
                <w:sz w:val="20"/>
                <w:szCs w:val="20"/>
              </w:rPr>
              <w:t>k</w:t>
            </w:r>
            <w:r w:rsidRPr="000F5A61">
              <w:rPr>
                <w:rFonts w:ascii="Arial" w:eastAsia="Arial" w:hAnsi="Arial" w:cs="Arial"/>
                <w:spacing w:val="-1"/>
                <w:sz w:val="20"/>
                <w:szCs w:val="20"/>
              </w:rPr>
              <w:t>i</w:t>
            </w:r>
            <w:r w:rsidRPr="000F5A61">
              <w:rPr>
                <w:rFonts w:ascii="Arial" w:eastAsia="Arial" w:hAnsi="Arial" w:cs="Arial"/>
                <w:sz w:val="20"/>
                <w:szCs w:val="20"/>
              </w:rPr>
              <w:t>ng</w:t>
            </w:r>
            <w:r w:rsidRPr="000F5A61">
              <w:rPr>
                <w:rFonts w:ascii="Arial" w:eastAsia="Arial" w:hAnsi="Arial" w:cs="Arial"/>
                <w:spacing w:val="4"/>
                <w:sz w:val="20"/>
                <w:szCs w:val="20"/>
              </w:rPr>
              <w:t>m</w:t>
            </w:r>
            <w:r w:rsidRPr="000F5A61">
              <w:rPr>
                <w:rFonts w:ascii="Arial" w:eastAsia="Arial" w:hAnsi="Arial" w:cs="Arial"/>
                <w:sz w:val="20"/>
                <w:szCs w:val="20"/>
              </w:rPr>
              <w:t>e</w:t>
            </w:r>
            <w:r w:rsidRPr="000F5A61">
              <w:rPr>
                <w:rFonts w:ascii="Arial" w:eastAsia="Arial" w:hAnsi="Arial" w:cs="Arial"/>
                <w:spacing w:val="1"/>
                <w:sz w:val="20"/>
                <w:szCs w:val="20"/>
              </w:rPr>
              <w:t>c</w:t>
            </w:r>
            <w:r w:rsidRPr="000F5A61">
              <w:rPr>
                <w:rFonts w:ascii="Arial" w:eastAsia="Arial" w:hAnsi="Arial" w:cs="Arial"/>
                <w:sz w:val="20"/>
                <w:szCs w:val="20"/>
              </w:rPr>
              <w:t>h</w:t>
            </w:r>
            <w:r w:rsidRPr="000F5A61">
              <w:rPr>
                <w:rFonts w:ascii="Arial" w:eastAsia="Arial" w:hAnsi="Arial" w:cs="Arial"/>
                <w:spacing w:val="-3"/>
                <w:sz w:val="20"/>
                <w:szCs w:val="20"/>
              </w:rPr>
              <w:t>a</w:t>
            </w:r>
            <w:r w:rsidRPr="000F5A61">
              <w:rPr>
                <w:rFonts w:ascii="Arial" w:eastAsia="Arial" w:hAnsi="Arial" w:cs="Arial"/>
                <w:sz w:val="20"/>
                <w:szCs w:val="20"/>
              </w:rPr>
              <w:t>n</w:t>
            </w:r>
            <w:r w:rsidRPr="000F5A61">
              <w:rPr>
                <w:rFonts w:ascii="Arial" w:eastAsia="Arial" w:hAnsi="Arial" w:cs="Arial"/>
                <w:spacing w:val="-1"/>
                <w:sz w:val="20"/>
                <w:szCs w:val="20"/>
              </w:rPr>
              <w:t>i</w:t>
            </w:r>
            <w:r w:rsidRPr="000F5A61">
              <w:rPr>
                <w:rFonts w:ascii="Arial" w:eastAsia="Arial" w:hAnsi="Arial" w:cs="Arial"/>
                <w:spacing w:val="1"/>
                <w:sz w:val="20"/>
                <w:szCs w:val="20"/>
              </w:rPr>
              <w:t>s</w:t>
            </w:r>
            <w:r w:rsidRPr="000F5A61">
              <w:rPr>
                <w:rFonts w:ascii="Arial" w:eastAsia="Arial" w:hAnsi="Arial" w:cs="Arial"/>
                <w:spacing w:val="4"/>
                <w:sz w:val="20"/>
                <w:szCs w:val="20"/>
              </w:rPr>
              <w:t>m</w:t>
            </w:r>
            <w:r w:rsidRPr="000F5A61">
              <w:rPr>
                <w:rFonts w:ascii="Arial" w:eastAsia="Arial" w:hAnsi="Arial" w:cs="Arial"/>
                <w:sz w:val="20"/>
                <w:szCs w:val="20"/>
              </w:rPr>
              <w:t>s</w:t>
            </w:r>
            <w:r w:rsidRPr="000F5A61">
              <w:rPr>
                <w:rFonts w:ascii="Arial" w:eastAsia="Arial" w:hAnsi="Arial" w:cs="Arial"/>
                <w:spacing w:val="1"/>
                <w:sz w:val="20"/>
                <w:szCs w:val="20"/>
              </w:rPr>
              <w:t>s</w:t>
            </w:r>
            <w:r w:rsidRPr="000F5A61">
              <w:rPr>
                <w:rFonts w:ascii="Arial" w:eastAsia="Arial" w:hAnsi="Arial" w:cs="Arial"/>
                <w:sz w:val="20"/>
                <w:szCs w:val="20"/>
              </w:rPr>
              <w:t>u</w:t>
            </w:r>
            <w:r w:rsidRPr="000F5A61">
              <w:rPr>
                <w:rFonts w:ascii="Arial" w:eastAsia="Arial" w:hAnsi="Arial" w:cs="Arial"/>
                <w:spacing w:val="1"/>
                <w:sz w:val="20"/>
                <w:szCs w:val="20"/>
              </w:rPr>
              <w:t>c</w:t>
            </w:r>
            <w:r w:rsidRPr="000F5A61">
              <w:rPr>
                <w:rFonts w:ascii="Arial" w:eastAsia="Arial" w:hAnsi="Arial" w:cs="Arial"/>
                <w:sz w:val="20"/>
                <w:szCs w:val="20"/>
              </w:rPr>
              <w:t>has Nat</w:t>
            </w:r>
            <w:r w:rsidRPr="000F5A61">
              <w:rPr>
                <w:rFonts w:ascii="Arial" w:eastAsia="Arial" w:hAnsi="Arial" w:cs="Arial"/>
                <w:spacing w:val="1"/>
                <w:sz w:val="20"/>
                <w:szCs w:val="20"/>
              </w:rPr>
              <w:t>i</w:t>
            </w:r>
            <w:r w:rsidRPr="000F5A61">
              <w:rPr>
                <w:rFonts w:ascii="Arial" w:eastAsia="Arial" w:hAnsi="Arial" w:cs="Arial"/>
                <w:sz w:val="20"/>
                <w:szCs w:val="20"/>
              </w:rPr>
              <w:t>o</w:t>
            </w:r>
            <w:r w:rsidRPr="000F5A61">
              <w:rPr>
                <w:rFonts w:ascii="Arial" w:eastAsia="Arial" w:hAnsi="Arial" w:cs="Arial"/>
                <w:spacing w:val="-1"/>
                <w:sz w:val="20"/>
                <w:szCs w:val="20"/>
              </w:rPr>
              <w:t>n</w:t>
            </w:r>
            <w:r w:rsidRPr="000F5A61">
              <w:rPr>
                <w:rFonts w:ascii="Arial" w:eastAsia="Arial" w:hAnsi="Arial" w:cs="Arial"/>
                <w:spacing w:val="2"/>
                <w:sz w:val="20"/>
                <w:szCs w:val="20"/>
              </w:rPr>
              <w:t>a</w:t>
            </w:r>
            <w:r w:rsidRPr="000F5A61">
              <w:rPr>
                <w:rFonts w:ascii="Arial" w:eastAsia="Arial" w:hAnsi="Arial" w:cs="Arial"/>
                <w:sz w:val="20"/>
                <w:szCs w:val="20"/>
              </w:rPr>
              <w:t>lH</w:t>
            </w:r>
            <w:r w:rsidRPr="000F5A61">
              <w:rPr>
                <w:rFonts w:ascii="Arial" w:eastAsia="Arial" w:hAnsi="Arial" w:cs="Arial"/>
                <w:spacing w:val="2"/>
                <w:sz w:val="20"/>
                <w:szCs w:val="20"/>
              </w:rPr>
              <w:t>e</w:t>
            </w:r>
            <w:r w:rsidRPr="000F5A61">
              <w:rPr>
                <w:rFonts w:ascii="Arial" w:eastAsia="Arial" w:hAnsi="Arial" w:cs="Arial"/>
                <w:sz w:val="20"/>
                <w:szCs w:val="20"/>
              </w:rPr>
              <w:t>a</w:t>
            </w:r>
            <w:r w:rsidRPr="000F5A61">
              <w:rPr>
                <w:rFonts w:ascii="Arial" w:eastAsia="Arial" w:hAnsi="Arial" w:cs="Arial"/>
                <w:spacing w:val="-1"/>
                <w:sz w:val="20"/>
                <w:szCs w:val="20"/>
              </w:rPr>
              <w:t>l</w:t>
            </w:r>
            <w:r w:rsidRPr="000F5A61">
              <w:rPr>
                <w:rFonts w:ascii="Arial" w:eastAsia="Arial" w:hAnsi="Arial" w:cs="Arial"/>
                <w:spacing w:val="2"/>
                <w:sz w:val="20"/>
                <w:szCs w:val="20"/>
              </w:rPr>
              <w:t>t</w:t>
            </w:r>
            <w:r w:rsidRPr="000F5A61">
              <w:rPr>
                <w:rFonts w:ascii="Arial" w:eastAsia="Arial" w:hAnsi="Arial" w:cs="Arial"/>
                <w:sz w:val="20"/>
                <w:szCs w:val="20"/>
              </w:rPr>
              <w:t xml:space="preserve">h </w:t>
            </w:r>
            <w:r w:rsidRPr="000F5A61">
              <w:rPr>
                <w:rFonts w:ascii="Arial" w:eastAsia="Arial" w:hAnsi="Arial" w:cs="Arial"/>
                <w:spacing w:val="-1"/>
                <w:sz w:val="20"/>
                <w:szCs w:val="20"/>
              </w:rPr>
              <w:t>A</w:t>
            </w:r>
            <w:r w:rsidRPr="000F5A61">
              <w:rPr>
                <w:rFonts w:ascii="Arial" w:eastAsia="Arial" w:hAnsi="Arial" w:cs="Arial"/>
                <w:spacing w:val="1"/>
                <w:sz w:val="20"/>
                <w:szCs w:val="20"/>
              </w:rPr>
              <w:t>cc</w:t>
            </w:r>
            <w:r w:rsidRPr="000F5A61">
              <w:rPr>
                <w:rFonts w:ascii="Arial" w:eastAsia="Arial" w:hAnsi="Arial" w:cs="Arial"/>
                <w:sz w:val="20"/>
                <w:szCs w:val="20"/>
              </w:rPr>
              <w:t>o</w:t>
            </w:r>
            <w:r w:rsidRPr="000F5A61">
              <w:rPr>
                <w:rFonts w:ascii="Arial" w:eastAsia="Arial" w:hAnsi="Arial" w:cs="Arial"/>
                <w:spacing w:val="-1"/>
                <w:sz w:val="20"/>
                <w:szCs w:val="20"/>
              </w:rPr>
              <w:t>u</w:t>
            </w:r>
            <w:r w:rsidRPr="000F5A61">
              <w:rPr>
                <w:rFonts w:ascii="Arial" w:eastAsia="Arial" w:hAnsi="Arial" w:cs="Arial"/>
                <w:spacing w:val="2"/>
                <w:sz w:val="20"/>
                <w:szCs w:val="20"/>
              </w:rPr>
              <w:t>n</w:t>
            </w:r>
            <w:r w:rsidRPr="000F5A61">
              <w:rPr>
                <w:rFonts w:ascii="Arial" w:eastAsia="Arial" w:hAnsi="Arial" w:cs="Arial"/>
                <w:sz w:val="20"/>
                <w:szCs w:val="20"/>
              </w:rPr>
              <w:t>t</w:t>
            </w:r>
            <w:r w:rsidRPr="000F5A61">
              <w:rPr>
                <w:rFonts w:ascii="Arial" w:eastAsia="Arial" w:hAnsi="Arial" w:cs="Arial"/>
                <w:spacing w:val="1"/>
                <w:sz w:val="20"/>
                <w:szCs w:val="20"/>
              </w:rPr>
              <w:t>s</w:t>
            </w:r>
            <w:r w:rsidRPr="000F5A61">
              <w:rPr>
                <w:rFonts w:ascii="Arial" w:eastAsia="Arial" w:hAnsi="Arial" w:cs="Arial"/>
                <w:sz w:val="20"/>
                <w:szCs w:val="20"/>
              </w:rPr>
              <w:t>?If</w:t>
            </w:r>
            <w:r w:rsidRPr="000F5A61">
              <w:rPr>
                <w:rFonts w:ascii="Arial" w:eastAsia="Arial" w:hAnsi="Arial" w:cs="Arial"/>
                <w:spacing w:val="-6"/>
                <w:sz w:val="20"/>
                <w:szCs w:val="20"/>
              </w:rPr>
              <w:t>y</w:t>
            </w:r>
            <w:r w:rsidRPr="000F5A61">
              <w:rPr>
                <w:rFonts w:ascii="Arial" w:eastAsia="Arial" w:hAnsi="Arial" w:cs="Arial"/>
                <w:sz w:val="20"/>
                <w:szCs w:val="20"/>
              </w:rPr>
              <w:t>esor</w:t>
            </w:r>
            <w:r w:rsidRPr="000F5A61">
              <w:rPr>
                <w:rFonts w:ascii="Arial" w:eastAsia="Arial" w:hAnsi="Arial" w:cs="Arial"/>
                <w:spacing w:val="2"/>
                <w:sz w:val="20"/>
                <w:szCs w:val="20"/>
              </w:rPr>
              <w:t>n</w:t>
            </w:r>
            <w:r w:rsidRPr="000F5A61">
              <w:rPr>
                <w:rFonts w:ascii="Arial" w:eastAsia="Arial" w:hAnsi="Arial" w:cs="Arial"/>
                <w:sz w:val="20"/>
                <w:szCs w:val="20"/>
              </w:rPr>
              <w:t>o,</w:t>
            </w:r>
            <w:r w:rsidRPr="000F5A61">
              <w:rPr>
                <w:rFonts w:ascii="Arial" w:eastAsia="Arial" w:hAnsi="Arial" w:cs="Arial"/>
                <w:b/>
                <w:sz w:val="20"/>
                <w:szCs w:val="20"/>
              </w:rPr>
              <w:t>s</w:t>
            </w:r>
            <w:r w:rsidRPr="000F5A61">
              <w:rPr>
                <w:rFonts w:ascii="Arial" w:eastAsia="Arial" w:hAnsi="Arial" w:cs="Arial"/>
                <w:b/>
                <w:spacing w:val="1"/>
                <w:sz w:val="20"/>
                <w:szCs w:val="20"/>
              </w:rPr>
              <w:t>p</w:t>
            </w:r>
            <w:r w:rsidRPr="000F5A61">
              <w:rPr>
                <w:rFonts w:ascii="Arial" w:eastAsia="Arial" w:hAnsi="Arial" w:cs="Arial"/>
                <w:b/>
                <w:spacing w:val="2"/>
                <w:sz w:val="20"/>
                <w:szCs w:val="20"/>
              </w:rPr>
              <w:t>e</w:t>
            </w:r>
            <w:r w:rsidRPr="000F5A61">
              <w:rPr>
                <w:rFonts w:ascii="Arial" w:eastAsia="Arial" w:hAnsi="Arial" w:cs="Arial"/>
                <w:b/>
                <w:sz w:val="20"/>
                <w:szCs w:val="20"/>
              </w:rPr>
              <w:t>ci</w:t>
            </w:r>
            <w:r w:rsidRPr="000F5A61">
              <w:rPr>
                <w:rFonts w:ascii="Arial" w:eastAsia="Arial" w:hAnsi="Arial" w:cs="Arial"/>
                <w:b/>
                <w:spacing w:val="3"/>
                <w:sz w:val="20"/>
                <w:szCs w:val="20"/>
              </w:rPr>
              <w:t>f</w:t>
            </w:r>
            <w:r w:rsidRPr="000F5A61">
              <w:rPr>
                <w:rFonts w:ascii="Arial" w:eastAsia="Arial" w:hAnsi="Arial" w:cs="Arial"/>
                <w:b/>
                <w:sz w:val="20"/>
                <w:szCs w:val="20"/>
              </w:rPr>
              <w:t>y</w:t>
            </w:r>
            <w:r w:rsidRPr="000F5A61">
              <w:rPr>
                <w:rFonts w:ascii="Arial" w:eastAsia="Arial" w:hAnsi="Arial" w:cs="Arial"/>
                <w:sz w:val="20"/>
                <w:szCs w:val="20"/>
              </w:rPr>
              <w:t>b</w:t>
            </w:r>
            <w:r w:rsidRPr="000F5A61">
              <w:rPr>
                <w:rFonts w:ascii="Arial" w:eastAsia="Arial" w:hAnsi="Arial" w:cs="Arial"/>
                <w:spacing w:val="1"/>
                <w:sz w:val="20"/>
                <w:szCs w:val="20"/>
              </w:rPr>
              <w:t>e</w:t>
            </w:r>
            <w:r w:rsidRPr="000F5A61">
              <w:rPr>
                <w:rFonts w:ascii="Arial" w:eastAsia="Arial" w:hAnsi="Arial" w:cs="Arial"/>
                <w:spacing w:val="-1"/>
                <w:sz w:val="20"/>
                <w:szCs w:val="20"/>
              </w:rPr>
              <w:t>l</w:t>
            </w:r>
            <w:r w:rsidRPr="000F5A61">
              <w:rPr>
                <w:rFonts w:ascii="Arial" w:eastAsia="Arial" w:hAnsi="Arial" w:cs="Arial"/>
                <w:spacing w:val="2"/>
                <w:sz w:val="20"/>
                <w:szCs w:val="20"/>
              </w:rPr>
              <w:t>o</w:t>
            </w:r>
            <w:r w:rsidRPr="000F5A61">
              <w:rPr>
                <w:rFonts w:ascii="Arial" w:eastAsia="Arial" w:hAnsi="Arial" w:cs="Arial"/>
                <w:sz w:val="20"/>
                <w:szCs w:val="20"/>
              </w:rPr>
              <w:t>wh</w:t>
            </w:r>
            <w:r w:rsidRPr="000F5A61">
              <w:rPr>
                <w:rFonts w:ascii="Arial" w:eastAsia="Arial" w:hAnsi="Arial" w:cs="Arial"/>
                <w:spacing w:val="1"/>
                <w:sz w:val="20"/>
                <w:szCs w:val="20"/>
              </w:rPr>
              <w:t>o</w:t>
            </w:r>
            <w:r w:rsidRPr="000F5A61">
              <w:rPr>
                <w:rFonts w:ascii="Arial" w:eastAsia="Arial" w:hAnsi="Arial" w:cs="Arial"/>
                <w:sz w:val="20"/>
                <w:szCs w:val="20"/>
              </w:rPr>
              <w:t>w</w:t>
            </w:r>
            <w:r w:rsidRPr="000F5A61">
              <w:rPr>
                <w:rFonts w:ascii="Arial" w:eastAsia="Arial" w:hAnsi="Arial" w:cs="Arial"/>
                <w:spacing w:val="1"/>
                <w:sz w:val="20"/>
                <w:szCs w:val="20"/>
              </w:rPr>
              <w:t xml:space="preserve"> r</w:t>
            </w:r>
            <w:r w:rsidRPr="000F5A61">
              <w:rPr>
                <w:rFonts w:ascii="Arial" w:eastAsia="Arial" w:hAnsi="Arial" w:cs="Arial"/>
                <w:sz w:val="20"/>
                <w:szCs w:val="20"/>
              </w:rPr>
              <w:t>e</w:t>
            </w:r>
            <w:r w:rsidRPr="000F5A61">
              <w:rPr>
                <w:rFonts w:ascii="Arial" w:eastAsia="Arial" w:hAnsi="Arial" w:cs="Arial"/>
                <w:spacing w:val="1"/>
                <w:sz w:val="20"/>
                <w:szCs w:val="20"/>
              </w:rPr>
              <w:t>a</w:t>
            </w:r>
            <w:r w:rsidRPr="000F5A61">
              <w:rPr>
                <w:rFonts w:ascii="Arial" w:eastAsia="Arial" w:hAnsi="Arial" w:cs="Arial"/>
                <w:spacing w:val="-1"/>
                <w:sz w:val="20"/>
                <w:szCs w:val="20"/>
              </w:rPr>
              <w:t>l</w:t>
            </w:r>
            <w:r w:rsidRPr="000F5A61">
              <w:rPr>
                <w:rFonts w:ascii="Arial" w:eastAsia="Arial" w:hAnsi="Arial" w:cs="Arial"/>
                <w:spacing w:val="1"/>
                <w:sz w:val="20"/>
                <w:szCs w:val="20"/>
              </w:rPr>
              <w:t>i</w:t>
            </w:r>
            <w:r w:rsidRPr="000F5A61">
              <w:rPr>
                <w:rFonts w:ascii="Arial" w:eastAsia="Arial" w:hAnsi="Arial" w:cs="Arial"/>
                <w:spacing w:val="-1"/>
                <w:sz w:val="20"/>
                <w:szCs w:val="20"/>
              </w:rPr>
              <w:t>z</w:t>
            </w:r>
            <w:r w:rsidRPr="000F5A61">
              <w:rPr>
                <w:rFonts w:ascii="Arial" w:eastAsia="Arial" w:hAnsi="Arial" w:cs="Arial"/>
                <w:sz w:val="20"/>
                <w:szCs w:val="20"/>
              </w:rPr>
              <w:t>a</w:t>
            </w:r>
            <w:r w:rsidRPr="000F5A61">
              <w:rPr>
                <w:rFonts w:ascii="Arial" w:eastAsia="Arial" w:hAnsi="Arial" w:cs="Arial"/>
                <w:spacing w:val="2"/>
                <w:sz w:val="20"/>
                <w:szCs w:val="20"/>
              </w:rPr>
              <w:t>t</w:t>
            </w:r>
            <w:r w:rsidRPr="000F5A61">
              <w:rPr>
                <w:rFonts w:ascii="Arial" w:eastAsia="Arial" w:hAnsi="Arial" w:cs="Arial"/>
                <w:spacing w:val="-1"/>
                <w:sz w:val="20"/>
                <w:szCs w:val="20"/>
              </w:rPr>
              <w:t>i</w:t>
            </w:r>
            <w:r w:rsidRPr="000F5A61">
              <w:rPr>
                <w:rFonts w:ascii="Arial" w:eastAsia="Arial" w:hAnsi="Arial" w:cs="Arial"/>
                <w:spacing w:val="2"/>
                <w:sz w:val="20"/>
                <w:szCs w:val="20"/>
              </w:rPr>
              <w:t>o</w:t>
            </w:r>
            <w:r w:rsidRPr="000F5A61">
              <w:rPr>
                <w:rFonts w:ascii="Arial" w:eastAsia="Arial" w:hAnsi="Arial" w:cs="Arial"/>
                <w:sz w:val="20"/>
                <w:szCs w:val="20"/>
              </w:rPr>
              <w:t xml:space="preserve">n of </w:t>
            </w:r>
            <w:r w:rsidRPr="000F5A61">
              <w:rPr>
                <w:rFonts w:ascii="Arial" w:eastAsia="Arial" w:hAnsi="Arial" w:cs="Arial"/>
                <w:spacing w:val="1"/>
                <w:sz w:val="20"/>
                <w:szCs w:val="20"/>
              </w:rPr>
              <w:t>c</w:t>
            </w:r>
            <w:r w:rsidRPr="000F5A61">
              <w:rPr>
                <w:rFonts w:ascii="Arial" w:eastAsia="Arial" w:hAnsi="Arial" w:cs="Arial"/>
                <w:sz w:val="20"/>
                <w:szCs w:val="20"/>
              </w:rPr>
              <w:t>o</w:t>
            </w:r>
            <w:r w:rsidRPr="000F5A61">
              <w:rPr>
                <w:rFonts w:ascii="Arial" w:eastAsia="Arial" w:hAnsi="Arial" w:cs="Arial"/>
                <w:spacing w:val="1"/>
                <w:sz w:val="20"/>
                <w:szCs w:val="20"/>
              </w:rPr>
              <w:t>-</w:t>
            </w:r>
            <w:r w:rsidRPr="000F5A61">
              <w:rPr>
                <w:rFonts w:ascii="Arial" w:eastAsia="Arial" w:hAnsi="Arial" w:cs="Arial"/>
                <w:spacing w:val="2"/>
                <w:sz w:val="20"/>
                <w:szCs w:val="20"/>
              </w:rPr>
              <w:t>f</w:t>
            </w:r>
            <w:r w:rsidRPr="000F5A61">
              <w:rPr>
                <w:rFonts w:ascii="Arial" w:eastAsia="Arial" w:hAnsi="Arial" w:cs="Arial"/>
                <w:spacing w:val="-1"/>
                <w:sz w:val="20"/>
                <w:szCs w:val="20"/>
              </w:rPr>
              <w:t>i</w:t>
            </w:r>
            <w:r w:rsidRPr="000F5A61">
              <w:rPr>
                <w:rFonts w:ascii="Arial" w:eastAsia="Arial" w:hAnsi="Arial" w:cs="Arial"/>
                <w:sz w:val="20"/>
                <w:szCs w:val="20"/>
              </w:rPr>
              <w:t>n</w:t>
            </w:r>
            <w:r w:rsidRPr="000F5A61">
              <w:rPr>
                <w:rFonts w:ascii="Arial" w:eastAsia="Arial" w:hAnsi="Arial" w:cs="Arial"/>
                <w:spacing w:val="-1"/>
                <w:sz w:val="20"/>
                <w:szCs w:val="20"/>
              </w:rPr>
              <w:t>a</w:t>
            </w:r>
            <w:r w:rsidRPr="000F5A61">
              <w:rPr>
                <w:rFonts w:ascii="Arial" w:eastAsia="Arial" w:hAnsi="Arial" w:cs="Arial"/>
                <w:sz w:val="20"/>
                <w:szCs w:val="20"/>
              </w:rPr>
              <w:t>n</w:t>
            </w:r>
            <w:r w:rsidRPr="000F5A61">
              <w:rPr>
                <w:rFonts w:ascii="Arial" w:eastAsia="Arial" w:hAnsi="Arial" w:cs="Arial"/>
                <w:spacing w:val="1"/>
                <w:sz w:val="20"/>
                <w:szCs w:val="20"/>
              </w:rPr>
              <w:t>c</w:t>
            </w:r>
            <w:r w:rsidRPr="000F5A61">
              <w:rPr>
                <w:rFonts w:ascii="Arial" w:eastAsia="Arial" w:hAnsi="Arial" w:cs="Arial"/>
                <w:spacing w:val="-1"/>
                <w:sz w:val="20"/>
                <w:szCs w:val="20"/>
              </w:rPr>
              <w:t>i</w:t>
            </w:r>
            <w:r w:rsidRPr="000F5A61">
              <w:rPr>
                <w:rFonts w:ascii="Arial" w:eastAsia="Arial" w:hAnsi="Arial" w:cs="Arial"/>
                <w:sz w:val="20"/>
                <w:szCs w:val="20"/>
              </w:rPr>
              <w:t>ng</w:t>
            </w:r>
            <w:r w:rsidRPr="000F5A61">
              <w:rPr>
                <w:rFonts w:ascii="Arial" w:eastAsia="Arial" w:hAnsi="Arial" w:cs="Arial"/>
                <w:spacing w:val="1"/>
                <w:sz w:val="20"/>
                <w:szCs w:val="20"/>
              </w:rPr>
              <w:t>c</w:t>
            </w:r>
            <w:r w:rsidRPr="000F5A61">
              <w:rPr>
                <w:rFonts w:ascii="Arial" w:eastAsia="Arial" w:hAnsi="Arial" w:cs="Arial"/>
                <w:sz w:val="20"/>
                <w:szCs w:val="20"/>
              </w:rPr>
              <w:t>o</w:t>
            </w:r>
            <w:r w:rsidRPr="000F5A61">
              <w:rPr>
                <w:rFonts w:ascii="Arial" w:eastAsia="Arial" w:hAnsi="Arial" w:cs="Arial"/>
                <w:spacing w:val="2"/>
                <w:sz w:val="20"/>
                <w:szCs w:val="20"/>
              </w:rPr>
              <w:t>m</w:t>
            </w:r>
            <w:r w:rsidRPr="000F5A61">
              <w:rPr>
                <w:rFonts w:ascii="Arial" w:eastAsia="Arial" w:hAnsi="Arial" w:cs="Arial"/>
                <w:spacing w:val="4"/>
                <w:sz w:val="20"/>
                <w:szCs w:val="20"/>
              </w:rPr>
              <w:t>m</w:t>
            </w:r>
            <w:r w:rsidRPr="000F5A61">
              <w:rPr>
                <w:rFonts w:ascii="Arial" w:eastAsia="Arial" w:hAnsi="Arial" w:cs="Arial"/>
                <w:spacing w:val="-1"/>
                <w:sz w:val="20"/>
                <w:szCs w:val="20"/>
              </w:rPr>
              <w:t>i</w:t>
            </w:r>
            <w:r w:rsidRPr="000F5A61">
              <w:rPr>
                <w:rFonts w:ascii="Arial" w:eastAsia="Arial" w:hAnsi="Arial" w:cs="Arial"/>
                <w:spacing w:val="-3"/>
                <w:sz w:val="20"/>
                <w:szCs w:val="20"/>
              </w:rPr>
              <w:t>t</w:t>
            </w:r>
            <w:r w:rsidRPr="000F5A61">
              <w:rPr>
                <w:rFonts w:ascii="Arial" w:eastAsia="Arial" w:hAnsi="Arial" w:cs="Arial"/>
                <w:spacing w:val="4"/>
                <w:sz w:val="20"/>
                <w:szCs w:val="20"/>
              </w:rPr>
              <w:t>m</w:t>
            </w:r>
            <w:r w:rsidRPr="000F5A61">
              <w:rPr>
                <w:rFonts w:ascii="Arial" w:eastAsia="Arial" w:hAnsi="Arial" w:cs="Arial"/>
                <w:sz w:val="20"/>
                <w:szCs w:val="20"/>
              </w:rPr>
              <w:t>e</w:t>
            </w:r>
            <w:r w:rsidRPr="000F5A61">
              <w:rPr>
                <w:rFonts w:ascii="Arial" w:eastAsia="Arial" w:hAnsi="Arial" w:cs="Arial"/>
                <w:spacing w:val="-1"/>
                <w:sz w:val="20"/>
                <w:szCs w:val="20"/>
              </w:rPr>
              <w:t>n</w:t>
            </w:r>
            <w:r w:rsidRPr="000F5A61">
              <w:rPr>
                <w:rFonts w:ascii="Arial" w:eastAsia="Arial" w:hAnsi="Arial" w:cs="Arial"/>
                <w:sz w:val="20"/>
                <w:szCs w:val="20"/>
              </w:rPr>
              <w:t>tsw</w:t>
            </w:r>
            <w:r w:rsidRPr="000F5A61">
              <w:rPr>
                <w:rFonts w:ascii="Arial" w:eastAsia="Arial" w:hAnsi="Arial" w:cs="Arial"/>
                <w:spacing w:val="-1"/>
                <w:sz w:val="20"/>
                <w:szCs w:val="20"/>
              </w:rPr>
              <w:t>i</w:t>
            </w:r>
            <w:r w:rsidRPr="000F5A61">
              <w:rPr>
                <w:rFonts w:ascii="Arial" w:eastAsia="Arial" w:hAnsi="Arial" w:cs="Arial"/>
                <w:spacing w:val="1"/>
                <w:sz w:val="20"/>
                <w:szCs w:val="20"/>
              </w:rPr>
              <w:t>l</w:t>
            </w:r>
            <w:r w:rsidRPr="000F5A61">
              <w:rPr>
                <w:rFonts w:ascii="Arial" w:eastAsia="Arial" w:hAnsi="Arial" w:cs="Arial"/>
                <w:sz w:val="20"/>
                <w:szCs w:val="20"/>
              </w:rPr>
              <w:t>lbetra</w:t>
            </w:r>
            <w:r w:rsidRPr="000F5A61">
              <w:rPr>
                <w:rFonts w:ascii="Arial" w:eastAsia="Arial" w:hAnsi="Arial" w:cs="Arial"/>
                <w:spacing w:val="1"/>
                <w:sz w:val="20"/>
                <w:szCs w:val="20"/>
              </w:rPr>
              <w:t>c</w:t>
            </w:r>
            <w:r w:rsidRPr="000F5A61">
              <w:rPr>
                <w:rFonts w:ascii="Arial" w:eastAsia="Arial" w:hAnsi="Arial" w:cs="Arial"/>
                <w:spacing w:val="3"/>
                <w:sz w:val="20"/>
                <w:szCs w:val="20"/>
              </w:rPr>
              <w:t>k</w:t>
            </w:r>
            <w:r w:rsidRPr="000F5A61">
              <w:rPr>
                <w:rFonts w:ascii="Arial" w:eastAsia="Arial" w:hAnsi="Arial" w:cs="Arial"/>
                <w:sz w:val="20"/>
                <w:szCs w:val="20"/>
              </w:rPr>
              <w:t>eda</w:t>
            </w:r>
            <w:r w:rsidRPr="000F5A61">
              <w:rPr>
                <w:rFonts w:ascii="Arial" w:eastAsia="Arial" w:hAnsi="Arial" w:cs="Arial"/>
                <w:spacing w:val="-1"/>
                <w:sz w:val="20"/>
                <w:szCs w:val="20"/>
              </w:rPr>
              <w:t>n</w:t>
            </w:r>
            <w:r w:rsidRPr="000F5A61">
              <w:rPr>
                <w:rFonts w:ascii="Arial" w:eastAsia="Arial" w:hAnsi="Arial" w:cs="Arial"/>
                <w:sz w:val="20"/>
                <w:szCs w:val="20"/>
              </w:rPr>
              <w:t>dr</w:t>
            </w:r>
            <w:r w:rsidRPr="000F5A61">
              <w:rPr>
                <w:rFonts w:ascii="Arial" w:eastAsia="Arial" w:hAnsi="Arial" w:cs="Arial"/>
                <w:spacing w:val="2"/>
                <w:sz w:val="20"/>
                <w:szCs w:val="20"/>
              </w:rPr>
              <w:t>e</w:t>
            </w:r>
            <w:r w:rsidRPr="000F5A61">
              <w:rPr>
                <w:rFonts w:ascii="Arial" w:eastAsia="Arial" w:hAnsi="Arial" w:cs="Arial"/>
                <w:sz w:val="20"/>
                <w:szCs w:val="20"/>
              </w:rPr>
              <w:t>p</w:t>
            </w:r>
            <w:r w:rsidRPr="000F5A61">
              <w:rPr>
                <w:rFonts w:ascii="Arial" w:eastAsia="Arial" w:hAnsi="Arial" w:cs="Arial"/>
                <w:spacing w:val="-1"/>
                <w:sz w:val="20"/>
                <w:szCs w:val="20"/>
              </w:rPr>
              <w:t>o</w:t>
            </w:r>
            <w:r w:rsidRPr="000F5A61">
              <w:rPr>
                <w:rFonts w:ascii="Arial" w:eastAsia="Arial" w:hAnsi="Arial" w:cs="Arial"/>
                <w:spacing w:val="1"/>
                <w:sz w:val="20"/>
                <w:szCs w:val="20"/>
              </w:rPr>
              <w:t>r</w:t>
            </w:r>
            <w:r w:rsidRPr="000F5A61">
              <w:rPr>
                <w:rFonts w:ascii="Arial" w:eastAsia="Arial" w:hAnsi="Arial" w:cs="Arial"/>
                <w:spacing w:val="2"/>
                <w:sz w:val="20"/>
                <w:szCs w:val="20"/>
              </w:rPr>
              <w:t>t</w:t>
            </w:r>
            <w:r w:rsidRPr="000F5A61">
              <w:rPr>
                <w:rFonts w:ascii="Arial" w:eastAsia="Arial" w:hAnsi="Arial" w:cs="Arial"/>
                <w:sz w:val="20"/>
                <w:szCs w:val="20"/>
              </w:rPr>
              <w:t>e</w:t>
            </w:r>
            <w:r w:rsidRPr="000F5A61">
              <w:rPr>
                <w:rFonts w:ascii="Arial" w:eastAsia="Arial" w:hAnsi="Arial" w:cs="Arial"/>
                <w:spacing w:val="-1"/>
                <w:sz w:val="20"/>
                <w:szCs w:val="20"/>
              </w:rPr>
              <w:t>d</w:t>
            </w:r>
            <w:r w:rsidRPr="000F5A61">
              <w:rPr>
                <w:rFonts w:ascii="Arial" w:eastAsia="Arial" w:hAnsi="Arial" w:cs="Arial"/>
                <w:sz w:val="20"/>
                <w:szCs w:val="20"/>
              </w:rPr>
              <w:t>.</w:t>
            </w:r>
          </w:p>
        </w:tc>
        <w:tc>
          <w:tcPr>
            <w:tcW w:w="2096" w:type="dxa"/>
            <w:tcBorders>
              <w:top w:val="single" w:sz="5" w:space="0" w:color="808080"/>
              <w:left w:val="single" w:sz="5" w:space="0" w:color="808080"/>
              <w:bottom w:val="single" w:sz="5" w:space="0" w:color="808080"/>
              <w:right w:val="single" w:sz="5" w:space="0" w:color="808080"/>
            </w:tcBorders>
          </w:tcPr>
          <w:p w:rsidR="00C31623" w:rsidRPr="000F5A61" w:rsidRDefault="00C31623" w:rsidP="005A251C">
            <w:pPr>
              <w:spacing w:line="200" w:lineRule="exact"/>
              <w:rPr>
                <w:rFonts w:ascii="Arial" w:hAnsi="Arial" w:cs="Arial"/>
                <w:sz w:val="20"/>
                <w:szCs w:val="20"/>
              </w:rPr>
            </w:pPr>
          </w:p>
          <w:p w:rsidR="00C31623" w:rsidRPr="000F5A61" w:rsidRDefault="00C31623" w:rsidP="005A251C">
            <w:pPr>
              <w:spacing w:before="4" w:line="240" w:lineRule="exact"/>
              <w:rPr>
                <w:rFonts w:ascii="Arial" w:hAnsi="Arial" w:cs="Arial"/>
                <w:sz w:val="20"/>
                <w:szCs w:val="20"/>
              </w:rPr>
            </w:pPr>
          </w:p>
          <w:p w:rsidR="00C31623" w:rsidRPr="000F5A61" w:rsidRDefault="00C31623" w:rsidP="005A251C">
            <w:pPr>
              <w:ind w:left="136"/>
              <w:rPr>
                <w:rFonts w:ascii="Arial" w:eastAsia="Arial" w:hAnsi="Arial" w:cs="Arial"/>
                <w:sz w:val="20"/>
                <w:szCs w:val="20"/>
              </w:rPr>
            </w:pPr>
            <w:r w:rsidRPr="000F5A61">
              <w:rPr>
                <w:rFonts w:ascii="Arial" w:eastAsia="Segoe UI Symbol" w:hAnsi="Arial" w:cs="Arial"/>
                <w:sz w:val="20"/>
                <w:szCs w:val="20"/>
              </w:rPr>
              <w:t xml:space="preserve">☐ </w:t>
            </w:r>
            <w:r w:rsidRPr="000F5A61">
              <w:rPr>
                <w:rFonts w:ascii="Arial" w:eastAsia="Arial" w:hAnsi="Arial" w:cs="Arial"/>
                <w:spacing w:val="-1"/>
                <w:sz w:val="20"/>
                <w:szCs w:val="20"/>
              </w:rPr>
              <w:t>Y</w:t>
            </w:r>
            <w:r w:rsidRPr="000F5A61">
              <w:rPr>
                <w:rFonts w:ascii="Arial" w:eastAsia="Arial" w:hAnsi="Arial" w:cs="Arial"/>
                <w:sz w:val="20"/>
                <w:szCs w:val="20"/>
              </w:rPr>
              <w:t xml:space="preserve">es        </w:t>
            </w:r>
            <w:r w:rsidR="003A3853" w:rsidRPr="003A3853">
              <w:rPr>
                <w:rFonts w:ascii="Segoe UI Symbol" w:eastAsia="Segoe UI Symbol" w:hAnsi="Segoe UI Symbol" w:cs="Arial"/>
                <w:sz w:val="20"/>
                <w:szCs w:val="20"/>
              </w:rPr>
              <w:t>☑</w:t>
            </w:r>
            <w:r w:rsidRPr="000F5A61">
              <w:rPr>
                <w:rFonts w:ascii="Arial" w:eastAsia="Arial" w:hAnsi="Arial" w:cs="Arial"/>
                <w:sz w:val="20"/>
                <w:szCs w:val="20"/>
              </w:rPr>
              <w:t>No</w:t>
            </w:r>
          </w:p>
        </w:tc>
      </w:tr>
      <w:tr w:rsidR="00C31623" w:rsidRPr="000F5A61" w:rsidTr="005A251C">
        <w:trPr>
          <w:trHeight w:hRule="exact" w:val="480"/>
        </w:trPr>
        <w:tc>
          <w:tcPr>
            <w:tcW w:w="8894" w:type="dxa"/>
            <w:gridSpan w:val="2"/>
            <w:tcBorders>
              <w:top w:val="single" w:sz="5" w:space="0" w:color="808080"/>
              <w:left w:val="single" w:sz="5" w:space="0" w:color="808080"/>
              <w:bottom w:val="single" w:sz="5" w:space="0" w:color="808080"/>
              <w:right w:val="single" w:sz="5" w:space="0" w:color="808080"/>
            </w:tcBorders>
            <w:shd w:val="clear" w:color="auto" w:fill="F1F1F1"/>
          </w:tcPr>
          <w:p w:rsidR="00C31623" w:rsidRPr="000F5A61" w:rsidRDefault="00C31623" w:rsidP="005A251C">
            <w:pPr>
              <w:spacing w:before="4" w:line="100" w:lineRule="exact"/>
              <w:rPr>
                <w:rFonts w:ascii="Arial" w:hAnsi="Arial" w:cs="Arial"/>
                <w:sz w:val="20"/>
                <w:szCs w:val="20"/>
              </w:rPr>
            </w:pPr>
          </w:p>
          <w:p w:rsidR="00C31623" w:rsidRPr="000F5A61" w:rsidRDefault="00C31623" w:rsidP="005A251C">
            <w:pPr>
              <w:ind w:left="136"/>
              <w:rPr>
                <w:rFonts w:ascii="Arial" w:eastAsia="Arial" w:hAnsi="Arial" w:cs="Arial"/>
                <w:sz w:val="20"/>
                <w:szCs w:val="20"/>
              </w:rPr>
            </w:pPr>
            <w:r w:rsidRPr="000F5A61">
              <w:rPr>
                <w:rFonts w:ascii="Arial" w:eastAsia="Arial" w:hAnsi="Arial" w:cs="Arial"/>
                <w:b/>
                <w:spacing w:val="1"/>
                <w:sz w:val="20"/>
                <w:szCs w:val="20"/>
              </w:rPr>
              <w:t>(</w:t>
            </w:r>
            <w:r w:rsidRPr="000F5A61">
              <w:rPr>
                <w:rFonts w:ascii="Arial" w:eastAsia="Arial" w:hAnsi="Arial" w:cs="Arial"/>
                <w:b/>
                <w:sz w:val="20"/>
                <w:szCs w:val="20"/>
              </w:rPr>
              <w:t>maxim</w:t>
            </w:r>
            <w:r w:rsidRPr="000F5A61">
              <w:rPr>
                <w:rFonts w:ascii="Arial" w:eastAsia="Arial" w:hAnsi="Arial" w:cs="Arial"/>
                <w:b/>
                <w:spacing w:val="1"/>
                <w:sz w:val="20"/>
                <w:szCs w:val="20"/>
              </w:rPr>
              <w:t>u</w:t>
            </w:r>
            <w:r w:rsidRPr="000F5A61">
              <w:rPr>
                <w:rFonts w:ascii="Arial" w:eastAsia="Arial" w:hAnsi="Arial" w:cs="Arial"/>
                <w:b/>
                <w:sz w:val="20"/>
                <w:szCs w:val="20"/>
              </w:rPr>
              <w:t>m2</w:t>
            </w:r>
            <w:r w:rsidRPr="000F5A61">
              <w:rPr>
                <w:rFonts w:ascii="Arial" w:eastAsia="Arial" w:hAnsi="Arial" w:cs="Arial"/>
                <w:b/>
                <w:spacing w:val="3"/>
                <w:sz w:val="20"/>
                <w:szCs w:val="20"/>
              </w:rPr>
              <w:t>p</w:t>
            </w:r>
            <w:r w:rsidRPr="000F5A61">
              <w:rPr>
                <w:rFonts w:ascii="Arial" w:eastAsia="Arial" w:hAnsi="Arial" w:cs="Arial"/>
                <w:b/>
                <w:sz w:val="20"/>
                <w:szCs w:val="20"/>
              </w:rPr>
              <w:t>ag</w:t>
            </w:r>
            <w:r w:rsidRPr="000F5A61">
              <w:rPr>
                <w:rFonts w:ascii="Arial" w:eastAsia="Arial" w:hAnsi="Arial" w:cs="Arial"/>
                <w:b/>
                <w:spacing w:val="1"/>
                <w:sz w:val="20"/>
                <w:szCs w:val="20"/>
              </w:rPr>
              <w:t>e</w:t>
            </w:r>
            <w:r w:rsidRPr="000F5A61">
              <w:rPr>
                <w:rFonts w:ascii="Arial" w:eastAsia="Arial" w:hAnsi="Arial" w:cs="Arial"/>
                <w:b/>
                <w:sz w:val="20"/>
                <w:szCs w:val="20"/>
              </w:rPr>
              <w:t>s)</w:t>
            </w:r>
          </w:p>
        </w:tc>
      </w:tr>
    </w:tbl>
    <w:p w:rsidR="00C31623" w:rsidRPr="000F5A61" w:rsidRDefault="00C31623" w:rsidP="00C31623">
      <w:pPr>
        <w:spacing w:before="5" w:line="180" w:lineRule="exact"/>
        <w:rPr>
          <w:rFonts w:ascii="Arial" w:hAnsi="Arial" w:cs="Arial"/>
          <w:sz w:val="20"/>
          <w:szCs w:val="20"/>
        </w:rPr>
      </w:pPr>
    </w:p>
    <w:p w:rsidR="00C31623" w:rsidRPr="000F5A61" w:rsidRDefault="00C31623" w:rsidP="00C31623">
      <w:pPr>
        <w:jc w:val="both"/>
        <w:rPr>
          <w:rFonts w:ascii="Arial" w:hAnsi="Arial" w:cs="Arial"/>
          <w:sz w:val="20"/>
          <w:szCs w:val="20"/>
        </w:rPr>
      </w:pPr>
      <w:r w:rsidRPr="000F5A61">
        <w:rPr>
          <w:rFonts w:ascii="Arial" w:hAnsi="Arial" w:cs="Arial"/>
          <w:sz w:val="20"/>
          <w:szCs w:val="20"/>
        </w:rPr>
        <w:t xml:space="preserve">Government health spending has increased steadily in terms of total volume over the last decade, but as a percentage of GDP, it has dropped from around 7.1% in 2007/09 to 3.65% in 2017/18. According to Nepal’s most recent national health accounts (2011/12), household out-of-pocket payments account for more than 50% of all health expenditure, while almost half is spent on medicines and curative care. </w:t>
      </w:r>
    </w:p>
    <w:p w:rsidR="00C31623" w:rsidRPr="000F5A61" w:rsidRDefault="00C31623" w:rsidP="00390D00">
      <w:pPr>
        <w:jc w:val="both"/>
        <w:rPr>
          <w:rFonts w:ascii="Arial" w:hAnsi="Arial" w:cs="Arial"/>
          <w:sz w:val="20"/>
          <w:szCs w:val="20"/>
        </w:rPr>
      </w:pPr>
      <w:r w:rsidRPr="000F5A61">
        <w:rPr>
          <w:rFonts w:ascii="Arial" w:hAnsi="Arial" w:cs="Arial"/>
          <w:sz w:val="20"/>
          <w:szCs w:val="20"/>
        </w:rPr>
        <w:t>During this period, reliance on external funding has declined significantly, with GoN funding increasing from around 50% during the first health sector plan (NHSP-1) from 2005-2009, to some 75% at the start of NHSP-3 (2016) (Figure 4.1</w:t>
      </w:r>
      <w:r w:rsidR="00EF1DA8" w:rsidRPr="000F5A61">
        <w:rPr>
          <w:rFonts w:ascii="Arial" w:hAnsi="Arial" w:cs="Arial"/>
          <w:sz w:val="20"/>
          <w:szCs w:val="20"/>
        </w:rPr>
        <w:t>.a</w:t>
      </w:r>
      <w:r w:rsidRPr="000F5A61">
        <w:rPr>
          <w:rFonts w:ascii="Arial" w:hAnsi="Arial" w:cs="Arial"/>
          <w:sz w:val="20"/>
          <w:szCs w:val="20"/>
        </w:rPr>
        <w:t>).</w:t>
      </w:r>
    </w:p>
    <w:p w:rsidR="00C31623" w:rsidRPr="000F5A61" w:rsidRDefault="00C31623" w:rsidP="00C31623">
      <w:pPr>
        <w:jc w:val="both"/>
        <w:rPr>
          <w:rFonts w:ascii="Arial" w:hAnsi="Arial" w:cs="Arial"/>
          <w:sz w:val="20"/>
          <w:szCs w:val="20"/>
        </w:rPr>
      </w:pPr>
      <w:r w:rsidRPr="000F5A61">
        <w:rPr>
          <w:rFonts w:ascii="Arial" w:hAnsi="Arial" w:cs="Arial"/>
          <w:sz w:val="20"/>
          <w:szCs w:val="20"/>
        </w:rPr>
        <w:t xml:space="preserve">In contrast, the </w:t>
      </w:r>
      <w:r w:rsidR="00237D7E" w:rsidRPr="000F5A61">
        <w:rPr>
          <w:rFonts w:ascii="Arial" w:hAnsi="Arial" w:cs="Arial"/>
          <w:sz w:val="20"/>
          <w:szCs w:val="20"/>
        </w:rPr>
        <w:t>malaria</w:t>
      </w:r>
      <w:r w:rsidRPr="000F5A61">
        <w:rPr>
          <w:rFonts w:ascii="Arial" w:hAnsi="Arial" w:cs="Arial"/>
          <w:sz w:val="20"/>
          <w:szCs w:val="20"/>
        </w:rPr>
        <w:t xml:space="preserve"> programme in Nepal remains heavily dependent on external assistance. </w:t>
      </w:r>
      <w:r w:rsidR="003635D5" w:rsidRPr="000F5A61">
        <w:rPr>
          <w:rFonts w:ascii="Arial" w:hAnsi="Arial" w:cs="Arial"/>
          <w:sz w:val="20"/>
          <w:szCs w:val="20"/>
        </w:rPr>
        <w:t xml:space="preserve">Over the next 3 years </w:t>
      </w:r>
      <w:r w:rsidRPr="000F5A61">
        <w:rPr>
          <w:rFonts w:ascii="Arial" w:hAnsi="Arial" w:cs="Arial"/>
          <w:sz w:val="20"/>
          <w:szCs w:val="20"/>
        </w:rPr>
        <w:t xml:space="preserve">GoN financing </w:t>
      </w:r>
      <w:r w:rsidR="003635D5" w:rsidRPr="000F5A61">
        <w:rPr>
          <w:rFonts w:ascii="Arial" w:hAnsi="Arial" w:cs="Arial"/>
          <w:sz w:val="20"/>
          <w:szCs w:val="20"/>
        </w:rPr>
        <w:t xml:space="preserve">is expected to cover </w:t>
      </w:r>
      <w:r w:rsidR="00887741" w:rsidRPr="000F5A61">
        <w:rPr>
          <w:rFonts w:ascii="Arial" w:hAnsi="Arial" w:cs="Arial"/>
          <w:sz w:val="20"/>
          <w:szCs w:val="20"/>
        </w:rPr>
        <w:t>57</w:t>
      </w:r>
      <w:r w:rsidR="003635D5" w:rsidRPr="000F5A61">
        <w:rPr>
          <w:rFonts w:ascii="Arial" w:hAnsi="Arial" w:cs="Arial"/>
          <w:sz w:val="20"/>
          <w:szCs w:val="20"/>
        </w:rPr>
        <w:t>% of the overall budget required by the Programme (US$8.</w:t>
      </w:r>
      <w:r w:rsidR="00887741" w:rsidRPr="000F5A61">
        <w:rPr>
          <w:rFonts w:ascii="Arial" w:hAnsi="Arial" w:cs="Arial"/>
          <w:sz w:val="20"/>
          <w:szCs w:val="20"/>
        </w:rPr>
        <w:t>8M</w:t>
      </w:r>
      <w:r w:rsidR="003635D5" w:rsidRPr="000F5A61">
        <w:rPr>
          <w:rFonts w:ascii="Arial" w:hAnsi="Arial" w:cs="Arial"/>
          <w:sz w:val="20"/>
          <w:szCs w:val="20"/>
        </w:rPr>
        <w:t>/US$15.</w:t>
      </w:r>
      <w:r w:rsidR="00887741" w:rsidRPr="000F5A61">
        <w:rPr>
          <w:rFonts w:ascii="Arial" w:hAnsi="Arial" w:cs="Arial"/>
          <w:sz w:val="20"/>
          <w:szCs w:val="20"/>
        </w:rPr>
        <w:t>5M</w:t>
      </w:r>
      <w:r w:rsidR="003635D5" w:rsidRPr="000F5A61">
        <w:rPr>
          <w:rFonts w:ascii="Arial" w:hAnsi="Arial" w:cs="Arial"/>
          <w:sz w:val="20"/>
          <w:szCs w:val="20"/>
        </w:rPr>
        <w:t xml:space="preserve">). Funding partners are expected to cover </w:t>
      </w:r>
      <w:r w:rsidR="00887741" w:rsidRPr="000F5A61">
        <w:rPr>
          <w:rFonts w:ascii="Arial" w:hAnsi="Arial" w:cs="Arial"/>
          <w:sz w:val="20"/>
          <w:szCs w:val="20"/>
        </w:rPr>
        <w:t>64</w:t>
      </w:r>
      <w:r w:rsidR="003635D5" w:rsidRPr="000F5A61">
        <w:rPr>
          <w:rFonts w:ascii="Arial" w:hAnsi="Arial" w:cs="Arial"/>
          <w:sz w:val="20"/>
          <w:szCs w:val="20"/>
        </w:rPr>
        <w:t>% of the gap (US$4.3M/US$6.7M). The remainder (US$2.</w:t>
      </w:r>
      <w:r w:rsidR="00887741" w:rsidRPr="000F5A61">
        <w:rPr>
          <w:rFonts w:ascii="Arial" w:hAnsi="Arial" w:cs="Arial"/>
          <w:sz w:val="20"/>
          <w:szCs w:val="20"/>
        </w:rPr>
        <w:t>4M</w:t>
      </w:r>
      <w:r w:rsidR="003635D5" w:rsidRPr="000F5A61">
        <w:rPr>
          <w:rFonts w:ascii="Arial" w:hAnsi="Arial" w:cs="Arial"/>
          <w:sz w:val="20"/>
          <w:szCs w:val="20"/>
        </w:rPr>
        <w:t>) forms the PAAR.</w:t>
      </w:r>
    </w:p>
    <w:p w:rsidR="00C31623" w:rsidRPr="000F5A61" w:rsidRDefault="00C31623" w:rsidP="00C31623">
      <w:pPr>
        <w:jc w:val="both"/>
        <w:rPr>
          <w:rFonts w:ascii="Arial" w:hAnsi="Arial" w:cs="Arial"/>
          <w:sz w:val="20"/>
          <w:szCs w:val="20"/>
        </w:rPr>
      </w:pPr>
      <w:r w:rsidRPr="000F5A61">
        <w:rPr>
          <w:rFonts w:ascii="Arial" w:hAnsi="Arial" w:cs="Arial"/>
          <w:sz w:val="20"/>
          <w:szCs w:val="20"/>
        </w:rPr>
        <w:t xml:space="preserve">The largest single contributor is </w:t>
      </w:r>
      <w:r w:rsidR="00EF1DA8" w:rsidRPr="000F5A61">
        <w:rPr>
          <w:rFonts w:ascii="Arial" w:hAnsi="Arial" w:cs="Arial"/>
          <w:sz w:val="20"/>
          <w:szCs w:val="20"/>
        </w:rPr>
        <w:t>expected to be GFATM</w:t>
      </w:r>
      <w:r w:rsidRPr="000F5A61">
        <w:rPr>
          <w:rFonts w:ascii="Arial" w:hAnsi="Arial" w:cs="Arial"/>
          <w:sz w:val="20"/>
          <w:szCs w:val="20"/>
        </w:rPr>
        <w:t xml:space="preserve">. Several other partners, including </w:t>
      </w:r>
      <w:r w:rsidR="00EF1DA8" w:rsidRPr="000F5A61">
        <w:rPr>
          <w:rFonts w:ascii="Arial" w:hAnsi="Arial" w:cs="Arial"/>
          <w:sz w:val="20"/>
          <w:szCs w:val="20"/>
        </w:rPr>
        <w:t>WHO</w:t>
      </w:r>
      <w:r w:rsidRPr="000F5A61">
        <w:rPr>
          <w:rFonts w:ascii="Arial" w:hAnsi="Arial" w:cs="Arial"/>
          <w:sz w:val="20"/>
          <w:szCs w:val="20"/>
        </w:rPr>
        <w:t xml:space="preserve"> and </w:t>
      </w:r>
      <w:r w:rsidR="00EF1DA8" w:rsidRPr="000F5A61">
        <w:rPr>
          <w:rFonts w:ascii="Arial" w:hAnsi="Arial" w:cs="Arial"/>
          <w:sz w:val="20"/>
          <w:szCs w:val="20"/>
        </w:rPr>
        <w:t>USAID/PMI</w:t>
      </w:r>
      <w:r w:rsidRPr="000F5A61">
        <w:rPr>
          <w:rFonts w:ascii="Arial" w:hAnsi="Arial" w:cs="Arial"/>
          <w:sz w:val="20"/>
          <w:szCs w:val="20"/>
        </w:rPr>
        <w:t xml:space="preserve">, also continue to support the response (see </w:t>
      </w:r>
      <w:r w:rsidR="00EF1DA8" w:rsidRPr="000F5A61">
        <w:rPr>
          <w:rFonts w:ascii="Arial" w:hAnsi="Arial" w:cs="Arial"/>
          <w:sz w:val="20"/>
          <w:szCs w:val="20"/>
        </w:rPr>
        <w:t>Funding Landscape</w:t>
      </w:r>
      <w:r w:rsidRPr="000F5A61">
        <w:rPr>
          <w:rFonts w:ascii="Arial" w:hAnsi="Arial" w:cs="Arial"/>
          <w:sz w:val="20"/>
          <w:szCs w:val="20"/>
        </w:rPr>
        <w:t xml:space="preserve"> Table).</w:t>
      </w:r>
    </w:p>
    <w:p w:rsidR="00C31623" w:rsidRPr="000F5A61" w:rsidRDefault="00C31623" w:rsidP="00C31623">
      <w:pPr>
        <w:spacing w:line="200" w:lineRule="exact"/>
        <w:rPr>
          <w:rFonts w:ascii="Arial" w:hAnsi="Arial" w:cs="Arial"/>
          <w:sz w:val="20"/>
          <w:szCs w:val="20"/>
        </w:rPr>
      </w:pPr>
    </w:p>
    <w:p w:rsidR="00C31623" w:rsidRPr="000F5A61" w:rsidRDefault="00C31623" w:rsidP="00C31623">
      <w:pPr>
        <w:spacing w:line="200" w:lineRule="exact"/>
        <w:rPr>
          <w:rFonts w:ascii="Arial" w:hAnsi="Arial" w:cs="Arial"/>
          <w:b/>
          <w:sz w:val="20"/>
          <w:szCs w:val="20"/>
        </w:rPr>
      </w:pPr>
      <w:r w:rsidRPr="000F5A61">
        <w:rPr>
          <w:rFonts w:ascii="Arial" w:hAnsi="Arial" w:cs="Arial"/>
          <w:b/>
          <w:sz w:val="20"/>
          <w:szCs w:val="20"/>
        </w:rPr>
        <w:t>Figure 4.1.</w:t>
      </w:r>
      <w:r w:rsidR="00EF1DA8" w:rsidRPr="000F5A61">
        <w:rPr>
          <w:rFonts w:ascii="Arial" w:hAnsi="Arial" w:cs="Arial"/>
          <w:b/>
          <w:sz w:val="20"/>
          <w:szCs w:val="20"/>
        </w:rPr>
        <w:t>a.</w:t>
      </w:r>
      <w:r w:rsidRPr="000F5A61">
        <w:rPr>
          <w:rFonts w:ascii="Arial" w:hAnsi="Arial" w:cs="Arial"/>
          <w:b/>
          <w:sz w:val="20"/>
          <w:szCs w:val="20"/>
        </w:rPr>
        <w:t xml:space="preserve"> Trends in domestic and external health spending in Nepal.</w:t>
      </w:r>
    </w:p>
    <w:p w:rsidR="00C31623" w:rsidRPr="000F5A61" w:rsidRDefault="00C31623" w:rsidP="00C31623">
      <w:pPr>
        <w:spacing w:before="1" w:line="240" w:lineRule="exact"/>
        <w:rPr>
          <w:rFonts w:ascii="Arial" w:hAnsi="Arial" w:cs="Arial"/>
          <w:sz w:val="20"/>
          <w:szCs w:val="20"/>
        </w:rPr>
      </w:pPr>
    </w:p>
    <w:p w:rsidR="00C31623" w:rsidRPr="000F5A61" w:rsidRDefault="00C31623" w:rsidP="00500945">
      <w:pPr>
        <w:spacing w:before="48"/>
        <w:ind w:left="100"/>
        <w:rPr>
          <w:rFonts w:ascii="Arial" w:eastAsia="Arial" w:hAnsi="Arial" w:cs="Arial"/>
          <w:sz w:val="20"/>
          <w:szCs w:val="20"/>
        </w:rPr>
      </w:pPr>
      <w:r w:rsidRPr="000F5A61">
        <w:rPr>
          <w:rFonts w:ascii="Arial" w:hAnsi="Arial" w:cs="Arial"/>
          <w:noProof/>
          <w:sz w:val="20"/>
          <w:szCs w:val="20"/>
          <w:lang w:val="en-US"/>
        </w:rPr>
        <w:lastRenderedPageBreak/>
        <w:drawing>
          <wp:inline distT="0" distB="0" distL="0" distR="0">
            <wp:extent cx="3133725" cy="19130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3133725" cy="1913060"/>
                    </a:xfrm>
                    <a:prstGeom prst="rect">
                      <a:avLst/>
                    </a:prstGeom>
                  </pic:spPr>
                </pic:pic>
              </a:graphicData>
            </a:graphic>
          </wp:inline>
        </w:drawing>
      </w:r>
    </w:p>
    <w:p w:rsidR="00EF1DA8" w:rsidRPr="000F5A61" w:rsidRDefault="00C31623" w:rsidP="00EF1DA8">
      <w:pPr>
        <w:spacing w:after="120"/>
        <w:rPr>
          <w:rFonts w:ascii="Arial" w:hAnsi="Arial" w:cs="Arial"/>
          <w:sz w:val="20"/>
          <w:szCs w:val="20"/>
        </w:rPr>
      </w:pPr>
      <w:r w:rsidRPr="000F5A61">
        <w:rPr>
          <w:rFonts w:ascii="Arial" w:hAnsi="Arial" w:cs="Arial"/>
          <w:sz w:val="20"/>
          <w:szCs w:val="20"/>
        </w:rPr>
        <w:t>This funding landscape is now in a period of transition, with external resources on a rapid downward trend</w:t>
      </w:r>
      <w:r w:rsidR="00EF1DA8" w:rsidRPr="000F5A61">
        <w:rPr>
          <w:rFonts w:ascii="Arial" w:hAnsi="Arial" w:cs="Arial"/>
          <w:sz w:val="20"/>
          <w:szCs w:val="20"/>
        </w:rPr>
        <w:t xml:space="preserve">. The new GFATM funding allocation for malaria will mean a </w:t>
      </w:r>
      <w:r w:rsidR="00EF1DA8" w:rsidRPr="000F5A61">
        <w:rPr>
          <w:rFonts w:ascii="Arial" w:hAnsi="Arial" w:cs="Arial"/>
          <w:sz w:val="20"/>
          <w:szCs w:val="20"/>
          <w:lang w:val="en-US"/>
        </w:rPr>
        <w:t>59% reduction in support in real terms</w:t>
      </w:r>
      <w:r w:rsidR="00EF1DA8" w:rsidRPr="000F5A61">
        <w:rPr>
          <w:rStyle w:val="FootnoteReference"/>
          <w:rFonts w:ascii="Arial" w:hAnsi="Arial" w:cs="Arial"/>
          <w:sz w:val="20"/>
          <w:szCs w:val="20"/>
        </w:rPr>
        <w:footnoteReference w:id="25"/>
      </w:r>
      <w:r w:rsidR="00EF1DA8" w:rsidRPr="000F5A61">
        <w:rPr>
          <w:rFonts w:ascii="Arial" w:hAnsi="Arial" w:cs="Arial"/>
          <w:sz w:val="20"/>
          <w:szCs w:val="20"/>
          <w:lang w:val="en-US"/>
        </w:rPr>
        <w:t xml:space="preserve"> (Figure 4.1.b)</w:t>
      </w:r>
      <w:r w:rsidR="00EF1DA8" w:rsidRPr="000F5A61">
        <w:rPr>
          <w:rFonts w:ascii="Arial" w:hAnsi="Arial" w:cs="Arial"/>
          <w:sz w:val="20"/>
          <w:szCs w:val="20"/>
        </w:rPr>
        <w:t xml:space="preserve">. </w:t>
      </w:r>
    </w:p>
    <w:p w:rsidR="00EF1DA8" w:rsidRPr="00500945" w:rsidRDefault="00EF1DA8" w:rsidP="00EF1DA8">
      <w:pPr>
        <w:spacing w:after="120"/>
        <w:rPr>
          <w:rFonts w:ascii="Arial" w:hAnsi="Arial" w:cs="Arial"/>
          <w:b/>
          <w:bCs/>
          <w:sz w:val="20"/>
          <w:szCs w:val="20"/>
        </w:rPr>
      </w:pPr>
      <w:r w:rsidRPr="000F5A61">
        <w:rPr>
          <w:rFonts w:ascii="Arial" w:hAnsi="Arial" w:cs="Arial"/>
          <w:b/>
          <w:bCs/>
          <w:sz w:val="20"/>
          <w:szCs w:val="20"/>
        </w:rPr>
        <w:t xml:space="preserve">Figure 4.1.b. </w:t>
      </w:r>
      <w:r w:rsidRPr="000F5A61">
        <w:rPr>
          <w:rFonts w:ascii="Arial" w:hAnsi="Arial" w:cs="Arial"/>
          <w:b/>
          <w:bCs/>
          <w:sz w:val="20"/>
          <w:szCs w:val="20"/>
          <w:lang w:val="en-US"/>
        </w:rPr>
        <w:t>Current and projected GFATM support for malaria in Nepal</w:t>
      </w:r>
    </w:p>
    <w:p w:rsidR="00EF1DA8" w:rsidRPr="000F5A61" w:rsidRDefault="00EF1DA8" w:rsidP="00EF1DA8">
      <w:pPr>
        <w:spacing w:after="120"/>
        <w:rPr>
          <w:rFonts w:ascii="Arial" w:hAnsi="Arial" w:cs="Arial"/>
          <w:sz w:val="20"/>
          <w:szCs w:val="20"/>
        </w:rPr>
      </w:pPr>
      <w:r w:rsidRPr="000F5A61">
        <w:rPr>
          <w:rFonts w:ascii="Arial" w:hAnsi="Arial" w:cs="Arial"/>
          <w:noProof/>
          <w:sz w:val="20"/>
          <w:szCs w:val="20"/>
          <w:lang w:val="en-US"/>
        </w:rPr>
        <w:drawing>
          <wp:inline distT="0" distB="0" distL="0" distR="0">
            <wp:extent cx="3425483" cy="3759364"/>
            <wp:effectExtent l="0" t="0" r="3810" b="0"/>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7-06-14 at 11.43.12.png"/>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425483" cy="3759364"/>
                    </a:xfrm>
                    <a:prstGeom prst="rect">
                      <a:avLst/>
                    </a:prstGeom>
                  </pic:spPr>
                </pic:pic>
              </a:graphicData>
            </a:graphic>
          </wp:inline>
        </w:drawing>
      </w:r>
    </w:p>
    <w:p w:rsidR="00FE411C" w:rsidRDefault="00EF1DA8">
      <w:pPr>
        <w:rPr>
          <w:rFonts w:ascii="Arial" w:hAnsi="Arial" w:cs="Arial"/>
          <w:sz w:val="20"/>
          <w:szCs w:val="20"/>
        </w:rPr>
      </w:pPr>
      <w:r w:rsidRPr="000F5A61">
        <w:rPr>
          <w:rFonts w:ascii="Arial" w:hAnsi="Arial" w:cs="Arial"/>
          <w:sz w:val="20"/>
          <w:szCs w:val="20"/>
        </w:rPr>
        <w:t>T</w:t>
      </w:r>
      <w:r w:rsidR="00C31623" w:rsidRPr="000F5A61">
        <w:rPr>
          <w:rFonts w:ascii="Arial" w:hAnsi="Arial" w:cs="Arial"/>
          <w:sz w:val="20"/>
          <w:szCs w:val="20"/>
        </w:rPr>
        <w:t>he government has taken important steps towards securing the sustainability of the response by stepping up its contribution. In 201</w:t>
      </w:r>
      <w:r w:rsidR="00237D7E" w:rsidRPr="000F5A61">
        <w:rPr>
          <w:rFonts w:ascii="Arial" w:hAnsi="Arial" w:cs="Arial"/>
          <w:sz w:val="20"/>
          <w:szCs w:val="20"/>
        </w:rPr>
        <w:t>8</w:t>
      </w:r>
      <w:r w:rsidR="00C31623" w:rsidRPr="000F5A61">
        <w:rPr>
          <w:rFonts w:ascii="Arial" w:hAnsi="Arial" w:cs="Arial"/>
          <w:sz w:val="20"/>
          <w:szCs w:val="20"/>
        </w:rPr>
        <w:t>/1</w:t>
      </w:r>
      <w:r w:rsidR="00237D7E" w:rsidRPr="000F5A61">
        <w:rPr>
          <w:rFonts w:ascii="Arial" w:hAnsi="Arial" w:cs="Arial"/>
          <w:sz w:val="20"/>
          <w:szCs w:val="20"/>
        </w:rPr>
        <w:t>9</w:t>
      </w:r>
      <w:r w:rsidR="00C31623" w:rsidRPr="000F5A61">
        <w:rPr>
          <w:rFonts w:ascii="Arial" w:hAnsi="Arial" w:cs="Arial"/>
          <w:sz w:val="20"/>
          <w:szCs w:val="20"/>
        </w:rPr>
        <w:t xml:space="preserve">, for the first time, the government committed significant resources for the procurement of </w:t>
      </w:r>
      <w:r w:rsidR="00237D7E" w:rsidRPr="000F5A61">
        <w:rPr>
          <w:rFonts w:ascii="Arial" w:hAnsi="Arial" w:cs="Arial"/>
          <w:sz w:val="20"/>
          <w:szCs w:val="20"/>
        </w:rPr>
        <w:t>LLINs</w:t>
      </w:r>
      <w:r w:rsidR="00C31623" w:rsidRPr="000F5A61">
        <w:rPr>
          <w:rFonts w:ascii="Arial" w:hAnsi="Arial" w:cs="Arial"/>
          <w:sz w:val="20"/>
          <w:szCs w:val="20"/>
        </w:rPr>
        <w:t xml:space="preserve"> and is increasingly taking over support for commodities and services that have hitherto been supported by the Global Fund.</w:t>
      </w:r>
    </w:p>
    <w:p w:rsidR="00500945" w:rsidRPr="00500945" w:rsidRDefault="00500945">
      <w:pPr>
        <w:rPr>
          <w:rFonts w:ascii="Arial" w:hAnsi="Arial" w:cs="Arial"/>
          <w:sz w:val="20"/>
          <w:szCs w:val="20"/>
        </w:rPr>
      </w:pPr>
      <w:r w:rsidRPr="00500945">
        <w:rPr>
          <w:rFonts w:ascii="Arial" w:hAnsi="Arial" w:cs="Arial"/>
          <w:sz w:val="20"/>
          <w:szCs w:val="20"/>
        </w:rPr>
        <w:t>Ministry of Health in particular has implemented a budget and expenditure tracking system called Transaction Accounting and Budget Control System (TABUCS) which requires all thespending unitsall over the country within Ministry of Health to upload their expenditure reports in every trimester. This allows expenditure tracking more efficiently and timely.</w:t>
      </w:r>
    </w:p>
    <w:tbl>
      <w:tblPr>
        <w:tblW w:w="8789" w:type="dxa"/>
        <w:tblInd w:w="13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A0"/>
      </w:tblPr>
      <w:tblGrid>
        <w:gridCol w:w="8789"/>
      </w:tblGrid>
      <w:tr w:rsidR="00215CCE" w:rsidRPr="000F5A61" w:rsidTr="00FE411C">
        <w:trPr>
          <w:trHeight w:val="420"/>
        </w:trPr>
        <w:tc>
          <w:tcPr>
            <w:tcW w:w="8789" w:type="dxa"/>
            <w:shd w:val="clear" w:color="auto" w:fill="C6D9F1"/>
          </w:tcPr>
          <w:p w:rsidR="00215CCE" w:rsidRPr="000F5A61" w:rsidRDefault="00215CCE" w:rsidP="00215CCE">
            <w:pPr>
              <w:keepNext/>
              <w:keepLines/>
              <w:tabs>
                <w:tab w:val="left" w:pos="8100"/>
              </w:tabs>
              <w:spacing w:before="120" w:after="120" w:line="240" w:lineRule="auto"/>
              <w:jc w:val="both"/>
              <w:rPr>
                <w:rFonts w:ascii="Arial" w:eastAsia="Calibri" w:hAnsi="Arial" w:cs="Arial"/>
                <w:bCs/>
                <w:sz w:val="20"/>
                <w:szCs w:val="20"/>
                <w:lang w:val="en-US"/>
              </w:rPr>
            </w:pPr>
            <w:r w:rsidRPr="000F5A61">
              <w:rPr>
                <w:rFonts w:ascii="Arial" w:eastAsia="Calibri" w:hAnsi="Arial" w:cs="Arial"/>
                <w:b/>
                <w:sz w:val="20"/>
                <w:szCs w:val="20"/>
                <w:lang w:val="en-US"/>
              </w:rPr>
              <w:lastRenderedPageBreak/>
              <w:t>4.2  Sustainability</w:t>
            </w:r>
          </w:p>
        </w:tc>
      </w:tr>
      <w:tr w:rsidR="00215CCE" w:rsidRPr="000F5A61" w:rsidTr="00FE411C">
        <w:trPr>
          <w:trHeight w:val="480"/>
        </w:trPr>
        <w:tc>
          <w:tcPr>
            <w:tcW w:w="8789" w:type="dxa"/>
            <w:shd w:val="clear" w:color="auto" w:fill="F2F2F2" w:themeFill="background1" w:themeFillShade="F2"/>
            <w:vAlign w:val="center"/>
          </w:tcPr>
          <w:p w:rsidR="003457BF" w:rsidRPr="000F5A61" w:rsidRDefault="0089492B" w:rsidP="00386FF7">
            <w:pPr>
              <w:spacing w:before="120" w:after="120" w:line="240" w:lineRule="auto"/>
              <w:jc w:val="both"/>
              <w:rPr>
                <w:rFonts w:ascii="Arial" w:eastAsia="SimSun" w:hAnsi="Arial" w:cs="Arial"/>
                <w:sz w:val="20"/>
                <w:szCs w:val="20"/>
                <w:lang w:val="en-US" w:eastAsia="zh-CN"/>
              </w:rPr>
            </w:pPr>
            <w:r w:rsidRPr="000F5A61">
              <w:rPr>
                <w:rFonts w:ascii="Arial" w:eastAsia="SimSun" w:hAnsi="Arial" w:cs="Arial"/>
                <w:sz w:val="20"/>
                <w:szCs w:val="20"/>
                <w:lang w:val="en-US" w:eastAsia="zh-CN"/>
              </w:rPr>
              <w:t xml:space="preserve">Describe below how the government will </w:t>
            </w:r>
            <w:r w:rsidR="00C106F2" w:rsidRPr="000F5A61">
              <w:rPr>
                <w:rFonts w:ascii="Arial" w:eastAsia="SimSun" w:hAnsi="Arial" w:cs="Arial"/>
                <w:sz w:val="20"/>
                <w:szCs w:val="20"/>
                <w:lang w:val="en-US" w:eastAsia="zh-CN"/>
              </w:rPr>
              <w:t>increasingly</w:t>
            </w:r>
            <w:r w:rsidRPr="000F5A61">
              <w:rPr>
                <w:rFonts w:ascii="Arial" w:eastAsia="SimSun" w:hAnsi="Arial" w:cs="Arial"/>
                <w:sz w:val="20"/>
                <w:szCs w:val="20"/>
                <w:lang w:val="en-US" w:eastAsia="zh-CN"/>
              </w:rPr>
              <w:t xml:space="preserve"> take up </w:t>
            </w:r>
            <w:r w:rsidR="00832DBA" w:rsidRPr="000F5A61">
              <w:rPr>
                <w:rFonts w:ascii="Arial" w:eastAsia="SimSun" w:hAnsi="Arial" w:cs="Arial"/>
                <w:sz w:val="20"/>
                <w:szCs w:val="20"/>
                <w:lang w:val="en-US" w:eastAsia="zh-CN"/>
              </w:rPr>
              <w:t xml:space="preserve">health program costs, </w:t>
            </w:r>
            <w:r w:rsidRPr="000F5A61">
              <w:rPr>
                <w:rFonts w:ascii="Arial" w:eastAsia="SimSun" w:hAnsi="Arial" w:cs="Arial"/>
                <w:sz w:val="20"/>
                <w:szCs w:val="20"/>
                <w:lang w:val="en-US" w:eastAsia="zh-CN"/>
              </w:rPr>
              <w:t>and actions to improve sustainability of Global Fund financed programs</w:t>
            </w:r>
            <w:r w:rsidR="003457BF" w:rsidRPr="000F5A61">
              <w:rPr>
                <w:rFonts w:ascii="Arial" w:eastAsia="SimSun" w:hAnsi="Arial" w:cs="Arial"/>
                <w:sz w:val="20"/>
                <w:szCs w:val="20"/>
                <w:lang w:val="en-US" w:eastAsia="zh-CN"/>
              </w:rPr>
              <w:t>.</w:t>
            </w:r>
            <w:r w:rsidR="003F39C8" w:rsidRPr="000F5A61">
              <w:rPr>
                <w:rFonts w:ascii="Arial" w:eastAsia="SimSun" w:hAnsi="Arial" w:cs="Arial"/>
                <w:sz w:val="20"/>
                <w:szCs w:val="20"/>
                <w:lang w:val="en-US" w:eastAsia="zh-CN"/>
              </w:rPr>
              <w:t xml:space="preserve"> Specifically, </w:t>
            </w:r>
          </w:p>
          <w:p w:rsidR="00F57EBD" w:rsidRPr="000F5A61" w:rsidRDefault="00FB2411" w:rsidP="00F57EBD">
            <w:pPr>
              <w:pStyle w:val="ListParagraph"/>
              <w:numPr>
                <w:ilvl w:val="0"/>
                <w:numId w:val="14"/>
              </w:numPr>
              <w:spacing w:after="200" w:line="276" w:lineRule="auto"/>
              <w:jc w:val="both"/>
              <w:rPr>
                <w:rFonts w:ascii="Arial" w:eastAsia="Calibri" w:hAnsi="Arial" w:cs="Arial"/>
                <w:sz w:val="20"/>
                <w:szCs w:val="20"/>
                <w:lang w:val="en-US"/>
              </w:rPr>
            </w:pPr>
            <w:r w:rsidRPr="000F5A61">
              <w:rPr>
                <w:rFonts w:ascii="Arial" w:eastAsia="Calibri" w:hAnsi="Arial" w:cs="Arial"/>
                <w:sz w:val="20"/>
                <w:szCs w:val="20"/>
                <w:lang w:val="en-US"/>
              </w:rPr>
              <w:t>Explain the</w:t>
            </w:r>
            <w:r w:rsidR="00F57EBD" w:rsidRPr="000F5A61">
              <w:rPr>
                <w:rFonts w:ascii="Arial" w:eastAsia="Calibri" w:hAnsi="Arial" w:cs="Arial"/>
                <w:sz w:val="20"/>
                <w:szCs w:val="20"/>
                <w:lang w:val="en-US"/>
              </w:rPr>
              <w:t xml:space="preserve"> costs, availability of funds and </w:t>
            </w:r>
            <w:r w:rsidRPr="000F5A61">
              <w:rPr>
                <w:rFonts w:ascii="Arial" w:eastAsia="Calibri" w:hAnsi="Arial" w:cs="Arial"/>
                <w:sz w:val="20"/>
                <w:szCs w:val="20"/>
                <w:lang w:val="en-US"/>
              </w:rPr>
              <w:t xml:space="preserve">the </w:t>
            </w:r>
            <w:r w:rsidR="00F57EBD" w:rsidRPr="000F5A61">
              <w:rPr>
                <w:rFonts w:ascii="Arial" w:eastAsia="Calibri" w:hAnsi="Arial" w:cs="Arial"/>
                <w:sz w:val="20"/>
                <w:szCs w:val="20"/>
                <w:lang w:val="en-US"/>
              </w:rPr>
              <w:t>funding gap for major program areas. Specify in particular how the government will increasingly take up key costs of national disease plans and/or support health systems; including scaling up investments in programs for key and vulnerable population, removal of human rights and gender-related barriers and enabling environment interventions.</w:t>
            </w:r>
          </w:p>
          <w:p w:rsidR="00787FD1" w:rsidRPr="000F5A61" w:rsidRDefault="00787FD1" w:rsidP="00787FD1">
            <w:pPr>
              <w:pStyle w:val="ListParagraph"/>
              <w:spacing w:after="200" w:line="276" w:lineRule="auto"/>
              <w:jc w:val="both"/>
              <w:rPr>
                <w:rFonts w:ascii="Arial" w:eastAsia="Calibri" w:hAnsi="Arial" w:cs="Arial"/>
                <w:sz w:val="20"/>
                <w:szCs w:val="20"/>
                <w:lang w:val="en-US"/>
              </w:rPr>
            </w:pPr>
            <w:r w:rsidRPr="000F5A61">
              <w:rPr>
                <w:rFonts w:ascii="Arial" w:eastAsia="Calibri" w:hAnsi="Arial" w:cs="Arial"/>
                <w:sz w:val="20"/>
                <w:szCs w:val="20"/>
                <w:lang w:val="en-US"/>
              </w:rPr>
              <w:t>Deepak</w:t>
            </w:r>
          </w:p>
          <w:p w:rsidR="00F57EBD" w:rsidRPr="000F5A61" w:rsidRDefault="00F57EBD" w:rsidP="00F57EBD">
            <w:pPr>
              <w:pStyle w:val="ListParagraph"/>
              <w:numPr>
                <w:ilvl w:val="0"/>
                <w:numId w:val="14"/>
              </w:numPr>
              <w:spacing w:after="200" w:line="276" w:lineRule="auto"/>
              <w:jc w:val="both"/>
              <w:rPr>
                <w:rFonts w:ascii="Arial" w:eastAsia="Calibri" w:hAnsi="Arial" w:cs="Arial"/>
                <w:sz w:val="20"/>
                <w:szCs w:val="20"/>
                <w:lang w:val="en-US"/>
              </w:rPr>
            </w:pPr>
            <w:r w:rsidRPr="000F5A61">
              <w:rPr>
                <w:rFonts w:ascii="Arial" w:eastAsia="Calibri" w:hAnsi="Arial" w:cs="Arial"/>
                <w:sz w:val="20"/>
                <w:szCs w:val="20"/>
                <w:lang w:val="en-US"/>
              </w:rPr>
              <w:t>Describe actions to improve sustainability of Global Fund financed programs. Specifically, highlight key sustainability challenges of the program(s) covered by the funding request, and any current and/or planned actions to address them.</w:t>
            </w:r>
          </w:p>
          <w:p w:rsidR="00787FD1" w:rsidRPr="000F5A61" w:rsidRDefault="00787FD1" w:rsidP="00787FD1">
            <w:pPr>
              <w:pStyle w:val="ListParagraph"/>
              <w:spacing w:after="200" w:line="276" w:lineRule="auto"/>
              <w:jc w:val="both"/>
              <w:rPr>
                <w:rFonts w:ascii="Arial" w:eastAsia="Calibri" w:hAnsi="Arial" w:cs="Arial"/>
                <w:sz w:val="20"/>
                <w:szCs w:val="20"/>
                <w:lang w:val="en-US"/>
              </w:rPr>
            </w:pPr>
            <w:r w:rsidRPr="000F5A61">
              <w:rPr>
                <w:rFonts w:ascii="Arial" w:eastAsia="Calibri" w:hAnsi="Arial" w:cs="Arial"/>
                <w:sz w:val="20"/>
                <w:szCs w:val="20"/>
                <w:lang w:val="en-US"/>
              </w:rPr>
              <w:t>Sean</w:t>
            </w:r>
          </w:p>
          <w:p w:rsidR="00215CCE" w:rsidRPr="000F5A61" w:rsidRDefault="001631BD" w:rsidP="00386FF7">
            <w:pPr>
              <w:spacing w:before="120" w:after="120" w:line="240" w:lineRule="auto"/>
              <w:jc w:val="both"/>
              <w:rPr>
                <w:rFonts w:ascii="Arial" w:eastAsia="Calibri" w:hAnsi="Arial" w:cs="Arial"/>
                <w:b/>
                <w:sz w:val="20"/>
                <w:szCs w:val="20"/>
                <w:lang w:val="en-US"/>
              </w:rPr>
            </w:pPr>
            <w:r w:rsidRPr="000F5A61">
              <w:rPr>
                <w:rFonts w:ascii="Arial" w:eastAsia="SimSun" w:hAnsi="Arial" w:cs="Arial"/>
                <w:b/>
                <w:sz w:val="20"/>
                <w:szCs w:val="20"/>
                <w:lang w:val="en-US" w:eastAsia="zh-CN"/>
              </w:rPr>
              <w:t>(maximum</w:t>
            </w:r>
            <w:r w:rsidR="00215CCE" w:rsidRPr="000F5A61">
              <w:rPr>
                <w:rFonts w:ascii="Arial" w:eastAsia="SimSun" w:hAnsi="Arial" w:cs="Arial"/>
                <w:b/>
                <w:sz w:val="20"/>
                <w:szCs w:val="20"/>
                <w:lang w:val="en-US" w:eastAsia="zh-CN"/>
              </w:rPr>
              <w:t xml:space="preserve"> 1 page)</w:t>
            </w:r>
          </w:p>
        </w:tc>
      </w:tr>
    </w:tbl>
    <w:p w:rsidR="00F51BF5" w:rsidRPr="000F5A61" w:rsidRDefault="00F51BF5" w:rsidP="00F51BF5">
      <w:pPr>
        <w:spacing w:after="120" w:line="240" w:lineRule="auto"/>
        <w:rPr>
          <w:rFonts w:ascii="Arial" w:hAnsi="Arial" w:cs="Arial"/>
          <w:sz w:val="20"/>
          <w:szCs w:val="20"/>
        </w:rPr>
      </w:pPr>
    </w:p>
    <w:p w:rsidR="00F51BF5" w:rsidRPr="000F5A61" w:rsidRDefault="00F51BF5" w:rsidP="00F51BF5">
      <w:pPr>
        <w:spacing w:after="120" w:line="240" w:lineRule="auto"/>
        <w:rPr>
          <w:rFonts w:ascii="Arial" w:hAnsi="Arial" w:cs="Arial"/>
          <w:sz w:val="20"/>
          <w:szCs w:val="20"/>
        </w:rPr>
      </w:pPr>
      <w:r w:rsidRPr="00B1785B">
        <w:rPr>
          <w:rFonts w:ascii="Arial" w:hAnsi="Arial" w:cs="Arial"/>
          <w:sz w:val="20"/>
          <w:szCs w:val="20"/>
        </w:rPr>
        <w:t xml:space="preserve">a). </w:t>
      </w:r>
      <w:r w:rsidR="00AD4978" w:rsidRPr="00AD4978">
        <w:rPr>
          <w:rFonts w:ascii="Arial" w:hAnsi="Arial" w:cs="Arial"/>
          <w:color w:val="0070C0"/>
          <w:sz w:val="20"/>
          <w:szCs w:val="20"/>
        </w:rPr>
        <w:t>The projected overall cost of the NMSP during 2018 to 2021 is USD$24.91M. However, the projected costs of the NMSP during the grant period (16th March 2018- 15</w:t>
      </w:r>
      <w:r w:rsidR="00AD4978" w:rsidRPr="00AD4978">
        <w:rPr>
          <w:rFonts w:ascii="Arial" w:hAnsi="Arial" w:cs="Arial"/>
          <w:color w:val="0070C0"/>
          <w:sz w:val="20"/>
          <w:szCs w:val="20"/>
          <w:vertAlign w:val="superscript"/>
        </w:rPr>
        <w:t>th</w:t>
      </w:r>
      <w:r w:rsidR="00AD4978" w:rsidRPr="00AD4978">
        <w:rPr>
          <w:rFonts w:ascii="Arial" w:hAnsi="Arial" w:cs="Arial"/>
          <w:color w:val="0070C0"/>
          <w:sz w:val="20"/>
          <w:szCs w:val="20"/>
        </w:rPr>
        <w:t xml:space="preserve"> March 2021) is US$15.49M. Of this amount,</w:t>
      </w:r>
      <w:r w:rsidRPr="00B1785B">
        <w:rPr>
          <w:rFonts w:ascii="Arial" w:hAnsi="Arial" w:cs="Arial"/>
          <w:sz w:val="20"/>
          <w:szCs w:val="20"/>
        </w:rPr>
        <w:t>US$</w:t>
      </w:r>
      <w:r w:rsidR="006E6670" w:rsidRPr="00B1785B">
        <w:rPr>
          <w:rFonts w:ascii="Arial" w:hAnsi="Arial" w:cs="Arial"/>
          <w:sz w:val="20"/>
          <w:szCs w:val="20"/>
        </w:rPr>
        <w:t>13.04</w:t>
      </w:r>
      <w:r w:rsidR="0071703B" w:rsidRPr="00B1785B">
        <w:rPr>
          <w:rFonts w:ascii="Arial" w:hAnsi="Arial" w:cs="Arial"/>
          <w:sz w:val="20"/>
          <w:szCs w:val="20"/>
        </w:rPr>
        <w:t xml:space="preserve">M </w:t>
      </w:r>
      <w:r w:rsidRPr="00B1785B">
        <w:rPr>
          <w:rFonts w:ascii="Arial" w:hAnsi="Arial" w:cs="Arial"/>
          <w:sz w:val="20"/>
          <w:szCs w:val="20"/>
        </w:rPr>
        <w:t>(</w:t>
      </w:r>
      <w:r w:rsidR="00334DAB" w:rsidRPr="00B1785B">
        <w:rPr>
          <w:rFonts w:ascii="Arial" w:hAnsi="Arial" w:cs="Arial"/>
          <w:sz w:val="20"/>
          <w:szCs w:val="20"/>
        </w:rPr>
        <w:t>84</w:t>
      </w:r>
      <w:r w:rsidRPr="00B1785B">
        <w:rPr>
          <w:rFonts w:ascii="Arial" w:hAnsi="Arial" w:cs="Arial"/>
          <w:sz w:val="20"/>
          <w:szCs w:val="20"/>
        </w:rPr>
        <w:t>%) will be covered by a combination of non-GF</w:t>
      </w:r>
      <w:r w:rsidR="00E67A2A" w:rsidRPr="00B1785B">
        <w:rPr>
          <w:rFonts w:ascii="Arial" w:hAnsi="Arial" w:cs="Arial"/>
          <w:sz w:val="20"/>
          <w:szCs w:val="20"/>
        </w:rPr>
        <w:t>ATM</w:t>
      </w:r>
      <w:r w:rsidRPr="00B1785B">
        <w:rPr>
          <w:rFonts w:ascii="Arial" w:hAnsi="Arial" w:cs="Arial"/>
          <w:sz w:val="20"/>
          <w:szCs w:val="20"/>
        </w:rPr>
        <w:t xml:space="preserve"> sources </w:t>
      </w:r>
      <w:r w:rsidR="00245B9F" w:rsidRPr="00B1785B">
        <w:rPr>
          <w:rFonts w:ascii="Arial" w:hAnsi="Arial" w:cs="Arial"/>
          <w:sz w:val="20"/>
          <w:szCs w:val="20"/>
        </w:rPr>
        <w:t>(US$</w:t>
      </w:r>
      <w:r w:rsidR="00334DAB" w:rsidRPr="00B1785B">
        <w:rPr>
          <w:rFonts w:ascii="Arial" w:hAnsi="Arial" w:cs="Arial"/>
          <w:sz w:val="20"/>
          <w:szCs w:val="20"/>
        </w:rPr>
        <w:t>8.</w:t>
      </w:r>
      <w:r w:rsidR="006E6670" w:rsidRPr="00B1785B">
        <w:rPr>
          <w:rFonts w:ascii="Arial" w:hAnsi="Arial" w:cs="Arial"/>
          <w:sz w:val="20"/>
          <w:szCs w:val="20"/>
        </w:rPr>
        <w:t>83</w:t>
      </w:r>
      <w:r w:rsidR="00334DAB" w:rsidRPr="00B1785B">
        <w:rPr>
          <w:rFonts w:ascii="Arial" w:hAnsi="Arial" w:cs="Arial"/>
          <w:sz w:val="20"/>
          <w:szCs w:val="20"/>
        </w:rPr>
        <w:t xml:space="preserve">M </w:t>
      </w:r>
      <w:r w:rsidR="00245B9F" w:rsidRPr="00B1785B">
        <w:rPr>
          <w:rFonts w:ascii="Arial" w:hAnsi="Arial" w:cs="Arial"/>
          <w:sz w:val="20"/>
          <w:szCs w:val="20"/>
        </w:rPr>
        <w:t xml:space="preserve">- </w:t>
      </w:r>
      <w:r w:rsidR="00334DAB" w:rsidRPr="00B1785B">
        <w:rPr>
          <w:rFonts w:ascii="Arial" w:hAnsi="Arial" w:cs="Arial"/>
          <w:sz w:val="20"/>
          <w:szCs w:val="20"/>
        </w:rPr>
        <w:t>57</w:t>
      </w:r>
      <w:r w:rsidR="00245B9F" w:rsidRPr="00B1785B">
        <w:rPr>
          <w:rFonts w:ascii="Arial" w:hAnsi="Arial" w:cs="Arial"/>
          <w:sz w:val="20"/>
          <w:szCs w:val="20"/>
        </w:rPr>
        <w:t xml:space="preserve">%) </w:t>
      </w:r>
      <w:r w:rsidRPr="00B1785B">
        <w:rPr>
          <w:rFonts w:ascii="Arial" w:hAnsi="Arial" w:cs="Arial"/>
          <w:sz w:val="20"/>
          <w:szCs w:val="20"/>
        </w:rPr>
        <w:t>and the ‘within allocation’ request</w:t>
      </w:r>
      <w:r w:rsidR="00245B9F" w:rsidRPr="00B1785B">
        <w:rPr>
          <w:rFonts w:ascii="Arial" w:hAnsi="Arial" w:cs="Arial"/>
          <w:sz w:val="20"/>
          <w:szCs w:val="20"/>
        </w:rPr>
        <w:t xml:space="preserve"> (US$</w:t>
      </w:r>
      <w:r w:rsidR="00334DAB" w:rsidRPr="00B1785B">
        <w:rPr>
          <w:rFonts w:ascii="Arial" w:hAnsi="Arial" w:cs="Arial"/>
          <w:sz w:val="20"/>
          <w:szCs w:val="20"/>
        </w:rPr>
        <w:t xml:space="preserve">4.21M </w:t>
      </w:r>
      <w:r w:rsidR="00245B9F" w:rsidRPr="00B1785B">
        <w:rPr>
          <w:rFonts w:ascii="Arial" w:hAnsi="Arial" w:cs="Arial"/>
          <w:sz w:val="20"/>
          <w:szCs w:val="20"/>
        </w:rPr>
        <w:t xml:space="preserve">- </w:t>
      </w:r>
      <w:r w:rsidR="00334DAB" w:rsidRPr="00B1785B">
        <w:rPr>
          <w:rFonts w:ascii="Arial" w:hAnsi="Arial" w:cs="Arial"/>
          <w:sz w:val="20"/>
          <w:szCs w:val="20"/>
        </w:rPr>
        <w:t>27</w:t>
      </w:r>
      <w:r w:rsidR="00245B9F" w:rsidRPr="00B1785B">
        <w:rPr>
          <w:rFonts w:ascii="Arial" w:hAnsi="Arial" w:cs="Arial"/>
          <w:sz w:val="20"/>
          <w:szCs w:val="20"/>
        </w:rPr>
        <w:t>%)</w:t>
      </w:r>
      <w:r w:rsidRPr="00B1785B">
        <w:rPr>
          <w:rFonts w:ascii="Arial" w:hAnsi="Arial" w:cs="Arial"/>
          <w:sz w:val="20"/>
          <w:szCs w:val="20"/>
        </w:rPr>
        <w:t xml:space="preserve">. </w:t>
      </w:r>
      <w:r w:rsidR="0071703B" w:rsidRPr="00B1785B">
        <w:rPr>
          <w:rFonts w:ascii="Arial" w:hAnsi="Arial" w:cs="Arial"/>
          <w:sz w:val="20"/>
          <w:szCs w:val="20"/>
        </w:rPr>
        <w:t>The remaining</w:t>
      </w:r>
      <w:r w:rsidRPr="00B1785B">
        <w:rPr>
          <w:rFonts w:ascii="Arial" w:hAnsi="Arial" w:cs="Arial"/>
          <w:sz w:val="20"/>
          <w:szCs w:val="20"/>
        </w:rPr>
        <w:t xml:space="preserve"> US$</w:t>
      </w:r>
      <w:r w:rsidR="00441A20" w:rsidRPr="00B1785B">
        <w:rPr>
          <w:rFonts w:ascii="Arial" w:hAnsi="Arial" w:cs="Arial"/>
          <w:sz w:val="20"/>
          <w:szCs w:val="20"/>
        </w:rPr>
        <w:t>2.4</w:t>
      </w:r>
      <w:r w:rsidR="006E6670" w:rsidRPr="00B1785B">
        <w:rPr>
          <w:rFonts w:ascii="Arial" w:hAnsi="Arial" w:cs="Arial"/>
          <w:sz w:val="20"/>
          <w:szCs w:val="20"/>
        </w:rPr>
        <w:t>3</w:t>
      </w:r>
      <w:r w:rsidR="0071703B" w:rsidRPr="00B1785B">
        <w:rPr>
          <w:rFonts w:ascii="Arial" w:hAnsi="Arial" w:cs="Arial"/>
          <w:sz w:val="20"/>
          <w:szCs w:val="20"/>
        </w:rPr>
        <w:t xml:space="preserve">M </w:t>
      </w:r>
      <w:r w:rsidR="00441A20" w:rsidRPr="00B1785B">
        <w:rPr>
          <w:rFonts w:ascii="Arial" w:hAnsi="Arial" w:cs="Arial"/>
          <w:sz w:val="20"/>
          <w:szCs w:val="20"/>
        </w:rPr>
        <w:t xml:space="preserve">(16%) </w:t>
      </w:r>
      <w:r w:rsidRPr="00B1785B">
        <w:rPr>
          <w:rFonts w:ascii="Arial" w:hAnsi="Arial" w:cs="Arial"/>
          <w:sz w:val="20"/>
          <w:szCs w:val="20"/>
        </w:rPr>
        <w:t>has been included in the PAAR. The size of the funding gap varies considerably from one module to an</w:t>
      </w:r>
      <w:r w:rsidR="0071703B" w:rsidRPr="00B1785B">
        <w:rPr>
          <w:rFonts w:ascii="Arial" w:hAnsi="Arial" w:cs="Arial"/>
          <w:sz w:val="20"/>
          <w:szCs w:val="20"/>
        </w:rPr>
        <w:t>other</w:t>
      </w:r>
      <w:r w:rsidR="00E67A2A" w:rsidRPr="00B1785B">
        <w:rPr>
          <w:rFonts w:ascii="Arial" w:hAnsi="Arial" w:cs="Arial"/>
          <w:sz w:val="20"/>
          <w:szCs w:val="20"/>
        </w:rPr>
        <w:t xml:space="preserve"> (Table 4.2)</w:t>
      </w:r>
      <w:r w:rsidR="0071703B" w:rsidRPr="00B1785B">
        <w:rPr>
          <w:rFonts w:ascii="Arial" w:hAnsi="Arial" w:cs="Arial"/>
          <w:sz w:val="20"/>
          <w:szCs w:val="20"/>
        </w:rPr>
        <w:t xml:space="preserve">. </w:t>
      </w:r>
      <w:r w:rsidR="00604710" w:rsidRPr="00B1785B">
        <w:rPr>
          <w:rFonts w:ascii="Arial" w:hAnsi="Arial" w:cs="Arial"/>
          <w:sz w:val="20"/>
          <w:szCs w:val="20"/>
        </w:rPr>
        <w:t xml:space="preserve">For case management (US$ </w:t>
      </w:r>
      <w:r w:rsidR="006E6670" w:rsidRPr="00B1785B">
        <w:rPr>
          <w:rFonts w:ascii="Arial" w:hAnsi="Arial" w:cs="Arial"/>
          <w:sz w:val="20"/>
          <w:szCs w:val="20"/>
        </w:rPr>
        <w:t>5.</w:t>
      </w:r>
      <w:r w:rsidR="00FD188C">
        <w:rPr>
          <w:rFonts w:ascii="Arial" w:hAnsi="Arial" w:cs="Arial"/>
          <w:sz w:val="20"/>
          <w:szCs w:val="20"/>
        </w:rPr>
        <w:t>31</w:t>
      </w:r>
      <w:r w:rsidR="006D65AD" w:rsidRPr="00B1785B">
        <w:rPr>
          <w:rFonts w:ascii="Arial" w:hAnsi="Arial" w:cs="Arial"/>
          <w:sz w:val="20"/>
          <w:szCs w:val="20"/>
        </w:rPr>
        <w:t>M</w:t>
      </w:r>
      <w:r w:rsidR="00604710" w:rsidRPr="00B1785B">
        <w:rPr>
          <w:rFonts w:ascii="Arial" w:hAnsi="Arial" w:cs="Arial"/>
          <w:sz w:val="20"/>
          <w:szCs w:val="20"/>
        </w:rPr>
        <w:t xml:space="preserve">) the gap is </w:t>
      </w:r>
      <w:r w:rsidR="006E6670" w:rsidRPr="00B1785B">
        <w:rPr>
          <w:rFonts w:ascii="Arial" w:hAnsi="Arial" w:cs="Arial"/>
          <w:sz w:val="20"/>
          <w:szCs w:val="20"/>
        </w:rPr>
        <w:t>2</w:t>
      </w:r>
      <w:r w:rsidR="00FD188C">
        <w:rPr>
          <w:rFonts w:ascii="Arial" w:hAnsi="Arial" w:cs="Arial"/>
          <w:sz w:val="20"/>
          <w:szCs w:val="20"/>
        </w:rPr>
        <w:t>8</w:t>
      </w:r>
      <w:r w:rsidR="00604710" w:rsidRPr="00B1785B">
        <w:rPr>
          <w:rFonts w:ascii="Arial" w:hAnsi="Arial" w:cs="Arial"/>
          <w:sz w:val="20"/>
          <w:szCs w:val="20"/>
        </w:rPr>
        <w:t>%, but this would be much lower if government support for infrastructure and salaries for service providers were factored in. For v</w:t>
      </w:r>
      <w:r w:rsidR="0071703B" w:rsidRPr="00B1785B">
        <w:rPr>
          <w:rFonts w:ascii="Arial" w:hAnsi="Arial" w:cs="Arial"/>
          <w:sz w:val="20"/>
          <w:szCs w:val="20"/>
        </w:rPr>
        <w:t>ector control (US$</w:t>
      </w:r>
      <w:r w:rsidR="006D65AD" w:rsidRPr="00B1785B">
        <w:rPr>
          <w:rFonts w:ascii="Arial" w:hAnsi="Arial" w:cs="Arial"/>
          <w:sz w:val="20"/>
          <w:szCs w:val="20"/>
        </w:rPr>
        <w:t>6.</w:t>
      </w:r>
      <w:r w:rsidR="00FD188C">
        <w:rPr>
          <w:rFonts w:ascii="Arial" w:hAnsi="Arial" w:cs="Arial"/>
          <w:sz w:val="20"/>
          <w:szCs w:val="20"/>
        </w:rPr>
        <w:t>01</w:t>
      </w:r>
      <w:r w:rsidR="006D65AD" w:rsidRPr="00B1785B">
        <w:rPr>
          <w:rFonts w:ascii="Arial" w:hAnsi="Arial" w:cs="Arial"/>
          <w:sz w:val="20"/>
          <w:szCs w:val="20"/>
        </w:rPr>
        <w:t>M</w:t>
      </w:r>
      <w:r w:rsidRPr="00B1785B">
        <w:rPr>
          <w:rFonts w:ascii="Arial" w:hAnsi="Arial" w:cs="Arial"/>
          <w:sz w:val="20"/>
          <w:szCs w:val="20"/>
        </w:rPr>
        <w:t xml:space="preserve">) </w:t>
      </w:r>
      <w:r w:rsidR="006B43FA" w:rsidRPr="00B1785B">
        <w:rPr>
          <w:rFonts w:ascii="Arial" w:hAnsi="Arial" w:cs="Arial"/>
          <w:sz w:val="20"/>
          <w:szCs w:val="20"/>
        </w:rPr>
        <w:t xml:space="preserve">the gap </w:t>
      </w:r>
      <w:r w:rsidRPr="00B1785B">
        <w:rPr>
          <w:rFonts w:ascii="Arial" w:hAnsi="Arial" w:cs="Arial"/>
          <w:sz w:val="20"/>
          <w:szCs w:val="20"/>
        </w:rPr>
        <w:t xml:space="preserve">is </w:t>
      </w:r>
      <w:r w:rsidR="006D65AD" w:rsidRPr="00B1785B">
        <w:rPr>
          <w:rFonts w:ascii="Arial" w:hAnsi="Arial" w:cs="Arial"/>
          <w:sz w:val="20"/>
          <w:szCs w:val="20"/>
        </w:rPr>
        <w:t>2</w:t>
      </w:r>
      <w:r w:rsidRPr="00B1785B">
        <w:rPr>
          <w:rFonts w:ascii="Arial" w:hAnsi="Arial" w:cs="Arial"/>
          <w:sz w:val="20"/>
          <w:szCs w:val="20"/>
        </w:rPr>
        <w:t>%</w:t>
      </w:r>
      <w:r w:rsidR="00E67A2A" w:rsidRPr="00B1785B">
        <w:rPr>
          <w:rFonts w:ascii="Arial" w:hAnsi="Arial" w:cs="Arial"/>
          <w:sz w:val="20"/>
          <w:szCs w:val="20"/>
        </w:rPr>
        <w:t xml:space="preserve"> - a reflection of the fact that </w:t>
      </w:r>
      <w:r w:rsidR="006D65AD" w:rsidRPr="00B1785B">
        <w:rPr>
          <w:rFonts w:ascii="Arial" w:hAnsi="Arial" w:cs="Arial"/>
          <w:sz w:val="20"/>
          <w:szCs w:val="20"/>
        </w:rPr>
        <w:t>from now on GoN will cover the cost of procuring LLINs and insecticide</w:t>
      </w:r>
      <w:r w:rsidRPr="00B1785B">
        <w:rPr>
          <w:rFonts w:ascii="Arial" w:hAnsi="Arial" w:cs="Arial"/>
          <w:sz w:val="20"/>
          <w:szCs w:val="20"/>
        </w:rPr>
        <w:t xml:space="preserve">. For </w:t>
      </w:r>
      <w:r w:rsidR="00604710" w:rsidRPr="00B1785B">
        <w:rPr>
          <w:rFonts w:ascii="Arial" w:hAnsi="Arial" w:cs="Arial"/>
          <w:bCs/>
          <w:sz w:val="20"/>
          <w:szCs w:val="20"/>
        </w:rPr>
        <w:t>health information systems and M&amp;E</w:t>
      </w:r>
      <w:r w:rsidRPr="00B1785B">
        <w:rPr>
          <w:rFonts w:ascii="Arial" w:hAnsi="Arial" w:cs="Arial"/>
          <w:sz w:val="20"/>
          <w:szCs w:val="20"/>
        </w:rPr>
        <w:t xml:space="preserve"> (US$</w:t>
      </w:r>
      <w:r w:rsidR="00FD188C">
        <w:rPr>
          <w:rFonts w:ascii="Arial" w:hAnsi="Arial" w:cs="Arial"/>
          <w:sz w:val="20"/>
          <w:szCs w:val="20"/>
        </w:rPr>
        <w:t>1.09</w:t>
      </w:r>
      <w:r w:rsidR="006D65AD" w:rsidRPr="00B1785B">
        <w:rPr>
          <w:rFonts w:ascii="Arial" w:hAnsi="Arial" w:cs="Arial"/>
          <w:sz w:val="20"/>
          <w:szCs w:val="20"/>
        </w:rPr>
        <w:t>M</w:t>
      </w:r>
      <w:r w:rsidRPr="00B1785B">
        <w:rPr>
          <w:rFonts w:ascii="Arial" w:hAnsi="Arial" w:cs="Arial"/>
          <w:sz w:val="20"/>
          <w:szCs w:val="20"/>
        </w:rPr>
        <w:t xml:space="preserve">) </w:t>
      </w:r>
      <w:r w:rsidR="006D65AD" w:rsidRPr="00B1785B">
        <w:rPr>
          <w:rFonts w:ascii="Arial" w:hAnsi="Arial" w:cs="Arial"/>
          <w:sz w:val="20"/>
          <w:szCs w:val="20"/>
        </w:rPr>
        <w:t xml:space="preserve">there </w:t>
      </w:r>
      <w:r w:rsidRPr="00B1785B">
        <w:rPr>
          <w:rFonts w:ascii="Arial" w:hAnsi="Arial" w:cs="Arial"/>
          <w:sz w:val="20"/>
          <w:szCs w:val="20"/>
        </w:rPr>
        <w:t xml:space="preserve">is </w:t>
      </w:r>
      <w:r w:rsidR="006D65AD" w:rsidRPr="00B1785B">
        <w:rPr>
          <w:rFonts w:ascii="Arial" w:hAnsi="Arial" w:cs="Arial"/>
          <w:sz w:val="20"/>
          <w:szCs w:val="20"/>
        </w:rPr>
        <w:t xml:space="preserve">a </w:t>
      </w:r>
      <w:r w:rsidR="00912AC9" w:rsidRPr="00B1785B">
        <w:rPr>
          <w:rFonts w:ascii="Arial" w:hAnsi="Arial" w:cs="Arial"/>
          <w:sz w:val="20"/>
          <w:szCs w:val="20"/>
        </w:rPr>
        <w:t>3</w:t>
      </w:r>
      <w:r w:rsidR="00FD188C">
        <w:rPr>
          <w:rFonts w:ascii="Arial" w:hAnsi="Arial" w:cs="Arial"/>
          <w:sz w:val="20"/>
          <w:szCs w:val="20"/>
        </w:rPr>
        <w:t>7</w:t>
      </w:r>
      <w:r w:rsidRPr="00B1785B">
        <w:rPr>
          <w:rFonts w:ascii="Arial" w:hAnsi="Arial" w:cs="Arial"/>
          <w:sz w:val="20"/>
          <w:szCs w:val="20"/>
        </w:rPr>
        <w:t xml:space="preserve">% </w:t>
      </w:r>
      <w:r w:rsidR="006D65AD" w:rsidRPr="00B1785B">
        <w:rPr>
          <w:rFonts w:ascii="Arial" w:hAnsi="Arial" w:cs="Arial"/>
          <w:sz w:val="20"/>
          <w:szCs w:val="20"/>
        </w:rPr>
        <w:t xml:space="preserve">gap associated with lower priority activities such as </w:t>
      </w:r>
      <w:r w:rsidR="003D6BEE" w:rsidRPr="00B1785B">
        <w:rPr>
          <w:rFonts w:ascii="Arial" w:hAnsi="Arial" w:cs="Arial"/>
          <w:sz w:val="20"/>
          <w:szCs w:val="20"/>
        </w:rPr>
        <w:t>countrywide migrant mapping (which it is hoped BMGF will continue to support) and surveys that would be good to conduct but are not essential</w:t>
      </w:r>
      <w:r w:rsidRPr="00B1785B">
        <w:rPr>
          <w:rFonts w:ascii="Arial" w:hAnsi="Arial" w:cs="Arial"/>
          <w:sz w:val="20"/>
          <w:szCs w:val="20"/>
        </w:rPr>
        <w:t>. For programme management (US$</w:t>
      </w:r>
      <w:r w:rsidR="006D65AD" w:rsidRPr="00B1785B">
        <w:rPr>
          <w:rFonts w:ascii="Arial" w:hAnsi="Arial" w:cs="Arial"/>
          <w:sz w:val="20"/>
          <w:szCs w:val="20"/>
        </w:rPr>
        <w:t>3.</w:t>
      </w:r>
      <w:r w:rsidR="00912AC9" w:rsidRPr="00B1785B">
        <w:rPr>
          <w:rFonts w:ascii="Arial" w:hAnsi="Arial" w:cs="Arial"/>
          <w:sz w:val="20"/>
          <w:szCs w:val="20"/>
        </w:rPr>
        <w:t>0</w:t>
      </w:r>
      <w:r w:rsidR="00FD188C">
        <w:rPr>
          <w:rFonts w:ascii="Arial" w:hAnsi="Arial" w:cs="Arial"/>
          <w:sz w:val="20"/>
          <w:szCs w:val="20"/>
        </w:rPr>
        <w:t>9</w:t>
      </w:r>
      <w:r w:rsidR="006D65AD" w:rsidRPr="00B1785B">
        <w:rPr>
          <w:rFonts w:ascii="Arial" w:hAnsi="Arial" w:cs="Arial"/>
          <w:sz w:val="20"/>
          <w:szCs w:val="20"/>
        </w:rPr>
        <w:t>M</w:t>
      </w:r>
      <w:r w:rsidRPr="00B1785B">
        <w:rPr>
          <w:rFonts w:ascii="Arial" w:hAnsi="Arial" w:cs="Arial"/>
          <w:sz w:val="20"/>
          <w:szCs w:val="20"/>
        </w:rPr>
        <w:t xml:space="preserve">) the gap is </w:t>
      </w:r>
      <w:r w:rsidR="006D65AD" w:rsidRPr="00B1785B">
        <w:rPr>
          <w:rFonts w:ascii="Arial" w:hAnsi="Arial" w:cs="Arial"/>
          <w:sz w:val="20"/>
          <w:szCs w:val="20"/>
        </w:rPr>
        <w:t>1</w:t>
      </w:r>
      <w:r w:rsidR="00912AC9" w:rsidRPr="00B1785B">
        <w:rPr>
          <w:rFonts w:ascii="Arial" w:hAnsi="Arial" w:cs="Arial"/>
          <w:sz w:val="20"/>
          <w:szCs w:val="20"/>
        </w:rPr>
        <w:t>4</w:t>
      </w:r>
      <w:r w:rsidR="006D65AD" w:rsidRPr="00B1785B">
        <w:rPr>
          <w:rFonts w:ascii="Arial" w:hAnsi="Arial" w:cs="Arial"/>
          <w:sz w:val="20"/>
          <w:szCs w:val="20"/>
        </w:rPr>
        <w:t>%</w:t>
      </w:r>
      <w:r w:rsidR="003D6BEE" w:rsidRPr="00B1785B">
        <w:rPr>
          <w:rFonts w:ascii="Arial" w:hAnsi="Arial" w:cs="Arial"/>
          <w:sz w:val="20"/>
          <w:szCs w:val="20"/>
        </w:rPr>
        <w:t>, which includes some TA, which is considered an absolute priority (it is hoped that WHO will find funds for this), and some high priority training and capacity development</w:t>
      </w:r>
      <w:r w:rsidR="006D65AD" w:rsidRPr="00B1785B">
        <w:rPr>
          <w:rFonts w:ascii="Arial" w:hAnsi="Arial" w:cs="Arial"/>
          <w:sz w:val="20"/>
          <w:szCs w:val="20"/>
        </w:rPr>
        <w:t>.</w:t>
      </w:r>
    </w:p>
    <w:p w:rsidR="00F51BF5" w:rsidRPr="000F5A61" w:rsidRDefault="00F51BF5" w:rsidP="00F51BF5">
      <w:pPr>
        <w:spacing w:after="0"/>
        <w:rPr>
          <w:rFonts w:ascii="Arial" w:hAnsi="Arial" w:cs="Arial"/>
          <w:sz w:val="20"/>
          <w:szCs w:val="20"/>
        </w:rPr>
      </w:pPr>
    </w:p>
    <w:p w:rsidR="00F51BF5" w:rsidRPr="000F5A61" w:rsidRDefault="00F51BF5" w:rsidP="00F51BF5">
      <w:pPr>
        <w:widowControl w:val="0"/>
        <w:spacing w:after="120" w:line="240" w:lineRule="auto"/>
        <w:rPr>
          <w:rFonts w:ascii="Arial" w:eastAsia="Calibri" w:hAnsi="Arial" w:cs="Arial"/>
          <w:b/>
          <w:sz w:val="20"/>
          <w:szCs w:val="20"/>
          <w:lang w:val="en-US"/>
        </w:rPr>
      </w:pPr>
      <w:r w:rsidRPr="000F5A61">
        <w:rPr>
          <w:rFonts w:ascii="Arial" w:hAnsi="Arial" w:cs="Arial"/>
          <w:b/>
          <w:sz w:val="20"/>
          <w:szCs w:val="20"/>
        </w:rPr>
        <w:t xml:space="preserve">Table 4.2. </w:t>
      </w:r>
      <w:r w:rsidRPr="000F5A61">
        <w:rPr>
          <w:rFonts w:ascii="Arial" w:eastAsia="Calibri" w:hAnsi="Arial" w:cs="Arial"/>
          <w:b/>
          <w:sz w:val="20"/>
          <w:szCs w:val="20"/>
          <w:lang w:val="en-US"/>
        </w:rPr>
        <w:t>Costs, availability of funds and the funding gaps for major program areas.</w:t>
      </w:r>
    </w:p>
    <w:tbl>
      <w:tblPr>
        <w:tblW w:w="7800" w:type="dxa"/>
        <w:tblInd w:w="108" w:type="dxa"/>
        <w:tblLook w:val="04A0"/>
      </w:tblPr>
      <w:tblGrid>
        <w:gridCol w:w="1300"/>
        <w:gridCol w:w="1300"/>
        <w:gridCol w:w="1300"/>
        <w:gridCol w:w="1300"/>
        <w:gridCol w:w="1300"/>
        <w:gridCol w:w="1300"/>
      </w:tblGrid>
      <w:tr w:rsidR="006E6670" w:rsidRPr="000F5A61" w:rsidTr="006E6670">
        <w:trPr>
          <w:trHeight w:val="320"/>
        </w:trPr>
        <w:tc>
          <w:tcPr>
            <w:tcW w:w="1300" w:type="dxa"/>
            <w:vMerge w:val="restart"/>
            <w:tcBorders>
              <w:top w:val="nil"/>
              <w:left w:val="nil"/>
              <w:bottom w:val="single" w:sz="8" w:space="0" w:color="000000"/>
              <w:right w:val="single" w:sz="8" w:space="0" w:color="auto"/>
            </w:tcBorders>
            <w:shd w:val="clear" w:color="auto" w:fill="auto"/>
            <w:vAlign w:val="center"/>
            <w:hideMark/>
          </w:tcPr>
          <w:p w:rsidR="006E6670" w:rsidRPr="00B1785B" w:rsidRDefault="006E6670" w:rsidP="006E6670">
            <w:pPr>
              <w:spacing w:after="0" w:line="240" w:lineRule="auto"/>
              <w:jc w:val="center"/>
              <w:rPr>
                <w:rFonts w:ascii="Arial" w:eastAsia="Times New Roman" w:hAnsi="Arial" w:cs="Arial"/>
                <w:sz w:val="20"/>
                <w:szCs w:val="20"/>
              </w:rPr>
            </w:pPr>
            <w:r w:rsidRPr="00B1785B">
              <w:rPr>
                <w:rFonts w:ascii="Arial" w:eastAsia="Times New Roman" w:hAnsi="Arial" w:cs="Arial"/>
                <w:sz w:val="20"/>
                <w:szCs w:val="20"/>
              </w:rPr>
              <w:t> </w:t>
            </w:r>
          </w:p>
        </w:tc>
        <w:tc>
          <w:tcPr>
            <w:tcW w:w="13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E6670" w:rsidRPr="00B1785B" w:rsidRDefault="006E6670" w:rsidP="009944C9">
            <w:pPr>
              <w:spacing w:after="0" w:line="240" w:lineRule="auto"/>
              <w:jc w:val="center"/>
              <w:rPr>
                <w:rFonts w:ascii="Verdana" w:eastAsia="Times New Roman" w:hAnsi="Verdana" w:cs="Times New Roman"/>
                <w:b/>
                <w:bCs/>
                <w:sz w:val="16"/>
                <w:szCs w:val="16"/>
              </w:rPr>
            </w:pPr>
            <w:r w:rsidRPr="00AD4978">
              <w:rPr>
                <w:rFonts w:ascii="Verdana" w:eastAsia="Times New Roman" w:hAnsi="Verdana" w:cs="Times New Roman"/>
                <w:b/>
                <w:bCs/>
                <w:color w:val="0070C0"/>
                <w:sz w:val="14"/>
                <w:szCs w:val="16"/>
              </w:rPr>
              <w:t>NMSP Total</w:t>
            </w:r>
            <w:r w:rsidR="00AD4978" w:rsidRPr="00AD4978">
              <w:rPr>
                <w:rFonts w:ascii="Verdana" w:eastAsia="Times New Roman" w:hAnsi="Verdana" w:cs="Times New Roman"/>
                <w:b/>
                <w:bCs/>
                <w:color w:val="0070C0"/>
                <w:sz w:val="14"/>
                <w:szCs w:val="16"/>
              </w:rPr>
              <w:t xml:space="preserve"> for Grant Period</w:t>
            </w:r>
            <w:r w:rsidRPr="00FD188C">
              <w:rPr>
                <w:rFonts w:ascii="Verdana" w:eastAsia="Times New Roman" w:hAnsi="Verdana" w:cs="Times New Roman"/>
                <w:b/>
                <w:bCs/>
                <w:sz w:val="14"/>
                <w:szCs w:val="16"/>
              </w:rPr>
              <w:t>(2018-202</w:t>
            </w:r>
            <w:r w:rsidR="009944C9" w:rsidRPr="00FD188C">
              <w:rPr>
                <w:rFonts w:ascii="Verdana" w:eastAsia="Times New Roman" w:hAnsi="Verdana" w:cs="Times New Roman"/>
                <w:b/>
                <w:bCs/>
                <w:sz w:val="14"/>
                <w:szCs w:val="16"/>
              </w:rPr>
              <w:t>1</w:t>
            </w:r>
            <w:r w:rsidRPr="00FD188C">
              <w:rPr>
                <w:rFonts w:ascii="Verdana" w:eastAsia="Times New Roman" w:hAnsi="Verdana" w:cs="Times New Roman"/>
                <w:b/>
                <w:bCs/>
                <w:sz w:val="14"/>
                <w:szCs w:val="16"/>
              </w:rPr>
              <w:t>)</w:t>
            </w:r>
          </w:p>
        </w:tc>
        <w:tc>
          <w:tcPr>
            <w:tcW w:w="2600" w:type="dxa"/>
            <w:gridSpan w:val="2"/>
            <w:tcBorders>
              <w:top w:val="single" w:sz="8" w:space="0" w:color="auto"/>
              <w:left w:val="nil"/>
              <w:bottom w:val="single" w:sz="8" w:space="0" w:color="auto"/>
              <w:right w:val="single" w:sz="8" w:space="0" w:color="000000"/>
            </w:tcBorders>
            <w:shd w:val="clear" w:color="auto" w:fill="auto"/>
            <w:vAlign w:val="center"/>
            <w:hideMark/>
          </w:tcPr>
          <w:p w:rsidR="006E6670" w:rsidRPr="00B1785B" w:rsidRDefault="006E6670" w:rsidP="006E6670">
            <w:pPr>
              <w:spacing w:after="0" w:line="240" w:lineRule="auto"/>
              <w:rPr>
                <w:rFonts w:ascii="Verdana" w:eastAsia="Times New Roman" w:hAnsi="Verdana" w:cs="Times New Roman"/>
                <w:b/>
                <w:bCs/>
                <w:sz w:val="16"/>
                <w:szCs w:val="16"/>
              </w:rPr>
            </w:pPr>
            <w:r w:rsidRPr="00B1785B">
              <w:rPr>
                <w:rFonts w:ascii="Verdana" w:eastAsia="Times New Roman" w:hAnsi="Verdana" w:cs="Times New Roman"/>
                <w:b/>
                <w:bCs/>
                <w:sz w:val="16"/>
                <w:szCs w:val="16"/>
              </w:rPr>
              <w:t xml:space="preserve">Funded  </w:t>
            </w:r>
          </w:p>
        </w:tc>
        <w:tc>
          <w:tcPr>
            <w:tcW w:w="1300" w:type="dxa"/>
            <w:tcBorders>
              <w:top w:val="single" w:sz="8" w:space="0" w:color="auto"/>
              <w:left w:val="nil"/>
              <w:bottom w:val="single" w:sz="8" w:space="0" w:color="auto"/>
              <w:right w:val="single" w:sz="8" w:space="0" w:color="auto"/>
            </w:tcBorders>
            <w:shd w:val="clear" w:color="auto" w:fill="auto"/>
            <w:vAlign w:val="center"/>
            <w:hideMark/>
          </w:tcPr>
          <w:p w:rsidR="006E6670" w:rsidRPr="00B1785B" w:rsidRDefault="006E6670" w:rsidP="006E6670">
            <w:pPr>
              <w:spacing w:after="0" w:line="240" w:lineRule="auto"/>
              <w:rPr>
                <w:rFonts w:ascii="Verdana" w:eastAsia="Times New Roman" w:hAnsi="Verdana" w:cs="Times New Roman"/>
                <w:b/>
                <w:bCs/>
                <w:sz w:val="16"/>
                <w:szCs w:val="16"/>
              </w:rPr>
            </w:pPr>
            <w:r w:rsidRPr="00B1785B">
              <w:rPr>
                <w:rFonts w:ascii="Verdana" w:eastAsia="Times New Roman" w:hAnsi="Verdana" w:cs="Times New Roman"/>
                <w:b/>
                <w:bCs/>
                <w:sz w:val="16"/>
                <w:szCs w:val="16"/>
              </w:rPr>
              <w:t>Unfunded</w:t>
            </w:r>
          </w:p>
        </w:tc>
        <w:tc>
          <w:tcPr>
            <w:tcW w:w="1300" w:type="dxa"/>
            <w:tcBorders>
              <w:top w:val="single" w:sz="8" w:space="0" w:color="auto"/>
              <w:left w:val="nil"/>
              <w:bottom w:val="single" w:sz="8" w:space="0" w:color="auto"/>
              <w:right w:val="single" w:sz="8" w:space="0" w:color="auto"/>
            </w:tcBorders>
            <w:shd w:val="clear" w:color="auto" w:fill="auto"/>
            <w:vAlign w:val="center"/>
            <w:hideMark/>
          </w:tcPr>
          <w:p w:rsidR="006E6670" w:rsidRPr="00B1785B" w:rsidRDefault="006E6670" w:rsidP="006E6670">
            <w:pPr>
              <w:spacing w:after="0" w:line="240" w:lineRule="auto"/>
              <w:jc w:val="center"/>
              <w:rPr>
                <w:rFonts w:ascii="Verdana" w:eastAsia="Times New Roman" w:hAnsi="Verdana" w:cs="Times New Roman"/>
                <w:b/>
                <w:bCs/>
                <w:i/>
                <w:iCs/>
                <w:sz w:val="16"/>
                <w:szCs w:val="16"/>
              </w:rPr>
            </w:pPr>
            <w:r w:rsidRPr="00B1785B">
              <w:rPr>
                <w:rFonts w:ascii="Verdana" w:eastAsia="Times New Roman" w:hAnsi="Verdana" w:cs="Times New Roman"/>
                <w:b/>
                <w:bCs/>
                <w:i/>
                <w:iCs/>
                <w:sz w:val="16"/>
                <w:szCs w:val="16"/>
              </w:rPr>
              <w:t>% gap</w:t>
            </w:r>
          </w:p>
        </w:tc>
      </w:tr>
      <w:tr w:rsidR="006E6670" w:rsidRPr="000F5A61" w:rsidTr="006E6670">
        <w:trPr>
          <w:trHeight w:val="460"/>
        </w:trPr>
        <w:tc>
          <w:tcPr>
            <w:tcW w:w="1300" w:type="dxa"/>
            <w:vMerge/>
            <w:tcBorders>
              <w:top w:val="nil"/>
              <w:left w:val="nil"/>
              <w:bottom w:val="single" w:sz="8" w:space="0" w:color="000000"/>
              <w:right w:val="single" w:sz="8" w:space="0" w:color="auto"/>
            </w:tcBorders>
            <w:vAlign w:val="center"/>
            <w:hideMark/>
          </w:tcPr>
          <w:p w:rsidR="006E6670" w:rsidRPr="00B1785B" w:rsidRDefault="006E6670" w:rsidP="006E6670">
            <w:pPr>
              <w:spacing w:after="0" w:line="240" w:lineRule="auto"/>
              <w:rPr>
                <w:rFonts w:ascii="Arial" w:eastAsia="Times New Roman" w:hAnsi="Arial" w:cs="Arial"/>
                <w:sz w:val="20"/>
                <w:szCs w:val="20"/>
              </w:rPr>
            </w:pPr>
          </w:p>
        </w:tc>
        <w:tc>
          <w:tcPr>
            <w:tcW w:w="1300" w:type="dxa"/>
            <w:vMerge/>
            <w:tcBorders>
              <w:top w:val="single" w:sz="8" w:space="0" w:color="auto"/>
              <w:left w:val="single" w:sz="8" w:space="0" w:color="auto"/>
              <w:bottom w:val="single" w:sz="8" w:space="0" w:color="000000"/>
              <w:right w:val="single" w:sz="8" w:space="0" w:color="auto"/>
            </w:tcBorders>
            <w:vAlign w:val="center"/>
            <w:hideMark/>
          </w:tcPr>
          <w:p w:rsidR="006E6670" w:rsidRPr="00B1785B" w:rsidRDefault="006E6670" w:rsidP="006E6670">
            <w:pPr>
              <w:spacing w:after="0" w:line="240" w:lineRule="auto"/>
              <w:rPr>
                <w:rFonts w:ascii="Verdana" w:eastAsia="Times New Roman" w:hAnsi="Verdana" w:cs="Times New Roman"/>
                <w:b/>
                <w:bCs/>
                <w:sz w:val="16"/>
                <w:szCs w:val="16"/>
              </w:rPr>
            </w:pPr>
          </w:p>
        </w:tc>
        <w:tc>
          <w:tcPr>
            <w:tcW w:w="1300" w:type="dxa"/>
            <w:tcBorders>
              <w:top w:val="nil"/>
              <w:left w:val="nil"/>
              <w:bottom w:val="single" w:sz="8" w:space="0" w:color="auto"/>
              <w:right w:val="single" w:sz="8" w:space="0" w:color="auto"/>
            </w:tcBorders>
            <w:shd w:val="clear" w:color="auto" w:fill="auto"/>
            <w:vAlign w:val="center"/>
            <w:hideMark/>
          </w:tcPr>
          <w:p w:rsidR="006E6670" w:rsidRPr="003A3853" w:rsidRDefault="00035C1E" w:rsidP="006E6670">
            <w:pPr>
              <w:spacing w:after="0" w:line="240" w:lineRule="auto"/>
              <w:jc w:val="center"/>
              <w:rPr>
                <w:rFonts w:ascii="Arial" w:eastAsia="Times New Roman" w:hAnsi="Arial" w:cs="Arial"/>
                <w:sz w:val="16"/>
                <w:szCs w:val="16"/>
              </w:rPr>
            </w:pPr>
            <w:hyperlink w:anchor="RANGE!_ftn1" w:history="1">
              <w:r w:rsidR="006E6670" w:rsidRPr="003A3853">
                <w:rPr>
                  <w:rFonts w:ascii="Arial" w:eastAsia="Times New Roman" w:hAnsi="Arial" w:cs="Arial"/>
                  <w:sz w:val="16"/>
                  <w:szCs w:val="16"/>
                </w:rPr>
                <w:t>GoN[1]</w:t>
              </w:r>
            </w:hyperlink>
            <w:r w:rsidR="003A3853" w:rsidRPr="003A3853">
              <w:rPr>
                <w:rFonts w:ascii="Arial" w:eastAsia="Times New Roman" w:hAnsi="Arial" w:cs="Arial"/>
                <w:sz w:val="16"/>
                <w:szCs w:val="16"/>
              </w:rPr>
              <w:t xml:space="preserve"> and EDPs</w:t>
            </w:r>
          </w:p>
        </w:tc>
        <w:tc>
          <w:tcPr>
            <w:tcW w:w="1300" w:type="dxa"/>
            <w:tcBorders>
              <w:top w:val="nil"/>
              <w:left w:val="nil"/>
              <w:bottom w:val="single" w:sz="8" w:space="0" w:color="auto"/>
              <w:right w:val="single" w:sz="8" w:space="0" w:color="auto"/>
            </w:tcBorders>
            <w:shd w:val="clear" w:color="auto" w:fill="auto"/>
            <w:vAlign w:val="center"/>
            <w:hideMark/>
          </w:tcPr>
          <w:p w:rsidR="006E6670" w:rsidRPr="00B1785B" w:rsidRDefault="006E6670" w:rsidP="006E6670">
            <w:pPr>
              <w:spacing w:after="0" w:line="240" w:lineRule="auto"/>
              <w:jc w:val="center"/>
              <w:rPr>
                <w:rFonts w:ascii="Verdana" w:eastAsia="Times New Roman" w:hAnsi="Verdana" w:cs="Times New Roman"/>
                <w:sz w:val="16"/>
                <w:szCs w:val="16"/>
              </w:rPr>
            </w:pPr>
            <w:r w:rsidRPr="00B1785B">
              <w:rPr>
                <w:rFonts w:ascii="Verdana" w:eastAsia="Times New Roman" w:hAnsi="Verdana" w:cs="Times New Roman"/>
                <w:sz w:val="16"/>
                <w:szCs w:val="16"/>
              </w:rPr>
              <w:t>GF Within Allocation</w:t>
            </w:r>
          </w:p>
        </w:tc>
        <w:tc>
          <w:tcPr>
            <w:tcW w:w="1300" w:type="dxa"/>
            <w:tcBorders>
              <w:top w:val="nil"/>
              <w:left w:val="nil"/>
              <w:bottom w:val="single" w:sz="8" w:space="0" w:color="auto"/>
              <w:right w:val="nil"/>
            </w:tcBorders>
            <w:shd w:val="clear" w:color="auto" w:fill="auto"/>
            <w:vAlign w:val="center"/>
            <w:hideMark/>
          </w:tcPr>
          <w:p w:rsidR="006E6670" w:rsidRPr="00B1785B" w:rsidRDefault="006E6670" w:rsidP="006E6670">
            <w:pPr>
              <w:spacing w:after="0" w:line="240" w:lineRule="auto"/>
              <w:jc w:val="center"/>
              <w:rPr>
                <w:rFonts w:ascii="Verdana" w:eastAsia="Times New Roman" w:hAnsi="Verdana" w:cs="Times New Roman"/>
                <w:sz w:val="16"/>
                <w:szCs w:val="16"/>
              </w:rPr>
            </w:pPr>
            <w:r w:rsidRPr="00B1785B">
              <w:rPr>
                <w:rFonts w:ascii="Verdana" w:eastAsia="Times New Roman" w:hAnsi="Verdana" w:cs="Times New Roman"/>
                <w:sz w:val="16"/>
                <w:szCs w:val="16"/>
              </w:rPr>
              <w:t>GF Above Allocation</w:t>
            </w:r>
          </w:p>
        </w:tc>
        <w:tc>
          <w:tcPr>
            <w:tcW w:w="1300" w:type="dxa"/>
            <w:tcBorders>
              <w:top w:val="nil"/>
              <w:left w:val="single" w:sz="8" w:space="0" w:color="auto"/>
              <w:bottom w:val="single" w:sz="8" w:space="0" w:color="auto"/>
              <w:right w:val="single" w:sz="8" w:space="0" w:color="auto"/>
            </w:tcBorders>
            <w:shd w:val="clear" w:color="auto" w:fill="auto"/>
            <w:vAlign w:val="center"/>
            <w:hideMark/>
          </w:tcPr>
          <w:p w:rsidR="006E6670" w:rsidRPr="00B1785B" w:rsidRDefault="006E6670" w:rsidP="006E6670">
            <w:pPr>
              <w:spacing w:after="0" w:line="240" w:lineRule="auto"/>
              <w:rPr>
                <w:rFonts w:ascii="Calibri" w:eastAsia="Times New Roman" w:hAnsi="Calibri" w:cs="Times New Roman"/>
              </w:rPr>
            </w:pPr>
            <w:r w:rsidRPr="00B1785B">
              <w:rPr>
                <w:rFonts w:ascii="Calibri" w:eastAsia="Times New Roman" w:hAnsi="Calibri" w:cs="Times New Roman"/>
              </w:rPr>
              <w:t> </w:t>
            </w:r>
          </w:p>
        </w:tc>
      </w:tr>
      <w:tr w:rsidR="006E6670" w:rsidRPr="000F5A61" w:rsidTr="006E6670">
        <w:trPr>
          <w:trHeight w:val="420"/>
        </w:trPr>
        <w:tc>
          <w:tcPr>
            <w:tcW w:w="1300" w:type="dxa"/>
            <w:tcBorders>
              <w:top w:val="nil"/>
              <w:left w:val="single" w:sz="8" w:space="0" w:color="auto"/>
              <w:bottom w:val="single" w:sz="8" w:space="0" w:color="auto"/>
              <w:right w:val="single" w:sz="8" w:space="0" w:color="auto"/>
            </w:tcBorders>
            <w:shd w:val="clear" w:color="auto" w:fill="auto"/>
            <w:vAlign w:val="center"/>
            <w:hideMark/>
          </w:tcPr>
          <w:p w:rsidR="006E6670" w:rsidRPr="00B1785B" w:rsidRDefault="006E6670" w:rsidP="006E6670">
            <w:pPr>
              <w:spacing w:after="0" w:line="240" w:lineRule="auto"/>
              <w:rPr>
                <w:rFonts w:ascii="Arial" w:eastAsia="Times New Roman" w:hAnsi="Arial" w:cs="Arial"/>
                <w:b/>
                <w:bCs/>
                <w:sz w:val="16"/>
                <w:szCs w:val="16"/>
              </w:rPr>
            </w:pPr>
            <w:r w:rsidRPr="00B1785B">
              <w:rPr>
                <w:rFonts w:ascii="Arial" w:eastAsia="Times New Roman" w:hAnsi="Arial" w:cs="Arial"/>
                <w:b/>
                <w:bCs/>
                <w:sz w:val="16"/>
                <w:szCs w:val="16"/>
              </w:rPr>
              <w:t>Case management</w:t>
            </w:r>
          </w:p>
        </w:tc>
        <w:tc>
          <w:tcPr>
            <w:tcW w:w="1300" w:type="dxa"/>
            <w:tcBorders>
              <w:top w:val="nil"/>
              <w:left w:val="nil"/>
              <w:bottom w:val="single" w:sz="8" w:space="0" w:color="auto"/>
              <w:right w:val="single" w:sz="8" w:space="0" w:color="auto"/>
            </w:tcBorders>
            <w:shd w:val="clear" w:color="auto" w:fill="auto"/>
            <w:noWrap/>
            <w:vAlign w:val="center"/>
            <w:hideMark/>
          </w:tcPr>
          <w:p w:rsidR="006E6670" w:rsidRPr="00B1785B" w:rsidRDefault="006E6670" w:rsidP="00FD188C">
            <w:pPr>
              <w:spacing w:after="0" w:line="240" w:lineRule="auto"/>
              <w:jc w:val="right"/>
              <w:rPr>
                <w:rFonts w:ascii="Calibri" w:eastAsia="Times New Roman" w:hAnsi="Calibri" w:cs="Times New Roman"/>
                <w:sz w:val="20"/>
                <w:szCs w:val="20"/>
              </w:rPr>
            </w:pPr>
            <w:r w:rsidRPr="00B1785B">
              <w:rPr>
                <w:rFonts w:ascii="Calibri" w:eastAsia="Times New Roman" w:hAnsi="Calibri" w:cs="Times New Roman"/>
                <w:sz w:val="20"/>
                <w:szCs w:val="20"/>
              </w:rPr>
              <w:t>5,</w:t>
            </w:r>
            <w:r w:rsidR="00FD188C">
              <w:rPr>
                <w:rFonts w:ascii="Calibri" w:eastAsia="Times New Roman" w:hAnsi="Calibri" w:cs="Times New Roman"/>
                <w:sz w:val="20"/>
                <w:szCs w:val="20"/>
              </w:rPr>
              <w:t>309,703</w:t>
            </w:r>
          </w:p>
        </w:tc>
        <w:tc>
          <w:tcPr>
            <w:tcW w:w="1300" w:type="dxa"/>
            <w:tcBorders>
              <w:top w:val="nil"/>
              <w:left w:val="nil"/>
              <w:bottom w:val="single" w:sz="8" w:space="0" w:color="auto"/>
              <w:right w:val="single" w:sz="8" w:space="0" w:color="auto"/>
            </w:tcBorders>
            <w:shd w:val="clear" w:color="auto" w:fill="auto"/>
            <w:vAlign w:val="center"/>
            <w:hideMark/>
          </w:tcPr>
          <w:p w:rsidR="006E6670" w:rsidRPr="00B1785B" w:rsidRDefault="00B80ADD" w:rsidP="00FD188C">
            <w:pPr>
              <w:spacing w:after="0" w:line="240" w:lineRule="auto"/>
              <w:jc w:val="right"/>
              <w:rPr>
                <w:rFonts w:ascii="Calibri" w:eastAsia="Times New Roman" w:hAnsi="Calibri" w:cs="Times New Roman"/>
                <w:sz w:val="20"/>
                <w:szCs w:val="20"/>
              </w:rPr>
            </w:pPr>
            <w:r>
              <w:rPr>
                <w:rFonts w:ascii="Calibri" w:eastAsia="Times New Roman" w:hAnsi="Calibri" w:cs="Times New Roman"/>
                <w:sz w:val="20"/>
                <w:szCs w:val="20"/>
              </w:rPr>
              <w:t>2,</w:t>
            </w:r>
            <w:r w:rsidR="00FD188C">
              <w:rPr>
                <w:rFonts w:ascii="Calibri" w:eastAsia="Times New Roman" w:hAnsi="Calibri" w:cs="Times New Roman"/>
                <w:sz w:val="20"/>
                <w:szCs w:val="20"/>
              </w:rPr>
              <w:t>630,526</w:t>
            </w:r>
          </w:p>
        </w:tc>
        <w:tc>
          <w:tcPr>
            <w:tcW w:w="1300" w:type="dxa"/>
            <w:tcBorders>
              <w:top w:val="nil"/>
              <w:left w:val="nil"/>
              <w:bottom w:val="single" w:sz="8" w:space="0" w:color="auto"/>
              <w:right w:val="single" w:sz="8" w:space="0" w:color="auto"/>
            </w:tcBorders>
            <w:shd w:val="clear" w:color="auto" w:fill="auto"/>
            <w:vAlign w:val="center"/>
            <w:hideMark/>
          </w:tcPr>
          <w:p w:rsidR="006E6670" w:rsidRPr="00B1785B" w:rsidRDefault="006E6670" w:rsidP="00FD188C">
            <w:pPr>
              <w:spacing w:after="0" w:line="240" w:lineRule="auto"/>
              <w:jc w:val="right"/>
              <w:rPr>
                <w:rFonts w:ascii="Calibri" w:eastAsia="Times New Roman" w:hAnsi="Calibri" w:cs="Times New Roman"/>
                <w:sz w:val="20"/>
                <w:szCs w:val="20"/>
              </w:rPr>
            </w:pPr>
            <w:r w:rsidRPr="00B1785B">
              <w:rPr>
                <w:rFonts w:ascii="Calibri" w:eastAsia="Times New Roman" w:hAnsi="Calibri" w:cs="Times New Roman"/>
                <w:sz w:val="20"/>
                <w:szCs w:val="20"/>
              </w:rPr>
              <w:t>1,</w:t>
            </w:r>
            <w:r w:rsidR="00832CC5">
              <w:rPr>
                <w:rFonts w:ascii="Calibri" w:eastAsia="Times New Roman" w:hAnsi="Calibri" w:cs="Times New Roman"/>
                <w:sz w:val="20"/>
                <w:szCs w:val="20"/>
              </w:rPr>
              <w:t>205,11</w:t>
            </w:r>
            <w:r w:rsidR="00FD188C">
              <w:rPr>
                <w:rFonts w:ascii="Calibri" w:eastAsia="Times New Roman" w:hAnsi="Calibri" w:cs="Times New Roman"/>
                <w:sz w:val="20"/>
                <w:szCs w:val="20"/>
              </w:rPr>
              <w:t>3</w:t>
            </w:r>
          </w:p>
        </w:tc>
        <w:tc>
          <w:tcPr>
            <w:tcW w:w="1300" w:type="dxa"/>
            <w:tcBorders>
              <w:top w:val="nil"/>
              <w:left w:val="nil"/>
              <w:bottom w:val="single" w:sz="8" w:space="0" w:color="auto"/>
              <w:right w:val="single" w:sz="8" w:space="0" w:color="auto"/>
            </w:tcBorders>
            <w:shd w:val="clear" w:color="auto" w:fill="auto"/>
            <w:noWrap/>
            <w:vAlign w:val="center"/>
            <w:hideMark/>
          </w:tcPr>
          <w:p w:rsidR="006E6670" w:rsidRPr="00B1785B" w:rsidRDefault="006E6670" w:rsidP="006E6670">
            <w:pPr>
              <w:spacing w:after="0" w:line="240" w:lineRule="auto"/>
              <w:jc w:val="right"/>
              <w:rPr>
                <w:rFonts w:ascii="Calibri" w:eastAsia="Times New Roman" w:hAnsi="Calibri" w:cs="Times New Roman"/>
                <w:sz w:val="20"/>
                <w:szCs w:val="20"/>
              </w:rPr>
            </w:pPr>
            <w:r w:rsidRPr="00B1785B">
              <w:rPr>
                <w:rFonts w:ascii="Calibri" w:eastAsia="Times New Roman" w:hAnsi="Calibri" w:cs="Times New Roman"/>
                <w:sz w:val="20"/>
                <w:szCs w:val="20"/>
              </w:rPr>
              <w:t>1,474,064</w:t>
            </w:r>
          </w:p>
        </w:tc>
        <w:tc>
          <w:tcPr>
            <w:tcW w:w="1300" w:type="dxa"/>
            <w:tcBorders>
              <w:top w:val="nil"/>
              <w:left w:val="nil"/>
              <w:bottom w:val="single" w:sz="8" w:space="0" w:color="auto"/>
              <w:right w:val="single" w:sz="8" w:space="0" w:color="auto"/>
            </w:tcBorders>
            <w:shd w:val="clear" w:color="000000" w:fill="FFFFFF"/>
            <w:noWrap/>
            <w:vAlign w:val="center"/>
            <w:hideMark/>
          </w:tcPr>
          <w:p w:rsidR="006E6670" w:rsidRPr="00B1785B" w:rsidRDefault="006E6670" w:rsidP="00FD188C">
            <w:pPr>
              <w:spacing w:after="0" w:line="240" w:lineRule="auto"/>
              <w:jc w:val="right"/>
              <w:rPr>
                <w:rFonts w:ascii="Calibri" w:eastAsia="Times New Roman" w:hAnsi="Calibri" w:cs="Times New Roman"/>
                <w:sz w:val="20"/>
                <w:szCs w:val="20"/>
              </w:rPr>
            </w:pPr>
            <w:r w:rsidRPr="00B1785B">
              <w:rPr>
                <w:rFonts w:ascii="Calibri" w:eastAsia="Times New Roman" w:hAnsi="Calibri" w:cs="Times New Roman"/>
                <w:sz w:val="20"/>
                <w:szCs w:val="20"/>
              </w:rPr>
              <w:t>2</w:t>
            </w:r>
            <w:r w:rsidR="00FD188C">
              <w:rPr>
                <w:rFonts w:ascii="Calibri" w:eastAsia="Times New Roman" w:hAnsi="Calibri" w:cs="Times New Roman"/>
                <w:sz w:val="20"/>
                <w:szCs w:val="20"/>
              </w:rPr>
              <w:t>8</w:t>
            </w:r>
            <w:r w:rsidRPr="00B1785B">
              <w:rPr>
                <w:rFonts w:ascii="Calibri" w:eastAsia="Times New Roman" w:hAnsi="Calibri" w:cs="Times New Roman"/>
                <w:sz w:val="20"/>
                <w:szCs w:val="20"/>
              </w:rPr>
              <w:t>%</w:t>
            </w:r>
          </w:p>
        </w:tc>
      </w:tr>
      <w:tr w:rsidR="006E6670" w:rsidRPr="000F5A61" w:rsidTr="006E6670">
        <w:trPr>
          <w:trHeight w:val="320"/>
        </w:trPr>
        <w:tc>
          <w:tcPr>
            <w:tcW w:w="1300" w:type="dxa"/>
            <w:tcBorders>
              <w:top w:val="nil"/>
              <w:left w:val="single" w:sz="8" w:space="0" w:color="auto"/>
              <w:bottom w:val="single" w:sz="8" w:space="0" w:color="auto"/>
              <w:right w:val="single" w:sz="8" w:space="0" w:color="auto"/>
            </w:tcBorders>
            <w:shd w:val="clear" w:color="000000" w:fill="FFFFFF"/>
            <w:vAlign w:val="center"/>
            <w:hideMark/>
          </w:tcPr>
          <w:p w:rsidR="006E6670" w:rsidRPr="00B1785B" w:rsidRDefault="006E6670" w:rsidP="006E6670">
            <w:pPr>
              <w:spacing w:after="0" w:line="240" w:lineRule="auto"/>
              <w:rPr>
                <w:rFonts w:ascii="Arial" w:eastAsia="Times New Roman" w:hAnsi="Arial" w:cs="Arial"/>
                <w:b/>
                <w:bCs/>
                <w:sz w:val="16"/>
                <w:szCs w:val="16"/>
              </w:rPr>
            </w:pPr>
            <w:r w:rsidRPr="00B1785B">
              <w:rPr>
                <w:rFonts w:ascii="Arial" w:eastAsia="Times New Roman" w:hAnsi="Arial" w:cs="Arial"/>
                <w:b/>
                <w:bCs/>
                <w:sz w:val="16"/>
                <w:szCs w:val="16"/>
              </w:rPr>
              <w:t>Vector control</w:t>
            </w:r>
          </w:p>
        </w:tc>
        <w:tc>
          <w:tcPr>
            <w:tcW w:w="1300" w:type="dxa"/>
            <w:tcBorders>
              <w:top w:val="nil"/>
              <w:left w:val="nil"/>
              <w:bottom w:val="single" w:sz="8" w:space="0" w:color="auto"/>
              <w:right w:val="single" w:sz="8" w:space="0" w:color="auto"/>
            </w:tcBorders>
            <w:shd w:val="clear" w:color="000000" w:fill="FFFFFF"/>
            <w:noWrap/>
            <w:vAlign w:val="center"/>
            <w:hideMark/>
          </w:tcPr>
          <w:p w:rsidR="006E6670" w:rsidRPr="00B1785B" w:rsidRDefault="006E6670" w:rsidP="00FD188C">
            <w:pPr>
              <w:spacing w:after="0" w:line="240" w:lineRule="auto"/>
              <w:jc w:val="right"/>
              <w:rPr>
                <w:rFonts w:ascii="Calibri" w:eastAsia="Times New Roman" w:hAnsi="Calibri" w:cs="Times New Roman"/>
                <w:sz w:val="20"/>
                <w:szCs w:val="20"/>
              </w:rPr>
            </w:pPr>
            <w:r w:rsidRPr="00B1785B">
              <w:rPr>
                <w:rFonts w:ascii="Calibri" w:eastAsia="Times New Roman" w:hAnsi="Calibri" w:cs="Times New Roman"/>
                <w:sz w:val="20"/>
                <w:szCs w:val="20"/>
              </w:rPr>
              <w:t>6,</w:t>
            </w:r>
            <w:r w:rsidR="00FD188C">
              <w:rPr>
                <w:rFonts w:ascii="Calibri" w:eastAsia="Times New Roman" w:hAnsi="Calibri" w:cs="Times New Roman"/>
                <w:sz w:val="20"/>
                <w:szCs w:val="20"/>
              </w:rPr>
              <w:t>005,582</w:t>
            </w:r>
          </w:p>
        </w:tc>
        <w:tc>
          <w:tcPr>
            <w:tcW w:w="1300" w:type="dxa"/>
            <w:tcBorders>
              <w:top w:val="nil"/>
              <w:left w:val="nil"/>
              <w:bottom w:val="single" w:sz="8" w:space="0" w:color="auto"/>
              <w:right w:val="single" w:sz="8" w:space="0" w:color="auto"/>
            </w:tcBorders>
            <w:shd w:val="clear" w:color="auto" w:fill="auto"/>
            <w:vAlign w:val="center"/>
            <w:hideMark/>
          </w:tcPr>
          <w:p w:rsidR="006E6670" w:rsidRPr="00B1785B" w:rsidRDefault="00FD188C" w:rsidP="00FD188C">
            <w:pPr>
              <w:spacing w:after="0" w:line="240" w:lineRule="auto"/>
              <w:jc w:val="right"/>
              <w:rPr>
                <w:rFonts w:ascii="Calibri" w:eastAsia="Times New Roman" w:hAnsi="Calibri" w:cs="Times New Roman"/>
                <w:sz w:val="20"/>
                <w:szCs w:val="20"/>
              </w:rPr>
            </w:pPr>
            <w:r>
              <w:rPr>
                <w:rFonts w:ascii="Calibri" w:eastAsia="Times New Roman" w:hAnsi="Calibri" w:cs="Times New Roman"/>
                <w:sz w:val="20"/>
                <w:szCs w:val="20"/>
              </w:rPr>
              <w:t>5,542,058</w:t>
            </w:r>
          </w:p>
        </w:tc>
        <w:tc>
          <w:tcPr>
            <w:tcW w:w="1300" w:type="dxa"/>
            <w:tcBorders>
              <w:top w:val="nil"/>
              <w:left w:val="nil"/>
              <w:bottom w:val="single" w:sz="8" w:space="0" w:color="auto"/>
              <w:right w:val="single" w:sz="8" w:space="0" w:color="auto"/>
            </w:tcBorders>
            <w:shd w:val="clear" w:color="000000" w:fill="FFFFFF"/>
            <w:vAlign w:val="center"/>
            <w:hideMark/>
          </w:tcPr>
          <w:p w:rsidR="006E6670" w:rsidRPr="00B1785B" w:rsidRDefault="00832CC5" w:rsidP="006E6670">
            <w:pPr>
              <w:spacing w:after="0" w:line="240" w:lineRule="auto"/>
              <w:jc w:val="right"/>
              <w:rPr>
                <w:rFonts w:ascii="Calibri" w:eastAsia="Times New Roman" w:hAnsi="Calibri" w:cs="Times New Roman"/>
                <w:sz w:val="20"/>
                <w:szCs w:val="20"/>
              </w:rPr>
            </w:pPr>
            <w:r>
              <w:rPr>
                <w:rFonts w:ascii="Calibri" w:eastAsia="Times New Roman" w:hAnsi="Calibri" w:cs="Times New Roman"/>
                <w:sz w:val="20"/>
                <w:szCs w:val="20"/>
              </w:rPr>
              <w:t>340,518</w:t>
            </w:r>
          </w:p>
        </w:tc>
        <w:tc>
          <w:tcPr>
            <w:tcW w:w="1300" w:type="dxa"/>
            <w:tcBorders>
              <w:top w:val="nil"/>
              <w:left w:val="nil"/>
              <w:bottom w:val="single" w:sz="8" w:space="0" w:color="auto"/>
              <w:right w:val="single" w:sz="8" w:space="0" w:color="auto"/>
            </w:tcBorders>
            <w:shd w:val="clear" w:color="000000" w:fill="FFFFFF"/>
            <w:noWrap/>
            <w:vAlign w:val="center"/>
            <w:hideMark/>
          </w:tcPr>
          <w:p w:rsidR="006E6670" w:rsidRPr="00B1785B" w:rsidRDefault="006E6670" w:rsidP="006E6670">
            <w:pPr>
              <w:spacing w:after="0" w:line="240" w:lineRule="auto"/>
              <w:jc w:val="right"/>
              <w:rPr>
                <w:rFonts w:ascii="Calibri" w:eastAsia="Times New Roman" w:hAnsi="Calibri" w:cs="Times New Roman"/>
                <w:sz w:val="20"/>
                <w:szCs w:val="20"/>
              </w:rPr>
            </w:pPr>
            <w:r w:rsidRPr="00B1785B">
              <w:rPr>
                <w:rFonts w:ascii="Calibri" w:eastAsia="Times New Roman" w:hAnsi="Calibri" w:cs="Times New Roman"/>
                <w:sz w:val="20"/>
                <w:szCs w:val="20"/>
              </w:rPr>
              <w:t>123,006</w:t>
            </w:r>
          </w:p>
        </w:tc>
        <w:tc>
          <w:tcPr>
            <w:tcW w:w="1300" w:type="dxa"/>
            <w:tcBorders>
              <w:top w:val="nil"/>
              <w:left w:val="nil"/>
              <w:bottom w:val="single" w:sz="8" w:space="0" w:color="auto"/>
              <w:right w:val="single" w:sz="8" w:space="0" w:color="auto"/>
            </w:tcBorders>
            <w:shd w:val="clear" w:color="000000" w:fill="FFFFFF"/>
            <w:noWrap/>
            <w:vAlign w:val="center"/>
            <w:hideMark/>
          </w:tcPr>
          <w:p w:rsidR="006E6670" w:rsidRPr="00B1785B" w:rsidRDefault="006E6670" w:rsidP="006E6670">
            <w:pPr>
              <w:spacing w:after="0" w:line="240" w:lineRule="auto"/>
              <w:jc w:val="right"/>
              <w:rPr>
                <w:rFonts w:ascii="Calibri" w:eastAsia="Times New Roman" w:hAnsi="Calibri" w:cs="Times New Roman"/>
                <w:sz w:val="20"/>
                <w:szCs w:val="20"/>
              </w:rPr>
            </w:pPr>
            <w:r w:rsidRPr="00B1785B">
              <w:rPr>
                <w:rFonts w:ascii="Calibri" w:eastAsia="Times New Roman" w:hAnsi="Calibri" w:cs="Times New Roman"/>
                <w:sz w:val="20"/>
                <w:szCs w:val="20"/>
              </w:rPr>
              <w:t>2%</w:t>
            </w:r>
          </w:p>
        </w:tc>
      </w:tr>
      <w:tr w:rsidR="006E6670" w:rsidRPr="000F5A61" w:rsidTr="006E6670">
        <w:trPr>
          <w:trHeight w:val="320"/>
        </w:trPr>
        <w:tc>
          <w:tcPr>
            <w:tcW w:w="1300" w:type="dxa"/>
            <w:tcBorders>
              <w:top w:val="nil"/>
              <w:left w:val="single" w:sz="8" w:space="0" w:color="auto"/>
              <w:bottom w:val="single" w:sz="8" w:space="0" w:color="auto"/>
              <w:right w:val="single" w:sz="8" w:space="0" w:color="auto"/>
            </w:tcBorders>
            <w:shd w:val="clear" w:color="000000" w:fill="FFFFFF"/>
            <w:vAlign w:val="center"/>
            <w:hideMark/>
          </w:tcPr>
          <w:p w:rsidR="006E6670" w:rsidRPr="00B1785B" w:rsidRDefault="006E6670" w:rsidP="006E6670">
            <w:pPr>
              <w:spacing w:after="0" w:line="240" w:lineRule="auto"/>
              <w:rPr>
                <w:rFonts w:ascii="Arial" w:eastAsia="Times New Roman" w:hAnsi="Arial" w:cs="Arial"/>
                <w:b/>
                <w:bCs/>
                <w:sz w:val="16"/>
                <w:szCs w:val="16"/>
              </w:rPr>
            </w:pPr>
            <w:r w:rsidRPr="00B1785B">
              <w:rPr>
                <w:rFonts w:ascii="Arial" w:eastAsia="Times New Roman" w:hAnsi="Arial" w:cs="Arial"/>
                <w:b/>
                <w:bCs/>
                <w:sz w:val="16"/>
                <w:szCs w:val="16"/>
              </w:rPr>
              <w:t>HIS and   M&amp;E</w:t>
            </w:r>
          </w:p>
        </w:tc>
        <w:tc>
          <w:tcPr>
            <w:tcW w:w="1300" w:type="dxa"/>
            <w:tcBorders>
              <w:top w:val="nil"/>
              <w:left w:val="nil"/>
              <w:bottom w:val="single" w:sz="8" w:space="0" w:color="auto"/>
              <w:right w:val="single" w:sz="8" w:space="0" w:color="auto"/>
            </w:tcBorders>
            <w:shd w:val="clear" w:color="000000" w:fill="FFFFFF"/>
            <w:noWrap/>
            <w:vAlign w:val="center"/>
            <w:hideMark/>
          </w:tcPr>
          <w:p w:rsidR="006E6670" w:rsidRPr="00B1785B" w:rsidRDefault="006E6670" w:rsidP="00FD188C">
            <w:pPr>
              <w:spacing w:after="0" w:line="240" w:lineRule="auto"/>
              <w:jc w:val="right"/>
              <w:rPr>
                <w:rFonts w:ascii="Calibri" w:eastAsia="Times New Roman" w:hAnsi="Calibri" w:cs="Times New Roman"/>
                <w:sz w:val="20"/>
                <w:szCs w:val="20"/>
              </w:rPr>
            </w:pPr>
            <w:r w:rsidRPr="00B1785B">
              <w:rPr>
                <w:rFonts w:ascii="Calibri" w:eastAsia="Times New Roman" w:hAnsi="Calibri" w:cs="Times New Roman"/>
                <w:sz w:val="20"/>
                <w:szCs w:val="20"/>
              </w:rPr>
              <w:t>1,</w:t>
            </w:r>
            <w:r w:rsidR="00FD188C">
              <w:rPr>
                <w:rFonts w:ascii="Calibri" w:eastAsia="Times New Roman" w:hAnsi="Calibri" w:cs="Times New Roman"/>
                <w:sz w:val="20"/>
                <w:szCs w:val="20"/>
              </w:rPr>
              <w:t>086</w:t>
            </w:r>
            <w:r w:rsidRPr="00B1785B">
              <w:rPr>
                <w:rFonts w:ascii="Calibri" w:eastAsia="Times New Roman" w:hAnsi="Calibri" w:cs="Times New Roman"/>
                <w:sz w:val="20"/>
                <w:szCs w:val="20"/>
              </w:rPr>
              <w:t>,</w:t>
            </w:r>
            <w:r w:rsidR="00FD188C">
              <w:rPr>
                <w:rFonts w:ascii="Calibri" w:eastAsia="Times New Roman" w:hAnsi="Calibri" w:cs="Times New Roman"/>
                <w:sz w:val="20"/>
                <w:szCs w:val="20"/>
              </w:rPr>
              <w:t>891</w:t>
            </w:r>
          </w:p>
        </w:tc>
        <w:tc>
          <w:tcPr>
            <w:tcW w:w="1300" w:type="dxa"/>
            <w:tcBorders>
              <w:top w:val="nil"/>
              <w:left w:val="nil"/>
              <w:bottom w:val="single" w:sz="8" w:space="0" w:color="auto"/>
              <w:right w:val="single" w:sz="8" w:space="0" w:color="auto"/>
            </w:tcBorders>
            <w:shd w:val="clear" w:color="auto" w:fill="auto"/>
            <w:vAlign w:val="center"/>
            <w:hideMark/>
          </w:tcPr>
          <w:p w:rsidR="006E6670" w:rsidRPr="00B1785B" w:rsidRDefault="00B80ADD" w:rsidP="00FD188C">
            <w:pPr>
              <w:spacing w:after="0" w:line="240" w:lineRule="auto"/>
              <w:jc w:val="right"/>
              <w:rPr>
                <w:rFonts w:ascii="Calibri" w:eastAsia="Times New Roman" w:hAnsi="Calibri" w:cs="Times New Roman"/>
                <w:sz w:val="20"/>
                <w:szCs w:val="20"/>
              </w:rPr>
            </w:pPr>
            <w:r>
              <w:rPr>
                <w:rFonts w:ascii="Calibri" w:eastAsia="Times New Roman" w:hAnsi="Calibri" w:cs="Times New Roman"/>
                <w:sz w:val="20"/>
                <w:szCs w:val="20"/>
              </w:rPr>
              <w:t>4</w:t>
            </w:r>
            <w:r w:rsidR="00FD188C">
              <w:rPr>
                <w:rFonts w:ascii="Calibri" w:eastAsia="Times New Roman" w:hAnsi="Calibri" w:cs="Times New Roman"/>
                <w:sz w:val="20"/>
                <w:szCs w:val="20"/>
              </w:rPr>
              <w:t>36,004</w:t>
            </w:r>
          </w:p>
        </w:tc>
        <w:tc>
          <w:tcPr>
            <w:tcW w:w="1300" w:type="dxa"/>
            <w:tcBorders>
              <w:top w:val="nil"/>
              <w:left w:val="nil"/>
              <w:bottom w:val="single" w:sz="8" w:space="0" w:color="auto"/>
              <w:right w:val="single" w:sz="8" w:space="0" w:color="auto"/>
            </w:tcBorders>
            <w:shd w:val="clear" w:color="000000" w:fill="FFFFFF"/>
            <w:vAlign w:val="center"/>
            <w:hideMark/>
          </w:tcPr>
          <w:p w:rsidR="006E6670" w:rsidRPr="00B1785B" w:rsidRDefault="00832CC5" w:rsidP="006E6670">
            <w:pPr>
              <w:spacing w:after="0" w:line="240" w:lineRule="auto"/>
              <w:jc w:val="right"/>
              <w:rPr>
                <w:rFonts w:ascii="Calibri" w:eastAsia="Times New Roman" w:hAnsi="Calibri" w:cs="Times New Roman"/>
                <w:sz w:val="20"/>
                <w:szCs w:val="20"/>
              </w:rPr>
            </w:pPr>
            <w:r>
              <w:rPr>
                <w:rFonts w:ascii="Calibri" w:eastAsia="Times New Roman" w:hAnsi="Calibri" w:cs="Times New Roman"/>
                <w:sz w:val="20"/>
                <w:szCs w:val="20"/>
              </w:rPr>
              <w:t>248,750</w:t>
            </w:r>
          </w:p>
        </w:tc>
        <w:tc>
          <w:tcPr>
            <w:tcW w:w="1300" w:type="dxa"/>
            <w:tcBorders>
              <w:top w:val="nil"/>
              <w:left w:val="nil"/>
              <w:bottom w:val="single" w:sz="8" w:space="0" w:color="auto"/>
              <w:right w:val="single" w:sz="8" w:space="0" w:color="auto"/>
            </w:tcBorders>
            <w:shd w:val="clear" w:color="000000" w:fill="FFFFFF"/>
            <w:noWrap/>
            <w:vAlign w:val="center"/>
            <w:hideMark/>
          </w:tcPr>
          <w:p w:rsidR="006E6670" w:rsidRPr="00B1785B" w:rsidRDefault="006E6670" w:rsidP="006E6670">
            <w:pPr>
              <w:spacing w:after="0" w:line="240" w:lineRule="auto"/>
              <w:jc w:val="right"/>
              <w:rPr>
                <w:rFonts w:ascii="Calibri" w:eastAsia="Times New Roman" w:hAnsi="Calibri" w:cs="Times New Roman"/>
                <w:sz w:val="20"/>
                <w:szCs w:val="20"/>
              </w:rPr>
            </w:pPr>
            <w:r w:rsidRPr="00B1785B">
              <w:rPr>
                <w:rFonts w:ascii="Calibri" w:eastAsia="Times New Roman" w:hAnsi="Calibri" w:cs="Times New Roman"/>
                <w:sz w:val="20"/>
                <w:szCs w:val="20"/>
              </w:rPr>
              <w:t>402,137</w:t>
            </w:r>
          </w:p>
        </w:tc>
        <w:tc>
          <w:tcPr>
            <w:tcW w:w="1300" w:type="dxa"/>
            <w:tcBorders>
              <w:top w:val="nil"/>
              <w:left w:val="nil"/>
              <w:bottom w:val="single" w:sz="8" w:space="0" w:color="auto"/>
              <w:right w:val="single" w:sz="8" w:space="0" w:color="auto"/>
            </w:tcBorders>
            <w:shd w:val="clear" w:color="000000" w:fill="FFFFFF"/>
            <w:noWrap/>
            <w:vAlign w:val="center"/>
            <w:hideMark/>
          </w:tcPr>
          <w:p w:rsidR="006E6670" w:rsidRPr="00B1785B" w:rsidRDefault="00FD188C" w:rsidP="006E6670">
            <w:pPr>
              <w:spacing w:after="0" w:line="240" w:lineRule="auto"/>
              <w:jc w:val="right"/>
              <w:rPr>
                <w:rFonts w:ascii="Calibri" w:eastAsia="Times New Roman" w:hAnsi="Calibri" w:cs="Times New Roman"/>
                <w:sz w:val="20"/>
                <w:szCs w:val="20"/>
              </w:rPr>
            </w:pPr>
            <w:r>
              <w:rPr>
                <w:rFonts w:ascii="Calibri" w:eastAsia="Times New Roman" w:hAnsi="Calibri" w:cs="Times New Roman"/>
                <w:sz w:val="20"/>
                <w:szCs w:val="20"/>
              </w:rPr>
              <w:t>37</w:t>
            </w:r>
            <w:r w:rsidR="006E6670" w:rsidRPr="00B1785B">
              <w:rPr>
                <w:rFonts w:ascii="Calibri" w:eastAsia="Times New Roman" w:hAnsi="Calibri" w:cs="Times New Roman"/>
                <w:sz w:val="20"/>
                <w:szCs w:val="20"/>
              </w:rPr>
              <w:t>%</w:t>
            </w:r>
          </w:p>
        </w:tc>
      </w:tr>
      <w:tr w:rsidR="006E6670" w:rsidRPr="000F5A61" w:rsidTr="006E6670">
        <w:trPr>
          <w:trHeight w:val="420"/>
        </w:trPr>
        <w:tc>
          <w:tcPr>
            <w:tcW w:w="1300" w:type="dxa"/>
            <w:tcBorders>
              <w:top w:val="nil"/>
              <w:left w:val="single" w:sz="8" w:space="0" w:color="auto"/>
              <w:bottom w:val="single" w:sz="8" w:space="0" w:color="auto"/>
              <w:right w:val="single" w:sz="8" w:space="0" w:color="auto"/>
            </w:tcBorders>
            <w:shd w:val="clear" w:color="000000" w:fill="FFFFFF"/>
            <w:vAlign w:val="center"/>
            <w:hideMark/>
          </w:tcPr>
          <w:p w:rsidR="006E6670" w:rsidRPr="00B1785B" w:rsidRDefault="006E6670" w:rsidP="006E6670">
            <w:pPr>
              <w:spacing w:after="0" w:line="240" w:lineRule="auto"/>
              <w:rPr>
                <w:rFonts w:ascii="Arial" w:eastAsia="Times New Roman" w:hAnsi="Arial" w:cs="Arial"/>
                <w:b/>
                <w:bCs/>
                <w:sz w:val="16"/>
                <w:szCs w:val="16"/>
              </w:rPr>
            </w:pPr>
            <w:r w:rsidRPr="00B1785B">
              <w:rPr>
                <w:rFonts w:ascii="Arial" w:eastAsia="Times New Roman" w:hAnsi="Arial" w:cs="Arial"/>
                <w:b/>
                <w:bCs/>
                <w:sz w:val="16"/>
                <w:szCs w:val="16"/>
              </w:rPr>
              <w:t>Program management</w:t>
            </w:r>
          </w:p>
        </w:tc>
        <w:tc>
          <w:tcPr>
            <w:tcW w:w="1300" w:type="dxa"/>
            <w:tcBorders>
              <w:top w:val="nil"/>
              <w:left w:val="nil"/>
              <w:bottom w:val="single" w:sz="8" w:space="0" w:color="auto"/>
              <w:right w:val="single" w:sz="8" w:space="0" w:color="auto"/>
            </w:tcBorders>
            <w:shd w:val="clear" w:color="000000" w:fill="FFFFFF"/>
            <w:noWrap/>
            <w:vAlign w:val="center"/>
            <w:hideMark/>
          </w:tcPr>
          <w:p w:rsidR="006E6670" w:rsidRPr="00B1785B" w:rsidRDefault="006E6670" w:rsidP="00FD188C">
            <w:pPr>
              <w:spacing w:after="0" w:line="240" w:lineRule="auto"/>
              <w:jc w:val="right"/>
              <w:rPr>
                <w:rFonts w:ascii="Calibri" w:eastAsia="Times New Roman" w:hAnsi="Calibri" w:cs="Times New Roman"/>
                <w:sz w:val="20"/>
                <w:szCs w:val="20"/>
              </w:rPr>
            </w:pPr>
            <w:r w:rsidRPr="00B1785B">
              <w:rPr>
                <w:rFonts w:ascii="Calibri" w:eastAsia="Times New Roman" w:hAnsi="Calibri" w:cs="Times New Roman"/>
                <w:sz w:val="20"/>
                <w:szCs w:val="20"/>
              </w:rPr>
              <w:t>3,0</w:t>
            </w:r>
            <w:r w:rsidR="00FD188C">
              <w:rPr>
                <w:rFonts w:ascii="Calibri" w:eastAsia="Times New Roman" w:hAnsi="Calibri" w:cs="Times New Roman"/>
                <w:sz w:val="20"/>
                <w:szCs w:val="20"/>
              </w:rPr>
              <w:t>8</w:t>
            </w:r>
            <w:r w:rsidRPr="00B1785B">
              <w:rPr>
                <w:rFonts w:ascii="Calibri" w:eastAsia="Times New Roman" w:hAnsi="Calibri" w:cs="Times New Roman"/>
                <w:sz w:val="20"/>
                <w:szCs w:val="20"/>
              </w:rPr>
              <w:t>7,</w:t>
            </w:r>
            <w:r w:rsidR="00FD188C">
              <w:rPr>
                <w:rFonts w:ascii="Calibri" w:eastAsia="Times New Roman" w:hAnsi="Calibri" w:cs="Times New Roman"/>
                <w:sz w:val="20"/>
                <w:szCs w:val="20"/>
              </w:rPr>
              <w:t>495</w:t>
            </w:r>
          </w:p>
        </w:tc>
        <w:tc>
          <w:tcPr>
            <w:tcW w:w="1300" w:type="dxa"/>
            <w:tcBorders>
              <w:top w:val="nil"/>
              <w:left w:val="nil"/>
              <w:bottom w:val="single" w:sz="8" w:space="0" w:color="auto"/>
              <w:right w:val="single" w:sz="8" w:space="0" w:color="auto"/>
            </w:tcBorders>
            <w:shd w:val="clear" w:color="auto" w:fill="auto"/>
            <w:vAlign w:val="center"/>
            <w:hideMark/>
          </w:tcPr>
          <w:p w:rsidR="006E6670" w:rsidRPr="00B1785B" w:rsidRDefault="00FD188C" w:rsidP="006E6670">
            <w:pPr>
              <w:spacing w:after="0" w:line="240" w:lineRule="auto"/>
              <w:jc w:val="right"/>
              <w:rPr>
                <w:rFonts w:ascii="Calibri" w:eastAsia="Times New Roman" w:hAnsi="Calibri" w:cs="Times New Roman"/>
                <w:sz w:val="20"/>
                <w:szCs w:val="20"/>
              </w:rPr>
            </w:pPr>
            <w:r>
              <w:rPr>
                <w:rFonts w:ascii="Calibri" w:eastAsia="Times New Roman" w:hAnsi="Calibri" w:cs="Times New Roman"/>
                <w:sz w:val="20"/>
                <w:szCs w:val="20"/>
              </w:rPr>
              <w:t>238,903</w:t>
            </w:r>
          </w:p>
        </w:tc>
        <w:tc>
          <w:tcPr>
            <w:tcW w:w="1300" w:type="dxa"/>
            <w:tcBorders>
              <w:top w:val="nil"/>
              <w:left w:val="nil"/>
              <w:bottom w:val="single" w:sz="8" w:space="0" w:color="auto"/>
              <w:right w:val="single" w:sz="8" w:space="0" w:color="auto"/>
            </w:tcBorders>
            <w:shd w:val="clear" w:color="000000" w:fill="FFFFFF"/>
            <w:vAlign w:val="center"/>
            <w:hideMark/>
          </w:tcPr>
          <w:p w:rsidR="006E6670" w:rsidRPr="00B1785B" w:rsidRDefault="00FD188C" w:rsidP="006E6670">
            <w:pPr>
              <w:spacing w:after="0" w:line="240" w:lineRule="auto"/>
              <w:jc w:val="right"/>
              <w:rPr>
                <w:rFonts w:ascii="Calibri" w:eastAsia="Times New Roman" w:hAnsi="Calibri" w:cs="Times New Roman"/>
                <w:sz w:val="20"/>
                <w:szCs w:val="20"/>
              </w:rPr>
            </w:pPr>
            <w:r>
              <w:rPr>
                <w:rFonts w:ascii="Calibri" w:eastAsia="Times New Roman" w:hAnsi="Calibri" w:cs="Times New Roman"/>
                <w:sz w:val="20"/>
                <w:szCs w:val="20"/>
              </w:rPr>
              <w:t>2,414,166</w:t>
            </w:r>
          </w:p>
        </w:tc>
        <w:tc>
          <w:tcPr>
            <w:tcW w:w="1300" w:type="dxa"/>
            <w:tcBorders>
              <w:top w:val="nil"/>
              <w:left w:val="nil"/>
              <w:bottom w:val="single" w:sz="8" w:space="0" w:color="auto"/>
              <w:right w:val="single" w:sz="8" w:space="0" w:color="auto"/>
            </w:tcBorders>
            <w:shd w:val="clear" w:color="000000" w:fill="FFFFFF"/>
            <w:noWrap/>
            <w:vAlign w:val="center"/>
            <w:hideMark/>
          </w:tcPr>
          <w:p w:rsidR="006E6670" w:rsidRPr="00B1785B" w:rsidRDefault="006E6670" w:rsidP="006E6670">
            <w:pPr>
              <w:spacing w:after="0" w:line="240" w:lineRule="auto"/>
              <w:jc w:val="right"/>
              <w:rPr>
                <w:rFonts w:ascii="Calibri" w:eastAsia="Times New Roman" w:hAnsi="Calibri" w:cs="Times New Roman"/>
                <w:sz w:val="20"/>
                <w:szCs w:val="20"/>
              </w:rPr>
            </w:pPr>
            <w:r w:rsidRPr="00B1785B">
              <w:rPr>
                <w:rFonts w:ascii="Calibri" w:eastAsia="Times New Roman" w:hAnsi="Calibri" w:cs="Times New Roman"/>
                <w:sz w:val="20"/>
                <w:szCs w:val="20"/>
              </w:rPr>
              <w:t>434,426</w:t>
            </w:r>
          </w:p>
        </w:tc>
        <w:tc>
          <w:tcPr>
            <w:tcW w:w="1300" w:type="dxa"/>
            <w:tcBorders>
              <w:top w:val="nil"/>
              <w:left w:val="nil"/>
              <w:bottom w:val="single" w:sz="8" w:space="0" w:color="auto"/>
              <w:right w:val="single" w:sz="8" w:space="0" w:color="auto"/>
            </w:tcBorders>
            <w:shd w:val="clear" w:color="000000" w:fill="FFFFFF"/>
            <w:noWrap/>
            <w:vAlign w:val="center"/>
            <w:hideMark/>
          </w:tcPr>
          <w:p w:rsidR="006E6670" w:rsidRPr="00B1785B" w:rsidRDefault="006E6670" w:rsidP="006E6670">
            <w:pPr>
              <w:spacing w:after="0" w:line="240" w:lineRule="auto"/>
              <w:jc w:val="right"/>
              <w:rPr>
                <w:rFonts w:ascii="Calibri" w:eastAsia="Times New Roman" w:hAnsi="Calibri" w:cs="Times New Roman"/>
                <w:sz w:val="20"/>
                <w:szCs w:val="20"/>
              </w:rPr>
            </w:pPr>
            <w:r w:rsidRPr="00B1785B">
              <w:rPr>
                <w:rFonts w:ascii="Calibri" w:eastAsia="Times New Roman" w:hAnsi="Calibri" w:cs="Times New Roman"/>
                <w:sz w:val="20"/>
                <w:szCs w:val="20"/>
              </w:rPr>
              <w:t>14%</w:t>
            </w:r>
          </w:p>
        </w:tc>
      </w:tr>
      <w:tr w:rsidR="006E6670" w:rsidRPr="000F5A61" w:rsidTr="006E6670">
        <w:trPr>
          <w:trHeight w:val="320"/>
        </w:trPr>
        <w:tc>
          <w:tcPr>
            <w:tcW w:w="1300" w:type="dxa"/>
            <w:tcBorders>
              <w:top w:val="nil"/>
              <w:left w:val="single" w:sz="8" w:space="0" w:color="auto"/>
              <w:bottom w:val="single" w:sz="8" w:space="0" w:color="auto"/>
              <w:right w:val="single" w:sz="8" w:space="0" w:color="auto"/>
            </w:tcBorders>
            <w:shd w:val="clear" w:color="000000" w:fill="FFFFFF"/>
            <w:noWrap/>
            <w:vAlign w:val="center"/>
            <w:hideMark/>
          </w:tcPr>
          <w:p w:rsidR="006E6670" w:rsidRPr="00B1785B" w:rsidRDefault="006E6670" w:rsidP="006E6670">
            <w:pPr>
              <w:spacing w:after="0" w:line="240" w:lineRule="auto"/>
              <w:jc w:val="right"/>
              <w:rPr>
                <w:rFonts w:ascii="Arial" w:eastAsia="Times New Roman" w:hAnsi="Arial" w:cs="Arial"/>
                <w:b/>
                <w:bCs/>
                <w:sz w:val="16"/>
                <w:szCs w:val="16"/>
              </w:rPr>
            </w:pPr>
            <w:r w:rsidRPr="00B1785B">
              <w:rPr>
                <w:rFonts w:ascii="Arial" w:eastAsia="Times New Roman" w:hAnsi="Arial" w:cs="Arial"/>
                <w:b/>
                <w:bCs/>
                <w:sz w:val="16"/>
                <w:szCs w:val="16"/>
              </w:rPr>
              <w:t>Totals</w:t>
            </w:r>
          </w:p>
        </w:tc>
        <w:tc>
          <w:tcPr>
            <w:tcW w:w="1300" w:type="dxa"/>
            <w:tcBorders>
              <w:top w:val="nil"/>
              <w:left w:val="nil"/>
              <w:bottom w:val="single" w:sz="8" w:space="0" w:color="auto"/>
              <w:right w:val="single" w:sz="8" w:space="0" w:color="auto"/>
            </w:tcBorders>
            <w:shd w:val="clear" w:color="000000" w:fill="FFFFFF"/>
            <w:noWrap/>
            <w:vAlign w:val="center"/>
            <w:hideMark/>
          </w:tcPr>
          <w:p w:rsidR="006E6670" w:rsidRPr="00B1785B" w:rsidRDefault="00FD188C" w:rsidP="006E6670">
            <w:pPr>
              <w:spacing w:after="0" w:line="240" w:lineRule="auto"/>
              <w:jc w:val="right"/>
              <w:rPr>
                <w:rFonts w:ascii="Calibri" w:eastAsia="Times New Roman" w:hAnsi="Calibri" w:cs="Times New Roman"/>
                <w:sz w:val="20"/>
                <w:szCs w:val="20"/>
              </w:rPr>
            </w:pPr>
            <w:r>
              <w:rPr>
                <w:rFonts w:ascii="Calibri" w:eastAsia="Times New Roman" w:hAnsi="Calibri" w:cs="Times New Roman"/>
                <w:sz w:val="20"/>
                <w:szCs w:val="20"/>
              </w:rPr>
              <w:t>15, 489,671</w:t>
            </w:r>
          </w:p>
        </w:tc>
        <w:tc>
          <w:tcPr>
            <w:tcW w:w="1300" w:type="dxa"/>
            <w:tcBorders>
              <w:top w:val="nil"/>
              <w:left w:val="nil"/>
              <w:bottom w:val="single" w:sz="8" w:space="0" w:color="auto"/>
              <w:right w:val="single" w:sz="8" w:space="0" w:color="auto"/>
            </w:tcBorders>
            <w:shd w:val="clear" w:color="000000" w:fill="FFFFFF"/>
            <w:noWrap/>
            <w:vAlign w:val="center"/>
            <w:hideMark/>
          </w:tcPr>
          <w:p w:rsidR="006E6670" w:rsidRPr="00B1785B" w:rsidRDefault="006E6670" w:rsidP="00FD188C">
            <w:pPr>
              <w:spacing w:after="0" w:line="240" w:lineRule="auto"/>
              <w:jc w:val="right"/>
              <w:rPr>
                <w:rFonts w:ascii="Calibri" w:eastAsia="Times New Roman" w:hAnsi="Calibri" w:cs="Times New Roman"/>
                <w:sz w:val="20"/>
                <w:szCs w:val="20"/>
              </w:rPr>
            </w:pPr>
            <w:r w:rsidRPr="00B1785B">
              <w:rPr>
                <w:rFonts w:ascii="Calibri" w:eastAsia="Times New Roman" w:hAnsi="Calibri" w:cs="Times New Roman"/>
                <w:sz w:val="20"/>
                <w:szCs w:val="20"/>
              </w:rPr>
              <w:t>8,8</w:t>
            </w:r>
            <w:r w:rsidR="00FD188C">
              <w:rPr>
                <w:rFonts w:ascii="Calibri" w:eastAsia="Times New Roman" w:hAnsi="Calibri" w:cs="Times New Roman"/>
                <w:sz w:val="20"/>
                <w:szCs w:val="20"/>
              </w:rPr>
              <w:t>47,491</w:t>
            </w:r>
          </w:p>
        </w:tc>
        <w:tc>
          <w:tcPr>
            <w:tcW w:w="1300" w:type="dxa"/>
            <w:tcBorders>
              <w:top w:val="nil"/>
              <w:left w:val="nil"/>
              <w:bottom w:val="single" w:sz="8" w:space="0" w:color="auto"/>
              <w:right w:val="single" w:sz="8" w:space="0" w:color="auto"/>
            </w:tcBorders>
            <w:shd w:val="clear" w:color="000000" w:fill="FFFFFF"/>
            <w:noWrap/>
            <w:vAlign w:val="center"/>
            <w:hideMark/>
          </w:tcPr>
          <w:p w:rsidR="006E6670" w:rsidRPr="00B1785B" w:rsidRDefault="006E6670" w:rsidP="006E6670">
            <w:pPr>
              <w:spacing w:after="0" w:line="240" w:lineRule="auto"/>
              <w:jc w:val="right"/>
              <w:rPr>
                <w:rFonts w:ascii="Calibri" w:eastAsia="Times New Roman" w:hAnsi="Calibri" w:cs="Times New Roman"/>
                <w:sz w:val="20"/>
                <w:szCs w:val="20"/>
              </w:rPr>
            </w:pPr>
            <w:r w:rsidRPr="00B1785B">
              <w:rPr>
                <w:rFonts w:ascii="Calibri" w:eastAsia="Times New Roman" w:hAnsi="Calibri" w:cs="Times New Roman"/>
                <w:sz w:val="20"/>
                <w:szCs w:val="20"/>
              </w:rPr>
              <w:t>4,208,547</w:t>
            </w:r>
          </w:p>
        </w:tc>
        <w:tc>
          <w:tcPr>
            <w:tcW w:w="1300" w:type="dxa"/>
            <w:tcBorders>
              <w:top w:val="nil"/>
              <w:left w:val="nil"/>
              <w:bottom w:val="single" w:sz="8" w:space="0" w:color="auto"/>
              <w:right w:val="single" w:sz="8" w:space="0" w:color="auto"/>
            </w:tcBorders>
            <w:shd w:val="clear" w:color="000000" w:fill="FFFFFF"/>
            <w:noWrap/>
            <w:vAlign w:val="center"/>
            <w:hideMark/>
          </w:tcPr>
          <w:p w:rsidR="006E6670" w:rsidRPr="00B1785B" w:rsidRDefault="006E6670" w:rsidP="006E6670">
            <w:pPr>
              <w:spacing w:after="0" w:line="240" w:lineRule="auto"/>
              <w:jc w:val="right"/>
              <w:rPr>
                <w:rFonts w:ascii="Calibri" w:eastAsia="Times New Roman" w:hAnsi="Calibri" w:cs="Times New Roman"/>
                <w:sz w:val="20"/>
                <w:szCs w:val="20"/>
              </w:rPr>
            </w:pPr>
            <w:r w:rsidRPr="00FD188C">
              <w:rPr>
                <w:rFonts w:ascii="Calibri" w:eastAsia="Times New Roman" w:hAnsi="Calibri" w:cs="Times New Roman"/>
                <w:sz w:val="20"/>
                <w:szCs w:val="20"/>
              </w:rPr>
              <w:t>2,433,633</w:t>
            </w:r>
          </w:p>
        </w:tc>
        <w:tc>
          <w:tcPr>
            <w:tcW w:w="1300" w:type="dxa"/>
            <w:tcBorders>
              <w:top w:val="nil"/>
              <w:left w:val="nil"/>
              <w:bottom w:val="single" w:sz="8" w:space="0" w:color="auto"/>
              <w:right w:val="single" w:sz="8" w:space="0" w:color="auto"/>
            </w:tcBorders>
            <w:shd w:val="clear" w:color="000000" w:fill="FFFFFF"/>
            <w:noWrap/>
            <w:vAlign w:val="center"/>
            <w:hideMark/>
          </w:tcPr>
          <w:p w:rsidR="006E6670" w:rsidRPr="00B1785B" w:rsidRDefault="00FD188C" w:rsidP="006E6670">
            <w:pPr>
              <w:spacing w:after="0" w:line="240" w:lineRule="auto"/>
              <w:jc w:val="right"/>
              <w:rPr>
                <w:rFonts w:ascii="Calibri" w:eastAsia="Times New Roman" w:hAnsi="Calibri" w:cs="Times New Roman"/>
                <w:sz w:val="20"/>
                <w:szCs w:val="20"/>
              </w:rPr>
            </w:pPr>
            <w:r>
              <w:rPr>
                <w:rFonts w:ascii="Calibri" w:eastAsia="Times New Roman" w:hAnsi="Calibri" w:cs="Times New Roman"/>
                <w:sz w:val="20"/>
                <w:szCs w:val="20"/>
              </w:rPr>
              <w:t>16</w:t>
            </w:r>
            <w:r w:rsidR="006E6670" w:rsidRPr="00B1785B">
              <w:rPr>
                <w:rFonts w:ascii="Calibri" w:eastAsia="Times New Roman" w:hAnsi="Calibri" w:cs="Times New Roman"/>
                <w:sz w:val="20"/>
                <w:szCs w:val="20"/>
              </w:rPr>
              <w:t>%</w:t>
            </w:r>
          </w:p>
        </w:tc>
      </w:tr>
    </w:tbl>
    <w:p w:rsidR="006E6670" w:rsidRPr="000F5A61" w:rsidRDefault="006E6670" w:rsidP="00F51BF5">
      <w:pPr>
        <w:widowControl w:val="0"/>
        <w:spacing w:after="120" w:line="240" w:lineRule="auto"/>
        <w:rPr>
          <w:rFonts w:ascii="Arial" w:eastAsia="Calibri" w:hAnsi="Arial" w:cs="Arial"/>
          <w:b/>
          <w:sz w:val="20"/>
          <w:szCs w:val="20"/>
          <w:lang w:val="en-US"/>
        </w:rPr>
      </w:pPr>
    </w:p>
    <w:p w:rsidR="00F51BF5" w:rsidRPr="000F5A61" w:rsidRDefault="00F51BF5" w:rsidP="00F51BF5">
      <w:pPr>
        <w:widowControl w:val="0"/>
        <w:spacing w:after="120" w:line="240" w:lineRule="auto"/>
        <w:rPr>
          <w:rFonts w:ascii="Arial" w:hAnsi="Arial" w:cs="Arial"/>
          <w:sz w:val="20"/>
          <w:szCs w:val="20"/>
        </w:rPr>
      </w:pPr>
      <w:r w:rsidRPr="00B1785B">
        <w:rPr>
          <w:rFonts w:ascii="Arial" w:hAnsi="Arial" w:cs="Arial"/>
          <w:sz w:val="20"/>
          <w:szCs w:val="20"/>
        </w:rPr>
        <w:t>Planned Go</w:t>
      </w:r>
      <w:r w:rsidR="00124E5A" w:rsidRPr="00B1785B">
        <w:rPr>
          <w:rFonts w:ascii="Arial" w:hAnsi="Arial" w:cs="Arial"/>
          <w:sz w:val="20"/>
          <w:szCs w:val="20"/>
        </w:rPr>
        <w:t>N</w:t>
      </w:r>
      <w:r w:rsidRPr="00B1785B">
        <w:rPr>
          <w:rFonts w:ascii="Arial" w:hAnsi="Arial" w:cs="Arial"/>
          <w:sz w:val="20"/>
          <w:szCs w:val="20"/>
        </w:rPr>
        <w:t xml:space="preserve"> financial support for the N</w:t>
      </w:r>
      <w:r w:rsidR="00604710" w:rsidRPr="00B1785B">
        <w:rPr>
          <w:rFonts w:ascii="Arial" w:hAnsi="Arial" w:cs="Arial"/>
          <w:sz w:val="20"/>
          <w:szCs w:val="20"/>
        </w:rPr>
        <w:t>M</w:t>
      </w:r>
      <w:r w:rsidRPr="00B1785B">
        <w:rPr>
          <w:rFonts w:ascii="Arial" w:hAnsi="Arial" w:cs="Arial"/>
          <w:sz w:val="20"/>
          <w:szCs w:val="20"/>
        </w:rPr>
        <w:t>SP will fluctuate over the coming years according to programmatic requirements (figure 4.</w:t>
      </w:r>
      <w:r w:rsidR="00604710" w:rsidRPr="00B1785B">
        <w:rPr>
          <w:rFonts w:ascii="Arial" w:hAnsi="Arial" w:cs="Arial"/>
          <w:sz w:val="20"/>
          <w:szCs w:val="20"/>
        </w:rPr>
        <w:t>2</w:t>
      </w:r>
      <w:r w:rsidRPr="00B1785B">
        <w:rPr>
          <w:rFonts w:ascii="Arial" w:hAnsi="Arial" w:cs="Arial"/>
          <w:sz w:val="20"/>
          <w:szCs w:val="20"/>
        </w:rPr>
        <w:t xml:space="preserve">). Overall </w:t>
      </w:r>
      <w:r w:rsidR="00BD1498" w:rsidRPr="00B1785B">
        <w:rPr>
          <w:rFonts w:ascii="Arial" w:hAnsi="Arial" w:cs="Arial"/>
          <w:sz w:val="20"/>
          <w:szCs w:val="20"/>
        </w:rPr>
        <w:t xml:space="preserve">GoN </w:t>
      </w:r>
      <w:r w:rsidRPr="00B1785B">
        <w:rPr>
          <w:rFonts w:ascii="Arial" w:hAnsi="Arial" w:cs="Arial"/>
          <w:sz w:val="20"/>
          <w:szCs w:val="20"/>
        </w:rPr>
        <w:t xml:space="preserve">financial support is expected to </w:t>
      </w:r>
      <w:r w:rsidR="00BD1498" w:rsidRPr="00B1785B">
        <w:rPr>
          <w:rFonts w:ascii="Arial" w:hAnsi="Arial" w:cs="Arial"/>
          <w:sz w:val="20"/>
          <w:szCs w:val="20"/>
        </w:rPr>
        <w:t>more than double</w:t>
      </w:r>
      <w:r w:rsidRPr="00B1785B">
        <w:rPr>
          <w:rFonts w:ascii="Arial" w:hAnsi="Arial" w:cs="Arial"/>
          <w:sz w:val="20"/>
          <w:szCs w:val="20"/>
        </w:rPr>
        <w:t xml:space="preserve"> during 201</w:t>
      </w:r>
      <w:r w:rsidR="00604710" w:rsidRPr="00B1785B">
        <w:rPr>
          <w:rFonts w:ascii="Arial" w:hAnsi="Arial" w:cs="Arial"/>
          <w:sz w:val="20"/>
          <w:szCs w:val="20"/>
        </w:rPr>
        <w:t>8</w:t>
      </w:r>
      <w:r w:rsidRPr="00B1785B">
        <w:rPr>
          <w:rFonts w:ascii="Arial" w:hAnsi="Arial" w:cs="Arial"/>
          <w:sz w:val="20"/>
          <w:szCs w:val="20"/>
        </w:rPr>
        <w:t>-</w:t>
      </w:r>
      <w:r w:rsidR="00604710" w:rsidRPr="00B1785B">
        <w:rPr>
          <w:rFonts w:ascii="Arial" w:hAnsi="Arial" w:cs="Arial"/>
          <w:sz w:val="20"/>
          <w:szCs w:val="20"/>
        </w:rPr>
        <w:t>20</w:t>
      </w:r>
      <w:r w:rsidRPr="00B1785B">
        <w:rPr>
          <w:rFonts w:ascii="Arial" w:hAnsi="Arial" w:cs="Arial"/>
          <w:sz w:val="20"/>
          <w:szCs w:val="20"/>
        </w:rPr>
        <w:t xml:space="preserve"> relative to the previous 3-year period (up from </w:t>
      </w:r>
      <w:r w:rsidR="00BD1498" w:rsidRPr="00B1785B">
        <w:rPr>
          <w:rFonts w:ascii="Arial" w:hAnsi="Arial" w:cs="Arial"/>
          <w:sz w:val="20"/>
          <w:szCs w:val="20"/>
        </w:rPr>
        <w:t>US</w:t>
      </w:r>
      <w:r w:rsidR="00690D4A" w:rsidRPr="00B1785B">
        <w:rPr>
          <w:rFonts w:ascii="Arial" w:hAnsi="Arial" w:cs="Arial"/>
          <w:sz w:val="20"/>
          <w:szCs w:val="20"/>
        </w:rPr>
        <w:t>$</w:t>
      </w:r>
      <w:r w:rsidR="00BD1498" w:rsidRPr="00B1785B">
        <w:rPr>
          <w:rFonts w:ascii="Arial" w:hAnsi="Arial" w:cs="Arial"/>
          <w:sz w:val="20"/>
          <w:szCs w:val="20"/>
        </w:rPr>
        <w:t xml:space="preserve">4,314,049 </w:t>
      </w:r>
      <w:r w:rsidRPr="00B1785B">
        <w:rPr>
          <w:rFonts w:ascii="Arial" w:hAnsi="Arial" w:cs="Arial"/>
          <w:sz w:val="20"/>
          <w:szCs w:val="20"/>
        </w:rPr>
        <w:t>to US$</w:t>
      </w:r>
      <w:r w:rsidR="003661F7">
        <w:rPr>
          <w:rFonts w:ascii="Arial" w:hAnsi="Arial" w:cs="Arial"/>
          <w:sz w:val="20"/>
          <w:szCs w:val="20"/>
        </w:rPr>
        <w:t>8,8</w:t>
      </w:r>
      <w:r w:rsidR="00FD188C">
        <w:rPr>
          <w:rFonts w:ascii="Arial" w:hAnsi="Arial" w:cs="Arial"/>
          <w:sz w:val="20"/>
          <w:szCs w:val="20"/>
        </w:rPr>
        <w:t>47</w:t>
      </w:r>
      <w:r w:rsidR="003661F7">
        <w:rPr>
          <w:rFonts w:ascii="Arial" w:hAnsi="Arial" w:cs="Arial"/>
          <w:sz w:val="20"/>
          <w:szCs w:val="20"/>
        </w:rPr>
        <w:t>,</w:t>
      </w:r>
      <w:r w:rsidR="00FD188C">
        <w:rPr>
          <w:rFonts w:ascii="Arial" w:hAnsi="Arial" w:cs="Arial"/>
          <w:sz w:val="20"/>
          <w:szCs w:val="20"/>
        </w:rPr>
        <w:t>491</w:t>
      </w:r>
      <w:r w:rsidRPr="00B1785B">
        <w:rPr>
          <w:rFonts w:ascii="Arial" w:hAnsi="Arial" w:cs="Arial"/>
          <w:sz w:val="20"/>
          <w:szCs w:val="20"/>
        </w:rPr>
        <w:t xml:space="preserve">). </w:t>
      </w:r>
      <w:r w:rsidR="006145AB" w:rsidRPr="00B1785B">
        <w:rPr>
          <w:rFonts w:ascii="Arial" w:hAnsi="Arial" w:cs="Arial"/>
          <w:sz w:val="20"/>
          <w:szCs w:val="20"/>
        </w:rPr>
        <w:t>The substantial increase in 2018 is associated with the procurement of LLINs.</w:t>
      </w:r>
    </w:p>
    <w:p w:rsidR="00F66F13" w:rsidRPr="000F5A61" w:rsidRDefault="00F66F13" w:rsidP="00F51BF5">
      <w:pPr>
        <w:widowControl w:val="0"/>
        <w:spacing w:after="120" w:line="240" w:lineRule="auto"/>
        <w:rPr>
          <w:rFonts w:ascii="Arial" w:hAnsi="Arial" w:cs="Arial"/>
          <w:sz w:val="20"/>
          <w:szCs w:val="20"/>
        </w:rPr>
      </w:pPr>
    </w:p>
    <w:p w:rsidR="00604710" w:rsidRPr="000F5A61" w:rsidRDefault="00604710" w:rsidP="00604710">
      <w:pPr>
        <w:widowControl w:val="0"/>
        <w:spacing w:after="120" w:line="240" w:lineRule="auto"/>
        <w:rPr>
          <w:rFonts w:ascii="Arial" w:hAnsi="Arial" w:cs="Arial"/>
          <w:b/>
          <w:sz w:val="20"/>
          <w:szCs w:val="20"/>
        </w:rPr>
      </w:pPr>
      <w:r w:rsidRPr="000F5A61">
        <w:rPr>
          <w:rFonts w:ascii="Arial" w:hAnsi="Arial" w:cs="Arial"/>
          <w:b/>
          <w:sz w:val="20"/>
          <w:szCs w:val="20"/>
          <w:lang w:val="en-US"/>
        </w:rPr>
        <w:t xml:space="preserve">Figure 4.2. </w:t>
      </w:r>
      <w:r w:rsidR="00307846" w:rsidRPr="000F5A61">
        <w:rPr>
          <w:rFonts w:ascii="Arial" w:hAnsi="Arial" w:cs="Arial"/>
          <w:b/>
          <w:sz w:val="20"/>
          <w:szCs w:val="20"/>
          <w:lang w:val="en-US"/>
        </w:rPr>
        <w:t>GoN</w:t>
      </w:r>
      <w:r w:rsidRPr="000F5A61">
        <w:rPr>
          <w:rFonts w:ascii="Arial" w:hAnsi="Arial" w:cs="Arial"/>
          <w:b/>
          <w:sz w:val="20"/>
          <w:szCs w:val="20"/>
          <w:lang w:val="en-US"/>
        </w:rPr>
        <w:t xml:space="preserve"> resources for the NMSP (previous</w:t>
      </w:r>
      <w:r w:rsidR="00307846" w:rsidRPr="000F5A61">
        <w:rPr>
          <w:rFonts w:ascii="Arial" w:hAnsi="Arial" w:cs="Arial"/>
          <w:b/>
          <w:sz w:val="20"/>
          <w:szCs w:val="20"/>
          <w:lang w:val="en-US"/>
        </w:rPr>
        <w:t>,</w:t>
      </w:r>
      <w:r w:rsidRPr="000F5A61">
        <w:rPr>
          <w:rFonts w:ascii="Arial" w:hAnsi="Arial" w:cs="Arial"/>
          <w:b/>
          <w:sz w:val="20"/>
          <w:szCs w:val="20"/>
          <w:lang w:val="en-US"/>
        </w:rPr>
        <w:t xml:space="preserve"> current and anticipated).</w:t>
      </w:r>
    </w:p>
    <w:p w:rsidR="00604710" w:rsidRPr="000F5A61" w:rsidRDefault="00690D4A" w:rsidP="00604710">
      <w:pPr>
        <w:widowControl w:val="0"/>
        <w:spacing w:after="120" w:line="240" w:lineRule="auto"/>
        <w:rPr>
          <w:rFonts w:ascii="Arial" w:hAnsi="Arial" w:cs="Arial"/>
          <w:sz w:val="20"/>
          <w:szCs w:val="20"/>
        </w:rPr>
      </w:pPr>
      <w:r w:rsidRPr="000F5A61">
        <w:rPr>
          <w:noProof/>
          <w:lang w:val="en-US"/>
        </w:rPr>
        <w:lastRenderedPageBreak/>
        <w:drawing>
          <wp:inline distT="0" distB="0" distL="0" distR="0">
            <wp:extent cx="4572000" cy="274320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9F472E" w:rsidRPr="000F5A61" w:rsidRDefault="009F472E" w:rsidP="009F472E">
      <w:pPr>
        <w:spacing w:before="240"/>
        <w:rPr>
          <w:rFonts w:ascii="Arial" w:hAnsi="Arial" w:cs="Arial"/>
          <w:sz w:val="20"/>
          <w:szCs w:val="20"/>
        </w:rPr>
      </w:pPr>
      <w:r w:rsidRPr="000F5A61">
        <w:rPr>
          <w:rFonts w:ascii="Arial" w:hAnsi="Arial" w:cs="Arial"/>
          <w:sz w:val="20"/>
          <w:szCs w:val="20"/>
        </w:rPr>
        <w:t xml:space="preserve">b). The </w:t>
      </w:r>
      <w:r w:rsidR="00803A71" w:rsidRPr="000F5A61">
        <w:rPr>
          <w:rFonts w:ascii="Arial" w:hAnsi="Arial" w:cs="Arial"/>
          <w:sz w:val="20"/>
          <w:szCs w:val="20"/>
        </w:rPr>
        <w:t>P</w:t>
      </w:r>
      <w:r w:rsidRPr="000F5A61">
        <w:rPr>
          <w:rFonts w:ascii="Arial" w:hAnsi="Arial" w:cs="Arial"/>
          <w:sz w:val="20"/>
          <w:szCs w:val="20"/>
        </w:rPr>
        <w:t xml:space="preserve">rogramme is also working hard to maximise the cost-effectiveness of all of its activities in an effort to improve sustainability. For example, the current </w:t>
      </w:r>
      <w:r w:rsidR="00B31AE8" w:rsidRPr="000F5A61">
        <w:rPr>
          <w:rFonts w:ascii="Arial" w:hAnsi="Arial" w:cs="Arial"/>
          <w:sz w:val="20"/>
          <w:szCs w:val="20"/>
        </w:rPr>
        <w:t xml:space="preserve">‘Addendum’ and ‘Operational </w:t>
      </w:r>
      <w:r w:rsidRPr="000F5A61">
        <w:rPr>
          <w:rFonts w:ascii="Arial" w:hAnsi="Arial" w:cs="Arial"/>
          <w:sz w:val="20"/>
          <w:szCs w:val="20"/>
        </w:rPr>
        <w:t>Framework</w:t>
      </w:r>
      <w:r w:rsidR="00B31AE8" w:rsidRPr="000F5A61">
        <w:rPr>
          <w:rFonts w:ascii="Arial" w:hAnsi="Arial" w:cs="Arial"/>
          <w:sz w:val="20"/>
          <w:szCs w:val="20"/>
        </w:rPr>
        <w:t>’</w:t>
      </w:r>
      <w:r w:rsidRPr="000F5A61">
        <w:rPr>
          <w:rFonts w:ascii="Arial" w:hAnsi="Arial" w:cs="Arial"/>
          <w:sz w:val="20"/>
          <w:szCs w:val="20"/>
        </w:rPr>
        <w:t xml:space="preserve"> has moved away from the previous LLIN strategy of blanket coverage based on a three yearly VDC level stratification. Current targeting of mass LLIN distribution is based on an annual ward-level stratification of indigenous cases. A multi-pronged strategy for continuous distribution will ensure high coverage for other risk groups.</w:t>
      </w:r>
    </w:p>
    <w:p w:rsidR="009F472E" w:rsidRPr="000F5A61" w:rsidRDefault="009F472E" w:rsidP="009F472E">
      <w:pPr>
        <w:rPr>
          <w:rFonts w:ascii="Arial" w:hAnsi="Arial" w:cs="Arial"/>
          <w:sz w:val="20"/>
          <w:szCs w:val="20"/>
          <w:lang w:val="en-US"/>
        </w:rPr>
      </w:pPr>
      <w:r w:rsidRPr="000F5A61">
        <w:rPr>
          <w:rFonts w:ascii="Arial" w:hAnsi="Arial" w:cs="Arial"/>
          <w:sz w:val="20"/>
          <w:szCs w:val="20"/>
          <w:lang w:val="en-US"/>
        </w:rPr>
        <w:t>Although resurgent malaria has occurred in a majority of countries that tried but failed to eliminate malaria, a recent review of resurgence in countries that successfully eliminated</w:t>
      </w:r>
      <w:r w:rsidR="001C37DD" w:rsidRPr="000F5A61">
        <w:rPr>
          <w:rFonts w:ascii="Arial" w:hAnsi="Arial" w:cs="Arial"/>
          <w:sz w:val="20"/>
          <w:szCs w:val="20"/>
          <w:lang w:val="en-US"/>
        </w:rPr>
        <w:t>,</w:t>
      </w:r>
      <w:r w:rsidRPr="000F5A61">
        <w:rPr>
          <w:rFonts w:ascii="Arial" w:hAnsi="Arial" w:cs="Arial"/>
          <w:sz w:val="20"/>
          <w:szCs w:val="20"/>
          <w:lang w:val="en-US"/>
        </w:rPr>
        <w:t xml:space="preserve"> found only four such failures out of 50 successful programmes</w:t>
      </w:r>
      <w:r w:rsidRPr="000F5A61">
        <w:rPr>
          <w:rStyle w:val="FootnoteReference"/>
          <w:rFonts w:ascii="Arial" w:hAnsi="Arial" w:cs="Arial"/>
          <w:sz w:val="20"/>
          <w:szCs w:val="20"/>
          <w:lang w:val="en-US"/>
        </w:rPr>
        <w:footnoteReference w:id="26"/>
      </w:r>
      <w:r w:rsidRPr="000F5A61">
        <w:rPr>
          <w:rFonts w:ascii="Arial" w:hAnsi="Arial" w:cs="Arial"/>
          <w:sz w:val="20"/>
          <w:szCs w:val="20"/>
          <w:lang w:val="en-US"/>
        </w:rPr>
        <w:t xml:space="preserve">. Data documenting malaria importation and onwards transmission in these countries suggested that malaria transmission potential had declined by more than 98% since before elimination. </w:t>
      </w:r>
      <w:r w:rsidRPr="000F5A61">
        <w:rPr>
          <w:rFonts w:ascii="Arial" w:eastAsia="Calibri" w:hAnsi="Arial" w:cs="Arial"/>
          <w:sz w:val="20"/>
          <w:szCs w:val="20"/>
          <w:lang w:val="en-US"/>
        </w:rPr>
        <w:t>This suggests that elimination is a surprisingly stable state in many settings.  If this is indeed the case, then it will be possible to cut significantly the projected costs of maintaining elimination, making elimination substantially more attractive for countries acting alone, and making spatially progressive elimination a sensible strategy for a malaria eradication endgame.</w:t>
      </w:r>
    </w:p>
    <w:p w:rsidR="009F472E" w:rsidRPr="000F5A61" w:rsidRDefault="009F472E" w:rsidP="009F472E">
      <w:pPr>
        <w:rPr>
          <w:rFonts w:ascii="Arial" w:hAnsi="Arial" w:cs="Arial"/>
          <w:sz w:val="20"/>
          <w:szCs w:val="20"/>
        </w:rPr>
      </w:pPr>
      <w:r w:rsidRPr="000F5A61">
        <w:rPr>
          <w:rFonts w:ascii="Arial" w:hAnsi="Arial" w:cs="Arial"/>
          <w:sz w:val="20"/>
          <w:szCs w:val="20"/>
        </w:rPr>
        <w:t xml:space="preserve">The achievement of the NMEPs elimination goal will contribute towards the achievement of </w:t>
      </w:r>
      <w:r w:rsidR="00066729" w:rsidRPr="000F5A61">
        <w:rPr>
          <w:rFonts w:ascii="Arial" w:hAnsi="Arial" w:cs="Arial"/>
          <w:sz w:val="20"/>
          <w:szCs w:val="20"/>
        </w:rPr>
        <w:t>Regional</w:t>
      </w:r>
      <w:r w:rsidRPr="000F5A61">
        <w:rPr>
          <w:rFonts w:ascii="Arial" w:hAnsi="Arial" w:cs="Arial"/>
          <w:sz w:val="20"/>
          <w:szCs w:val="20"/>
        </w:rPr>
        <w:t xml:space="preserve"> elimination goals and ultimately towards global eradication, which will provide the ultimate in sustainability.</w:t>
      </w:r>
    </w:p>
    <w:p w:rsidR="00E123FA" w:rsidRPr="000F5A61" w:rsidRDefault="00E123FA" w:rsidP="00F76AD3">
      <w:pPr>
        <w:rPr>
          <w:rFonts w:ascii="Arial" w:hAnsi="Arial" w:cs="Arial"/>
          <w:sz w:val="20"/>
          <w:szCs w:val="20"/>
        </w:rPr>
      </w:pPr>
    </w:p>
    <w:p w:rsidR="00E123FA" w:rsidRPr="000F5A61" w:rsidRDefault="00E123FA">
      <w:pPr>
        <w:rPr>
          <w:rFonts w:ascii="Arial" w:hAnsi="Arial" w:cs="Arial"/>
          <w:sz w:val="20"/>
          <w:szCs w:val="20"/>
        </w:rPr>
      </w:pPr>
      <w:r w:rsidRPr="000F5A61">
        <w:rPr>
          <w:rFonts w:ascii="Arial" w:hAnsi="Arial" w:cs="Arial"/>
          <w:sz w:val="20"/>
          <w:szCs w:val="20"/>
        </w:rPr>
        <w:br w:type="page"/>
      </w:r>
    </w:p>
    <w:p w:rsidR="00E123FA" w:rsidRPr="000F5A61" w:rsidRDefault="00E123FA" w:rsidP="00E123FA">
      <w:pPr>
        <w:spacing w:after="0" w:line="240" w:lineRule="auto"/>
        <w:jc w:val="center"/>
        <w:rPr>
          <w:rFonts w:ascii="Arial" w:hAnsi="Arial" w:cs="Arial"/>
          <w:b/>
          <w:bCs/>
          <w:sz w:val="20"/>
          <w:szCs w:val="20"/>
          <w:lang w:val="en-US"/>
        </w:rPr>
      </w:pPr>
    </w:p>
    <w:tbl>
      <w:tblPr>
        <w:tblStyle w:val="TableGrid"/>
        <w:tblW w:w="920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9209"/>
      </w:tblGrid>
      <w:tr w:rsidR="00E123FA" w:rsidRPr="000F5A61" w:rsidTr="00EF204E">
        <w:trPr>
          <w:trHeight w:val="447"/>
        </w:trPr>
        <w:tc>
          <w:tcPr>
            <w:tcW w:w="9209" w:type="dxa"/>
            <w:shd w:val="clear" w:color="auto" w:fill="1F497D"/>
            <w:vAlign w:val="center"/>
          </w:tcPr>
          <w:p w:rsidR="00E123FA" w:rsidRPr="000F5A61" w:rsidRDefault="00E123FA" w:rsidP="00EF204E">
            <w:pPr>
              <w:rPr>
                <w:rFonts w:ascii="Arial" w:hAnsi="Arial"/>
                <w:bCs/>
                <w:lang w:val="en-US"/>
              </w:rPr>
            </w:pPr>
            <w:r w:rsidRPr="000F5A61">
              <w:rPr>
                <w:rFonts w:ascii="Arial" w:hAnsi="Arial"/>
                <w:b/>
                <w:bCs/>
                <w:lang w:val="en-US"/>
              </w:rPr>
              <w:t>SECTION 5: PRIORITIZED ABOVE ALLOCATION REQUEST / UPDATE</w:t>
            </w:r>
          </w:p>
        </w:tc>
      </w:tr>
    </w:tbl>
    <w:p w:rsidR="00E123FA" w:rsidRPr="000F5A61" w:rsidRDefault="00E123FA" w:rsidP="00E123FA">
      <w:pPr>
        <w:spacing w:after="0" w:line="240" w:lineRule="auto"/>
        <w:rPr>
          <w:rFonts w:ascii="Arial" w:hAnsi="Arial" w:cs="Arial"/>
          <w:bCs/>
          <w:sz w:val="20"/>
          <w:szCs w:val="20"/>
          <w:lang w:val="en-US"/>
        </w:rPr>
      </w:pPr>
    </w:p>
    <w:tbl>
      <w:tblPr>
        <w:tblW w:w="920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0" w:type="dxa"/>
          <w:right w:w="10" w:type="dxa"/>
        </w:tblCellMar>
        <w:tblLook w:val="04A0"/>
      </w:tblPr>
      <w:tblGrid>
        <w:gridCol w:w="9209"/>
      </w:tblGrid>
      <w:tr w:rsidR="00E123FA" w:rsidRPr="000F5A61" w:rsidTr="00EF204E">
        <w:trPr>
          <w:trHeight w:val="430"/>
        </w:trPr>
        <w:tc>
          <w:tcPr>
            <w:tcW w:w="9209" w:type="dxa"/>
            <w:shd w:val="clear" w:color="auto" w:fill="C6D9F1"/>
            <w:tcMar>
              <w:top w:w="0" w:type="dxa"/>
              <w:left w:w="108" w:type="dxa"/>
              <w:bottom w:w="0" w:type="dxa"/>
              <w:right w:w="108" w:type="dxa"/>
            </w:tcMar>
            <w:vAlign w:val="center"/>
            <w:hideMark/>
          </w:tcPr>
          <w:p w:rsidR="00E123FA" w:rsidRPr="000F5A61" w:rsidRDefault="00E123FA" w:rsidP="00E123FA">
            <w:pPr>
              <w:spacing w:after="0" w:line="380" w:lineRule="exact"/>
              <w:rPr>
                <w:rFonts w:ascii="Arial" w:eastAsia="MS Mincho" w:hAnsi="Arial" w:cs="Arial"/>
                <w:b/>
                <w:kern w:val="24"/>
                <w:sz w:val="20"/>
                <w:szCs w:val="20"/>
                <w:lang w:eastAsia="fr-FR"/>
              </w:rPr>
            </w:pPr>
            <w:r w:rsidRPr="000F5A61">
              <w:rPr>
                <w:rFonts w:ascii="Arial" w:eastAsia="Cambria" w:hAnsi="Arial" w:cs="Arial"/>
                <w:b/>
                <w:bCs/>
                <w:sz w:val="20"/>
                <w:szCs w:val="20"/>
                <w:lang w:eastAsia="fr-FR"/>
              </w:rPr>
              <w:t>Prioritized Above Allocation Request</w:t>
            </w:r>
          </w:p>
        </w:tc>
      </w:tr>
      <w:tr w:rsidR="00E123FA" w:rsidRPr="000F5A61" w:rsidTr="00EF204E">
        <w:trPr>
          <w:trHeight w:val="1086"/>
        </w:trPr>
        <w:tc>
          <w:tcPr>
            <w:tcW w:w="9209" w:type="dxa"/>
            <w:shd w:val="clear" w:color="auto" w:fill="D9D9D9"/>
            <w:tcMar>
              <w:top w:w="0" w:type="dxa"/>
              <w:left w:w="108" w:type="dxa"/>
              <w:bottom w:w="0" w:type="dxa"/>
              <w:right w:w="108" w:type="dxa"/>
            </w:tcMar>
            <w:vAlign w:val="center"/>
            <w:hideMark/>
          </w:tcPr>
          <w:p w:rsidR="00E123FA" w:rsidRPr="000F5A61" w:rsidRDefault="00E123FA" w:rsidP="00C86062">
            <w:pPr>
              <w:keepNext/>
              <w:keepLines/>
              <w:spacing w:before="120" w:after="120"/>
              <w:jc w:val="both"/>
              <w:rPr>
                <w:rFonts w:ascii="Arial" w:eastAsia="Cambria" w:hAnsi="Arial" w:cs="Arial"/>
                <w:b/>
                <w:sz w:val="20"/>
                <w:szCs w:val="20"/>
                <w:lang w:eastAsia="fr-FR"/>
              </w:rPr>
            </w:pPr>
            <w:r w:rsidRPr="000F5A61">
              <w:rPr>
                <w:rFonts w:ascii="Arial" w:hAnsi="Arial" w:cs="Arial"/>
                <w:sz w:val="20"/>
                <w:szCs w:val="20"/>
              </w:rPr>
              <w:t xml:space="preserve">Provide in the </w:t>
            </w:r>
            <w:r w:rsidRPr="000F5A61">
              <w:rPr>
                <w:rFonts w:ascii="Arial" w:hAnsi="Arial" w:cs="Arial"/>
                <w:sz w:val="20"/>
                <w:szCs w:val="20"/>
                <w:lang w:val="en-US"/>
              </w:rPr>
              <w:t xml:space="preserve">table below a prioritized above allocation request which, if deemed technically sound and strategically focused by the TRP, could be funded using savings or efficiencies identified during grant-making, or put on the Register of Unfunded Quality Demand to be financed should additional resources become availablefrom the </w:t>
            </w:r>
            <w:r w:rsidR="00912AC9" w:rsidRPr="000F5A61">
              <w:rPr>
                <w:rFonts w:ascii="Arial" w:hAnsi="Arial" w:cs="Arial"/>
                <w:sz w:val="20"/>
                <w:szCs w:val="20"/>
                <w:lang w:val="en-US"/>
              </w:rPr>
              <w:t xml:space="preserve">Global </w:t>
            </w:r>
            <w:r w:rsidRPr="000F5A61">
              <w:rPr>
                <w:rFonts w:ascii="Arial" w:hAnsi="Arial" w:cs="Arial"/>
                <w:sz w:val="20"/>
                <w:szCs w:val="20"/>
                <w:lang w:val="en-US"/>
              </w:rPr>
              <w:t xml:space="preserve">Fund or other actors (e.g. private donors and approved public mechanisms such as UNITAID and Debt2Health). This above allocation request should include clear rationale and should be aligned with the programming of the allocation for maximum impact. The request should reflect the order in which interventions will be funded if additional resources become available. In line with the Global Fund’s Strategy to maximize impact and end the epidemics, the prioritized above allocation request should be ambitious (for example, representing at least 30-50 percent of the allocation amount). </w:t>
            </w:r>
          </w:p>
        </w:tc>
      </w:tr>
    </w:tbl>
    <w:p w:rsidR="00E123FA" w:rsidRPr="000F5A61" w:rsidRDefault="00E123FA" w:rsidP="00E123FA">
      <w:pPr>
        <w:rPr>
          <w:rFonts w:ascii="Arial" w:hAnsi="Arial" w:cs="Arial"/>
          <w:sz w:val="20"/>
          <w:szCs w:val="20"/>
        </w:rPr>
      </w:pPr>
    </w:p>
    <w:tbl>
      <w:tblPr>
        <w:tblStyle w:val="TableGrid"/>
        <w:tblW w:w="920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1684"/>
        <w:gridCol w:w="1965"/>
        <w:gridCol w:w="1495"/>
        <w:gridCol w:w="4065"/>
      </w:tblGrid>
      <w:tr w:rsidR="007D42D1" w:rsidRPr="000F5A61" w:rsidTr="00D36820">
        <w:trPr>
          <w:trHeight w:val="402"/>
        </w:trPr>
        <w:tc>
          <w:tcPr>
            <w:tcW w:w="9209" w:type="dxa"/>
            <w:gridSpan w:val="4"/>
            <w:shd w:val="clear" w:color="auto" w:fill="F2F2F2" w:themeFill="background1" w:themeFillShade="F2"/>
            <w:vAlign w:val="center"/>
          </w:tcPr>
          <w:p w:rsidR="007D42D1" w:rsidRPr="000F5A61" w:rsidRDefault="007D42D1" w:rsidP="00D36820">
            <w:pPr>
              <w:spacing w:after="160" w:line="259" w:lineRule="auto"/>
              <w:rPr>
                <w:rFonts w:ascii="Arial" w:hAnsi="Arial"/>
                <w:b/>
                <w:bCs/>
                <w:lang w:val="en-US" w:eastAsia="en-US"/>
              </w:rPr>
            </w:pPr>
            <w:r w:rsidRPr="000F5A61">
              <w:rPr>
                <w:rFonts w:ascii="Arial" w:hAnsi="Arial"/>
                <w:b/>
                <w:bCs/>
                <w:lang w:val="en-US"/>
              </w:rPr>
              <w:t>Malaria</w:t>
            </w:r>
          </w:p>
        </w:tc>
      </w:tr>
      <w:tr w:rsidR="007D42D1" w:rsidRPr="000F5A61" w:rsidTr="00D36820">
        <w:trPr>
          <w:trHeight w:val="696"/>
        </w:trPr>
        <w:tc>
          <w:tcPr>
            <w:tcW w:w="1684" w:type="dxa"/>
            <w:shd w:val="clear" w:color="auto" w:fill="F2F2F2" w:themeFill="background1" w:themeFillShade="F2"/>
            <w:vAlign w:val="center"/>
          </w:tcPr>
          <w:p w:rsidR="007D42D1" w:rsidRPr="000F5A61" w:rsidRDefault="007D42D1" w:rsidP="00D36820">
            <w:pPr>
              <w:spacing w:after="160" w:line="259" w:lineRule="auto"/>
              <w:jc w:val="center"/>
              <w:rPr>
                <w:rFonts w:ascii="Arial" w:hAnsi="Arial"/>
                <w:lang w:val="en-US" w:eastAsia="en-US"/>
              </w:rPr>
            </w:pPr>
            <w:r w:rsidRPr="000F5A61">
              <w:rPr>
                <w:rFonts w:ascii="Arial" w:hAnsi="Arial"/>
                <w:b/>
                <w:bCs/>
                <w:lang w:val="en-US"/>
              </w:rPr>
              <w:t>Module</w:t>
            </w:r>
          </w:p>
        </w:tc>
        <w:tc>
          <w:tcPr>
            <w:tcW w:w="1965" w:type="dxa"/>
            <w:shd w:val="clear" w:color="auto" w:fill="F2F2F2" w:themeFill="background1" w:themeFillShade="F2"/>
            <w:vAlign w:val="center"/>
          </w:tcPr>
          <w:p w:rsidR="007D42D1" w:rsidRPr="000F5A61" w:rsidRDefault="007D42D1" w:rsidP="00D36820">
            <w:pPr>
              <w:jc w:val="center"/>
              <w:rPr>
                <w:rFonts w:ascii="Arial" w:hAnsi="Arial"/>
                <w:b/>
                <w:bCs/>
                <w:lang w:val="en-US"/>
              </w:rPr>
            </w:pPr>
            <w:r w:rsidRPr="000F5A61">
              <w:rPr>
                <w:rFonts w:ascii="Arial" w:hAnsi="Arial"/>
                <w:b/>
                <w:bCs/>
                <w:lang w:val="en-US"/>
              </w:rPr>
              <w:t>Interventions</w:t>
            </w:r>
          </w:p>
        </w:tc>
        <w:tc>
          <w:tcPr>
            <w:tcW w:w="1495" w:type="dxa"/>
            <w:shd w:val="clear" w:color="auto" w:fill="F2F2F2" w:themeFill="background1" w:themeFillShade="F2"/>
            <w:vAlign w:val="center"/>
          </w:tcPr>
          <w:p w:rsidR="007D42D1" w:rsidRPr="000F5A61" w:rsidRDefault="007D42D1" w:rsidP="00D36820">
            <w:pPr>
              <w:spacing w:after="160" w:line="259" w:lineRule="auto"/>
              <w:jc w:val="center"/>
              <w:rPr>
                <w:rFonts w:ascii="Arial" w:hAnsi="Arial"/>
                <w:lang w:val="en-US" w:eastAsia="en-US"/>
              </w:rPr>
            </w:pPr>
            <w:r w:rsidRPr="000F5A61">
              <w:rPr>
                <w:rFonts w:ascii="Arial" w:hAnsi="Arial"/>
                <w:b/>
                <w:bCs/>
                <w:lang w:val="en-US"/>
              </w:rPr>
              <w:t>Amount requested</w:t>
            </w:r>
          </w:p>
        </w:tc>
        <w:tc>
          <w:tcPr>
            <w:tcW w:w="4065" w:type="dxa"/>
            <w:shd w:val="clear" w:color="auto" w:fill="F2F2F2" w:themeFill="background1" w:themeFillShade="F2"/>
            <w:vAlign w:val="center"/>
          </w:tcPr>
          <w:p w:rsidR="007D42D1" w:rsidRPr="000F5A61" w:rsidRDefault="007D42D1" w:rsidP="00D36820">
            <w:pPr>
              <w:keepNext/>
              <w:keepLines/>
              <w:jc w:val="center"/>
              <w:rPr>
                <w:rFonts w:ascii="Arial" w:hAnsi="Arial"/>
                <w:b/>
                <w:bCs/>
                <w:lang w:val="en-US" w:eastAsia="en-US"/>
              </w:rPr>
            </w:pPr>
            <w:r w:rsidRPr="000F5A61">
              <w:rPr>
                <w:rFonts w:ascii="Arial" w:hAnsi="Arial"/>
                <w:b/>
                <w:bCs/>
                <w:lang w:val="en-US" w:eastAsia="en-US"/>
              </w:rPr>
              <w:t xml:space="preserve">Brief Rationale, including expected outcomes and impact </w:t>
            </w:r>
          </w:p>
          <w:p w:rsidR="007D42D1" w:rsidRPr="000F5A61" w:rsidRDefault="007D42D1" w:rsidP="00D36820">
            <w:pPr>
              <w:spacing w:after="160" w:line="259" w:lineRule="auto"/>
              <w:jc w:val="center"/>
              <w:rPr>
                <w:rFonts w:ascii="Arial" w:hAnsi="Arial"/>
                <w:lang w:val="en-US" w:eastAsia="en-US"/>
              </w:rPr>
            </w:pPr>
            <w:r w:rsidRPr="000F5A61">
              <w:rPr>
                <w:rFonts w:ascii="Arial" w:hAnsi="Arial"/>
                <w:bCs/>
                <w:lang w:val="en-US"/>
              </w:rPr>
              <w:t>(how the request builds on the allocation)</w:t>
            </w:r>
          </w:p>
        </w:tc>
      </w:tr>
      <w:tr w:rsidR="007D42D1" w:rsidRPr="000F5A61" w:rsidTr="00D36820">
        <w:trPr>
          <w:trHeight w:val="400"/>
        </w:trPr>
        <w:tc>
          <w:tcPr>
            <w:tcW w:w="1684" w:type="dxa"/>
            <w:vAlign w:val="center"/>
          </w:tcPr>
          <w:p w:rsidR="007D42D1" w:rsidRPr="000F5A61" w:rsidRDefault="007D42D1" w:rsidP="00D36820">
            <w:pPr>
              <w:rPr>
                <w:rFonts w:ascii="Arial" w:hAnsi="Arial"/>
              </w:rPr>
            </w:pPr>
            <w:r w:rsidRPr="000F5A61">
              <w:rPr>
                <w:rFonts w:ascii="Arial" w:hAnsi="Arial"/>
              </w:rPr>
              <w:t>Case management</w:t>
            </w:r>
          </w:p>
        </w:tc>
        <w:tc>
          <w:tcPr>
            <w:tcW w:w="1965" w:type="dxa"/>
          </w:tcPr>
          <w:p w:rsidR="007D42D1" w:rsidRDefault="007D42D1" w:rsidP="00D36820">
            <w:pPr>
              <w:rPr>
                <w:rFonts w:ascii="Arial" w:hAnsi="Arial"/>
              </w:rPr>
            </w:pPr>
            <w:r w:rsidRPr="000F5A61">
              <w:rPr>
                <w:rFonts w:ascii="Arial" w:hAnsi="Arial"/>
              </w:rPr>
              <w:t>PS case management (other)</w:t>
            </w:r>
          </w:p>
          <w:p w:rsidR="007D42D1" w:rsidRDefault="007D42D1" w:rsidP="00D36820">
            <w:pPr>
              <w:rPr>
                <w:rFonts w:ascii="Arial" w:hAnsi="Arial"/>
              </w:rPr>
            </w:pPr>
          </w:p>
          <w:p w:rsidR="007D42D1" w:rsidRDefault="007D42D1" w:rsidP="00D36820">
            <w:pPr>
              <w:rPr>
                <w:rFonts w:ascii="Arial" w:hAnsi="Arial"/>
              </w:rPr>
            </w:pPr>
          </w:p>
          <w:p w:rsidR="007D42D1" w:rsidRDefault="007D42D1" w:rsidP="00D36820">
            <w:pPr>
              <w:rPr>
                <w:rFonts w:ascii="Arial" w:hAnsi="Arial"/>
              </w:rPr>
            </w:pPr>
          </w:p>
          <w:p w:rsidR="007D42D1" w:rsidRDefault="007D42D1" w:rsidP="00D36820">
            <w:pPr>
              <w:rPr>
                <w:rFonts w:ascii="Arial" w:hAnsi="Arial"/>
              </w:rPr>
            </w:pPr>
          </w:p>
          <w:p w:rsidR="007D42D1" w:rsidRDefault="007D42D1" w:rsidP="00D36820">
            <w:pPr>
              <w:rPr>
                <w:rFonts w:ascii="Arial" w:hAnsi="Arial"/>
              </w:rPr>
            </w:pPr>
            <w:r w:rsidRPr="000F5A61">
              <w:rPr>
                <w:rFonts w:ascii="Arial" w:hAnsi="Arial"/>
              </w:rPr>
              <w:t>IEC/BCC</w:t>
            </w:r>
          </w:p>
          <w:p w:rsidR="007D42D1" w:rsidRDefault="007D42D1" w:rsidP="00D36820">
            <w:pPr>
              <w:rPr>
                <w:rFonts w:ascii="Arial" w:hAnsi="Arial"/>
              </w:rPr>
            </w:pPr>
          </w:p>
          <w:p w:rsidR="007D42D1" w:rsidRDefault="007D42D1" w:rsidP="00D36820">
            <w:pPr>
              <w:rPr>
                <w:rFonts w:ascii="Arial" w:hAnsi="Arial"/>
              </w:rPr>
            </w:pPr>
          </w:p>
          <w:p w:rsidR="007D42D1" w:rsidRDefault="007D42D1" w:rsidP="00D36820">
            <w:pPr>
              <w:rPr>
                <w:rFonts w:ascii="Arial" w:hAnsi="Arial"/>
              </w:rPr>
            </w:pPr>
          </w:p>
          <w:p w:rsidR="007D42D1" w:rsidRDefault="007D42D1" w:rsidP="00D36820">
            <w:pPr>
              <w:rPr>
                <w:rFonts w:ascii="Arial" w:hAnsi="Arial"/>
              </w:rPr>
            </w:pPr>
          </w:p>
          <w:p w:rsidR="007D42D1" w:rsidRPr="000F5A61" w:rsidRDefault="007D42D1" w:rsidP="00D36820">
            <w:pPr>
              <w:rPr>
                <w:rFonts w:ascii="Arial" w:hAnsi="Arial"/>
              </w:rPr>
            </w:pPr>
            <w:r w:rsidRPr="000F5A61">
              <w:rPr>
                <w:rFonts w:ascii="Arial" w:hAnsi="Arial"/>
              </w:rPr>
              <w:t>Policy, planning, coordination and management</w:t>
            </w:r>
          </w:p>
        </w:tc>
        <w:tc>
          <w:tcPr>
            <w:tcW w:w="1495" w:type="dxa"/>
          </w:tcPr>
          <w:p w:rsidR="007D42D1" w:rsidRPr="000F5A61" w:rsidRDefault="007D42D1" w:rsidP="00D36820">
            <w:pPr>
              <w:rPr>
                <w:rFonts w:ascii="Arial" w:hAnsi="Arial"/>
                <w:lang w:val="en-US" w:eastAsia="en-US"/>
              </w:rPr>
            </w:pPr>
            <w:r w:rsidRPr="000F5A61">
              <w:rPr>
                <w:rFonts w:ascii="Arial" w:hAnsi="Arial"/>
                <w:lang w:val="en-US" w:eastAsia="en-US"/>
              </w:rPr>
              <w:t>US$557,208</w:t>
            </w:r>
          </w:p>
          <w:p w:rsidR="007D42D1" w:rsidRDefault="007D42D1" w:rsidP="00D36820">
            <w:pPr>
              <w:rPr>
                <w:rFonts w:ascii="Arial" w:hAnsi="Arial"/>
                <w:lang w:val="en-US" w:eastAsia="en-US"/>
              </w:rPr>
            </w:pPr>
          </w:p>
          <w:p w:rsidR="007D42D1" w:rsidRDefault="007D42D1" w:rsidP="00D36820">
            <w:pPr>
              <w:rPr>
                <w:rFonts w:ascii="Arial" w:hAnsi="Arial"/>
                <w:lang w:val="en-US" w:eastAsia="en-US"/>
              </w:rPr>
            </w:pPr>
          </w:p>
          <w:p w:rsidR="007D42D1" w:rsidRDefault="007D42D1" w:rsidP="00D36820">
            <w:pPr>
              <w:rPr>
                <w:rFonts w:ascii="Arial" w:hAnsi="Arial"/>
                <w:lang w:val="en-US" w:eastAsia="en-US"/>
              </w:rPr>
            </w:pPr>
          </w:p>
          <w:p w:rsidR="007D42D1" w:rsidRDefault="007D42D1" w:rsidP="00D36820">
            <w:pPr>
              <w:rPr>
                <w:rFonts w:ascii="Arial" w:hAnsi="Arial"/>
                <w:lang w:val="en-US" w:eastAsia="en-US"/>
              </w:rPr>
            </w:pPr>
          </w:p>
          <w:p w:rsidR="007D42D1" w:rsidRDefault="007D42D1" w:rsidP="00D36820">
            <w:pPr>
              <w:rPr>
                <w:rFonts w:ascii="Arial" w:hAnsi="Arial"/>
                <w:lang w:val="en-US" w:eastAsia="en-US"/>
              </w:rPr>
            </w:pPr>
          </w:p>
          <w:p w:rsidR="007D42D1" w:rsidRDefault="007D42D1" w:rsidP="00D36820">
            <w:pPr>
              <w:rPr>
                <w:rFonts w:ascii="Arial" w:hAnsi="Arial"/>
                <w:lang w:val="en-US" w:eastAsia="en-US"/>
              </w:rPr>
            </w:pPr>
          </w:p>
          <w:p w:rsidR="007D42D1" w:rsidRPr="000F5A61" w:rsidRDefault="007D42D1" w:rsidP="00D36820">
            <w:pPr>
              <w:rPr>
                <w:rFonts w:ascii="Arial" w:hAnsi="Arial"/>
                <w:lang w:val="en-US" w:eastAsia="en-US"/>
              </w:rPr>
            </w:pPr>
            <w:r w:rsidRPr="000F5A61">
              <w:rPr>
                <w:rFonts w:ascii="Arial" w:hAnsi="Arial"/>
                <w:lang w:val="en-US" w:eastAsia="en-US"/>
              </w:rPr>
              <w:t>US$20,259</w:t>
            </w:r>
          </w:p>
          <w:p w:rsidR="007D42D1" w:rsidRDefault="007D42D1" w:rsidP="00D36820">
            <w:pPr>
              <w:rPr>
                <w:rFonts w:ascii="Arial" w:hAnsi="Arial"/>
                <w:lang w:val="en-US" w:eastAsia="en-US"/>
              </w:rPr>
            </w:pPr>
          </w:p>
          <w:p w:rsidR="007D42D1" w:rsidRDefault="007D42D1" w:rsidP="00D36820">
            <w:pPr>
              <w:rPr>
                <w:rFonts w:ascii="Arial" w:hAnsi="Arial"/>
                <w:lang w:val="en-US" w:eastAsia="en-US"/>
              </w:rPr>
            </w:pPr>
          </w:p>
          <w:p w:rsidR="007D42D1" w:rsidRDefault="007D42D1" w:rsidP="00D36820">
            <w:pPr>
              <w:rPr>
                <w:rFonts w:ascii="Arial" w:hAnsi="Arial"/>
                <w:lang w:val="en-US" w:eastAsia="en-US"/>
              </w:rPr>
            </w:pPr>
          </w:p>
          <w:p w:rsidR="007D42D1" w:rsidRDefault="007D42D1" w:rsidP="00D36820">
            <w:pPr>
              <w:rPr>
                <w:rFonts w:ascii="Arial" w:hAnsi="Arial"/>
                <w:lang w:val="en-US" w:eastAsia="en-US"/>
              </w:rPr>
            </w:pPr>
          </w:p>
          <w:p w:rsidR="007D42D1" w:rsidRPr="000F5A61" w:rsidRDefault="007D42D1" w:rsidP="00D36820">
            <w:pPr>
              <w:rPr>
                <w:rFonts w:ascii="Arial" w:hAnsi="Arial"/>
                <w:lang w:val="en-US" w:eastAsia="en-US"/>
              </w:rPr>
            </w:pPr>
            <w:r w:rsidRPr="000F5A61">
              <w:rPr>
                <w:rFonts w:ascii="Arial" w:hAnsi="Arial"/>
                <w:lang w:val="en-US" w:eastAsia="en-US"/>
              </w:rPr>
              <w:t>US$60,000</w:t>
            </w:r>
          </w:p>
          <w:p w:rsidR="007D42D1" w:rsidRPr="000F5A61" w:rsidRDefault="007D42D1" w:rsidP="00D36820">
            <w:pPr>
              <w:rPr>
                <w:rFonts w:ascii="Arial" w:hAnsi="Arial"/>
                <w:lang w:val="en-US"/>
              </w:rPr>
            </w:pPr>
          </w:p>
        </w:tc>
        <w:tc>
          <w:tcPr>
            <w:tcW w:w="4065" w:type="dxa"/>
          </w:tcPr>
          <w:p w:rsidR="007D42D1" w:rsidRPr="000F5A61" w:rsidRDefault="007D42D1" w:rsidP="00D36820">
            <w:pPr>
              <w:spacing w:after="160" w:line="259" w:lineRule="auto"/>
              <w:rPr>
                <w:rFonts w:ascii="Arial" w:hAnsi="Arial"/>
                <w:lang w:eastAsia="en-US"/>
              </w:rPr>
            </w:pPr>
            <w:r w:rsidRPr="000F5A61">
              <w:rPr>
                <w:rFonts w:ascii="Arial" w:hAnsi="Arial"/>
                <w:b/>
              </w:rPr>
              <w:t>Absolute</w:t>
            </w:r>
            <w:r w:rsidRPr="000F5A61">
              <w:rPr>
                <w:rFonts w:ascii="Arial" w:hAnsi="Arial"/>
              </w:rPr>
              <w:t xml:space="preserve">: </w:t>
            </w:r>
            <w:r w:rsidRPr="000F5A61">
              <w:rPr>
                <w:rFonts w:ascii="Arial" w:hAnsi="Arial"/>
                <w:lang w:eastAsia="en-US"/>
              </w:rPr>
              <w:t xml:space="preserve">HR cost at SR for engaging the private sector provider; Orientation cost for SR for engaging the private sector provider; Field visit for engaging the private sector provider; and, Operational costs for the SR. </w:t>
            </w:r>
          </w:p>
          <w:p w:rsidR="007D42D1" w:rsidRDefault="007D42D1" w:rsidP="00D36820">
            <w:pPr>
              <w:spacing w:after="160" w:line="259" w:lineRule="auto"/>
              <w:rPr>
                <w:rFonts w:ascii="Arial" w:hAnsi="Arial"/>
              </w:rPr>
            </w:pPr>
            <w:r w:rsidRPr="000F5A61">
              <w:rPr>
                <w:rFonts w:ascii="Arial" w:hAnsi="Arial"/>
                <w:b/>
              </w:rPr>
              <w:t>Absolute</w:t>
            </w:r>
            <w:r w:rsidRPr="000F5A61">
              <w:rPr>
                <w:rFonts w:ascii="Arial" w:hAnsi="Arial"/>
              </w:rPr>
              <w:t xml:space="preserve">: </w:t>
            </w:r>
            <w:r w:rsidRPr="00B1785B">
              <w:rPr>
                <w:rFonts w:ascii="Arial" w:hAnsi="Arial"/>
              </w:rPr>
              <w:t xml:space="preserve">Assessment of BCC methodology and approaches to guide policy revision in light of requirements for elimination. </w:t>
            </w:r>
          </w:p>
          <w:p w:rsidR="007D42D1" w:rsidRPr="007E3E10" w:rsidRDefault="007D42D1" w:rsidP="00D36820">
            <w:pPr>
              <w:spacing w:after="160" w:line="259" w:lineRule="auto"/>
              <w:rPr>
                <w:rFonts w:ascii="Arial" w:hAnsi="Arial"/>
              </w:rPr>
            </w:pPr>
            <w:r w:rsidRPr="000F5A61">
              <w:rPr>
                <w:rFonts w:ascii="Arial" w:hAnsi="Arial"/>
                <w:b/>
              </w:rPr>
              <w:t>Absolute</w:t>
            </w:r>
            <w:r w:rsidRPr="000F5A61">
              <w:rPr>
                <w:rFonts w:ascii="Arial" w:hAnsi="Arial"/>
              </w:rPr>
              <w:t xml:space="preserve">: Additional </w:t>
            </w:r>
            <w:r>
              <w:rPr>
                <w:rFonts w:ascii="Arial" w:hAnsi="Arial"/>
              </w:rPr>
              <w:t>Technical assistance as required</w:t>
            </w:r>
            <w:r w:rsidRPr="000F5A61">
              <w:rPr>
                <w:rFonts w:ascii="Arial" w:hAnsi="Arial"/>
              </w:rPr>
              <w:t xml:space="preserve">; </w:t>
            </w:r>
          </w:p>
        </w:tc>
      </w:tr>
      <w:tr w:rsidR="007D42D1" w:rsidRPr="000F5A61" w:rsidTr="00D36820">
        <w:trPr>
          <w:trHeight w:val="400"/>
        </w:trPr>
        <w:tc>
          <w:tcPr>
            <w:tcW w:w="1684" w:type="dxa"/>
            <w:vAlign w:val="center"/>
          </w:tcPr>
          <w:p w:rsidR="007D42D1" w:rsidRPr="000F5A61" w:rsidRDefault="007D42D1" w:rsidP="00D36820">
            <w:pPr>
              <w:rPr>
                <w:rFonts w:ascii="Arial" w:hAnsi="Arial"/>
              </w:rPr>
            </w:pPr>
            <w:r w:rsidRPr="000F5A61">
              <w:rPr>
                <w:rFonts w:ascii="Arial" w:hAnsi="Arial"/>
              </w:rPr>
              <w:t>Case management</w:t>
            </w:r>
          </w:p>
        </w:tc>
        <w:tc>
          <w:tcPr>
            <w:tcW w:w="1965" w:type="dxa"/>
          </w:tcPr>
          <w:p w:rsidR="007D42D1" w:rsidRDefault="007D42D1" w:rsidP="00D36820">
            <w:pPr>
              <w:rPr>
                <w:rFonts w:ascii="Arial" w:hAnsi="Arial"/>
              </w:rPr>
            </w:pPr>
            <w:r w:rsidRPr="000F5A61">
              <w:rPr>
                <w:rFonts w:ascii="Arial" w:hAnsi="Arial"/>
              </w:rPr>
              <w:t>Facility-based treatment</w:t>
            </w:r>
          </w:p>
          <w:p w:rsidR="007D42D1" w:rsidRDefault="007D42D1" w:rsidP="00D36820">
            <w:pPr>
              <w:rPr>
                <w:rFonts w:ascii="Arial" w:hAnsi="Arial"/>
              </w:rPr>
            </w:pPr>
          </w:p>
          <w:p w:rsidR="007D42D1" w:rsidRDefault="007D42D1" w:rsidP="00D36820">
            <w:pPr>
              <w:rPr>
                <w:rFonts w:ascii="Arial" w:hAnsi="Arial"/>
              </w:rPr>
            </w:pPr>
          </w:p>
          <w:p w:rsidR="007D42D1" w:rsidRDefault="007D42D1" w:rsidP="00D36820">
            <w:pPr>
              <w:rPr>
                <w:rFonts w:ascii="Arial" w:hAnsi="Arial"/>
              </w:rPr>
            </w:pPr>
            <w:r w:rsidRPr="000F5A61">
              <w:rPr>
                <w:rFonts w:ascii="Arial" w:hAnsi="Arial"/>
              </w:rPr>
              <w:t>Ensuring drug quality</w:t>
            </w:r>
          </w:p>
          <w:p w:rsidR="007D42D1" w:rsidRDefault="007D42D1" w:rsidP="00D36820">
            <w:pPr>
              <w:rPr>
                <w:rFonts w:ascii="Arial" w:hAnsi="Arial"/>
              </w:rPr>
            </w:pPr>
          </w:p>
          <w:p w:rsidR="007D42D1" w:rsidRDefault="007D42D1" w:rsidP="00D36820">
            <w:pPr>
              <w:rPr>
                <w:rFonts w:ascii="Arial" w:hAnsi="Arial"/>
              </w:rPr>
            </w:pPr>
          </w:p>
          <w:p w:rsidR="007D42D1" w:rsidRDefault="007D42D1" w:rsidP="00D36820">
            <w:pPr>
              <w:rPr>
                <w:rFonts w:ascii="Arial" w:hAnsi="Arial"/>
              </w:rPr>
            </w:pPr>
          </w:p>
          <w:p w:rsidR="007D42D1" w:rsidRDefault="007D42D1" w:rsidP="00D36820">
            <w:pPr>
              <w:rPr>
                <w:rFonts w:ascii="Arial" w:hAnsi="Arial"/>
              </w:rPr>
            </w:pPr>
          </w:p>
          <w:p w:rsidR="007D42D1" w:rsidRPr="000F5A61" w:rsidRDefault="007D42D1" w:rsidP="00D36820">
            <w:pPr>
              <w:rPr>
                <w:rFonts w:ascii="Arial" w:hAnsi="Arial"/>
              </w:rPr>
            </w:pPr>
            <w:r w:rsidRPr="000F5A61">
              <w:rPr>
                <w:rFonts w:ascii="Arial" w:hAnsi="Arial"/>
              </w:rPr>
              <w:t>IEC/BCC</w:t>
            </w:r>
          </w:p>
        </w:tc>
        <w:tc>
          <w:tcPr>
            <w:tcW w:w="1495" w:type="dxa"/>
          </w:tcPr>
          <w:p w:rsidR="007D42D1" w:rsidRPr="000F5A61" w:rsidRDefault="007D42D1" w:rsidP="00D36820">
            <w:pPr>
              <w:spacing w:after="160" w:line="259" w:lineRule="auto"/>
              <w:rPr>
                <w:rFonts w:ascii="Arial" w:hAnsi="Arial"/>
                <w:lang w:val="en-US"/>
              </w:rPr>
            </w:pPr>
            <w:r w:rsidRPr="000F5A61">
              <w:rPr>
                <w:rFonts w:ascii="Arial" w:hAnsi="Arial"/>
                <w:lang w:val="en-US"/>
              </w:rPr>
              <w:t>US$32,286</w:t>
            </w:r>
          </w:p>
          <w:p w:rsidR="007D42D1" w:rsidRDefault="007D42D1" w:rsidP="00D36820">
            <w:pPr>
              <w:rPr>
                <w:rFonts w:ascii="Arial" w:hAnsi="Arial"/>
                <w:lang w:val="en-US" w:eastAsia="en-US"/>
              </w:rPr>
            </w:pPr>
          </w:p>
          <w:p w:rsidR="007D42D1" w:rsidRDefault="007D42D1" w:rsidP="00D36820">
            <w:pPr>
              <w:rPr>
                <w:rFonts w:ascii="Arial" w:hAnsi="Arial"/>
                <w:lang w:val="en-US" w:eastAsia="en-US"/>
              </w:rPr>
            </w:pPr>
          </w:p>
          <w:p w:rsidR="007D42D1" w:rsidRPr="000F5A61" w:rsidRDefault="007D42D1" w:rsidP="00D36820">
            <w:pPr>
              <w:rPr>
                <w:rFonts w:ascii="Arial" w:hAnsi="Arial"/>
                <w:lang w:val="en-US" w:eastAsia="en-US"/>
              </w:rPr>
            </w:pPr>
            <w:r w:rsidRPr="000F5A61">
              <w:rPr>
                <w:rFonts w:ascii="Arial" w:hAnsi="Arial"/>
                <w:lang w:val="en-US" w:eastAsia="en-US"/>
              </w:rPr>
              <w:t>US$6,431</w:t>
            </w:r>
          </w:p>
          <w:p w:rsidR="007D42D1" w:rsidRDefault="007D42D1" w:rsidP="00D36820">
            <w:pPr>
              <w:spacing w:after="160" w:line="259" w:lineRule="auto"/>
              <w:rPr>
                <w:rFonts w:ascii="Arial" w:hAnsi="Arial"/>
                <w:lang w:val="en-US"/>
              </w:rPr>
            </w:pPr>
          </w:p>
          <w:p w:rsidR="007D42D1" w:rsidRDefault="007D42D1" w:rsidP="00D36820">
            <w:pPr>
              <w:spacing w:after="160" w:line="259" w:lineRule="auto"/>
              <w:rPr>
                <w:rFonts w:ascii="Arial" w:hAnsi="Arial"/>
                <w:lang w:val="en-US"/>
              </w:rPr>
            </w:pPr>
          </w:p>
          <w:p w:rsidR="007D42D1" w:rsidRDefault="007D42D1" w:rsidP="00D36820">
            <w:pPr>
              <w:spacing w:after="160" w:line="259" w:lineRule="auto"/>
              <w:rPr>
                <w:rFonts w:ascii="Arial" w:hAnsi="Arial"/>
                <w:lang w:val="en-US"/>
              </w:rPr>
            </w:pPr>
          </w:p>
          <w:p w:rsidR="007D42D1" w:rsidRPr="000F5A61" w:rsidRDefault="007D42D1" w:rsidP="00D36820">
            <w:pPr>
              <w:spacing w:after="160" w:line="259" w:lineRule="auto"/>
              <w:rPr>
                <w:rFonts w:ascii="Arial" w:hAnsi="Arial"/>
                <w:lang w:val="en-US" w:eastAsia="en-US"/>
              </w:rPr>
            </w:pPr>
            <w:r w:rsidRPr="000F5A61">
              <w:rPr>
                <w:rFonts w:ascii="Arial" w:hAnsi="Arial"/>
                <w:lang w:val="en-US"/>
              </w:rPr>
              <w:t>US$20,138</w:t>
            </w:r>
          </w:p>
          <w:p w:rsidR="007D42D1" w:rsidRPr="000F5A61" w:rsidRDefault="007D42D1" w:rsidP="00D36820">
            <w:pPr>
              <w:rPr>
                <w:rFonts w:ascii="Arial" w:hAnsi="Arial"/>
                <w:lang w:val="en-US"/>
              </w:rPr>
            </w:pPr>
          </w:p>
        </w:tc>
        <w:tc>
          <w:tcPr>
            <w:tcW w:w="4065" w:type="dxa"/>
          </w:tcPr>
          <w:p w:rsidR="007D42D1" w:rsidRPr="000F5A61" w:rsidRDefault="007D42D1" w:rsidP="00D36820">
            <w:pPr>
              <w:spacing w:after="160" w:line="259" w:lineRule="auto"/>
              <w:rPr>
                <w:rFonts w:ascii="Arial" w:hAnsi="Arial"/>
                <w:b/>
                <w:lang w:eastAsia="en-US"/>
              </w:rPr>
            </w:pPr>
            <w:r w:rsidRPr="000F5A61">
              <w:rPr>
                <w:rFonts w:ascii="Arial" w:hAnsi="Arial"/>
                <w:b/>
              </w:rPr>
              <w:t>High</w:t>
            </w:r>
            <w:r w:rsidRPr="000F5A61">
              <w:rPr>
                <w:rFonts w:ascii="Arial" w:hAnsi="Arial"/>
              </w:rPr>
              <w:t xml:space="preserve">: </w:t>
            </w:r>
            <w:r w:rsidRPr="00B1785B">
              <w:rPr>
                <w:rFonts w:ascii="Arial" w:hAnsi="Arial"/>
              </w:rPr>
              <w:t>Kits for community-based healthcare providers to improve the quality of service provision.</w:t>
            </w:r>
          </w:p>
          <w:p w:rsidR="007D42D1" w:rsidRPr="000F5A61" w:rsidRDefault="007D42D1" w:rsidP="00D36820">
            <w:pPr>
              <w:spacing w:after="160" w:line="259" w:lineRule="auto"/>
              <w:rPr>
                <w:rFonts w:ascii="Arial" w:hAnsi="Arial"/>
              </w:rPr>
            </w:pPr>
            <w:r w:rsidRPr="000F5A61">
              <w:rPr>
                <w:rFonts w:ascii="Arial" w:hAnsi="Arial"/>
                <w:b/>
              </w:rPr>
              <w:t>High</w:t>
            </w:r>
            <w:r w:rsidRPr="000F5A61">
              <w:rPr>
                <w:rFonts w:ascii="Arial" w:hAnsi="Arial"/>
              </w:rPr>
              <w:t xml:space="preserve">: </w:t>
            </w:r>
            <w:r w:rsidRPr="00B1785B">
              <w:rPr>
                <w:rFonts w:ascii="Arial" w:hAnsi="Arial"/>
              </w:rPr>
              <w:t>Procure Minilab® test kits and supplies to allow routine point of sale testing of antimalarials by DDA (targeting PS).</w:t>
            </w:r>
          </w:p>
          <w:p w:rsidR="007D42D1" w:rsidRPr="000F5A61" w:rsidRDefault="007D42D1" w:rsidP="00D36820">
            <w:pPr>
              <w:spacing w:after="160" w:line="259" w:lineRule="auto"/>
              <w:rPr>
                <w:rFonts w:ascii="Arial" w:hAnsi="Arial"/>
                <w:b/>
              </w:rPr>
            </w:pPr>
            <w:r w:rsidRPr="000F5A61">
              <w:rPr>
                <w:rFonts w:ascii="Arial" w:hAnsi="Arial"/>
                <w:b/>
              </w:rPr>
              <w:t>High</w:t>
            </w:r>
            <w:r w:rsidRPr="000F5A61">
              <w:rPr>
                <w:rFonts w:ascii="Arial" w:hAnsi="Arial"/>
              </w:rPr>
              <w:t xml:space="preserve">: TA for development of IEC documents for elimination; Production and dissemination of IEC materials; </w:t>
            </w:r>
          </w:p>
        </w:tc>
      </w:tr>
      <w:tr w:rsidR="007D42D1" w:rsidRPr="000F5A61" w:rsidTr="00D36820">
        <w:trPr>
          <w:trHeight w:val="400"/>
        </w:trPr>
        <w:tc>
          <w:tcPr>
            <w:tcW w:w="1684" w:type="dxa"/>
            <w:vAlign w:val="center"/>
          </w:tcPr>
          <w:p w:rsidR="007D42D1" w:rsidRPr="000F5A61" w:rsidRDefault="007D42D1" w:rsidP="00D36820">
            <w:pPr>
              <w:rPr>
                <w:rFonts w:ascii="Arial" w:hAnsi="Arial"/>
              </w:rPr>
            </w:pPr>
            <w:r w:rsidRPr="000F5A61">
              <w:rPr>
                <w:rFonts w:ascii="Arial" w:hAnsi="Arial"/>
              </w:rPr>
              <w:t>Vector control</w:t>
            </w:r>
          </w:p>
        </w:tc>
        <w:tc>
          <w:tcPr>
            <w:tcW w:w="1965" w:type="dxa"/>
          </w:tcPr>
          <w:p w:rsidR="007D42D1" w:rsidRPr="000F5A61" w:rsidRDefault="007D42D1" w:rsidP="00D36820">
            <w:pPr>
              <w:rPr>
                <w:rFonts w:ascii="Arial" w:hAnsi="Arial"/>
              </w:rPr>
            </w:pPr>
            <w:r w:rsidRPr="000F5A61">
              <w:rPr>
                <w:rFonts w:ascii="Arial" w:hAnsi="Arial"/>
              </w:rPr>
              <w:t>Entomological monitoring</w:t>
            </w:r>
          </w:p>
        </w:tc>
        <w:tc>
          <w:tcPr>
            <w:tcW w:w="1495" w:type="dxa"/>
          </w:tcPr>
          <w:p w:rsidR="007D42D1" w:rsidRPr="000F5A61" w:rsidRDefault="007D42D1" w:rsidP="00D36820">
            <w:pPr>
              <w:spacing w:after="160" w:line="259" w:lineRule="auto"/>
              <w:rPr>
                <w:rFonts w:ascii="Arial" w:hAnsi="Arial"/>
                <w:lang w:val="en-US"/>
              </w:rPr>
            </w:pPr>
            <w:r w:rsidRPr="000F5A61">
              <w:rPr>
                <w:rFonts w:ascii="Arial" w:hAnsi="Arial"/>
                <w:lang w:val="en-US"/>
              </w:rPr>
              <w:t>US$44,472</w:t>
            </w:r>
          </w:p>
          <w:p w:rsidR="007D42D1" w:rsidRPr="000F5A61" w:rsidRDefault="007D42D1" w:rsidP="00D36820">
            <w:pPr>
              <w:rPr>
                <w:rFonts w:ascii="Arial" w:hAnsi="Arial"/>
                <w:lang w:val="en-US"/>
              </w:rPr>
            </w:pPr>
          </w:p>
        </w:tc>
        <w:tc>
          <w:tcPr>
            <w:tcW w:w="4065" w:type="dxa"/>
          </w:tcPr>
          <w:p w:rsidR="007D42D1" w:rsidRPr="000F5A61" w:rsidRDefault="007D42D1" w:rsidP="00D36820">
            <w:pPr>
              <w:spacing w:after="160" w:line="259" w:lineRule="auto"/>
              <w:rPr>
                <w:rFonts w:ascii="Arial" w:hAnsi="Arial"/>
                <w:b/>
              </w:rPr>
            </w:pPr>
            <w:r w:rsidRPr="00B1785B">
              <w:rPr>
                <w:rFonts w:ascii="Arial" w:hAnsi="Arial"/>
                <w:b/>
              </w:rPr>
              <w:t>High:</w:t>
            </w:r>
            <w:r w:rsidRPr="00B1785B">
              <w:rPr>
                <w:rFonts w:ascii="Arial" w:hAnsi="Arial"/>
              </w:rPr>
              <w:t xml:space="preserve"> On-going longitudinal surveys of vector distribution, abundance and bionomics in Y2&amp;3.</w:t>
            </w:r>
          </w:p>
        </w:tc>
      </w:tr>
      <w:tr w:rsidR="007D42D1" w:rsidRPr="000F5A61" w:rsidTr="00D36820">
        <w:trPr>
          <w:trHeight w:val="400"/>
        </w:trPr>
        <w:tc>
          <w:tcPr>
            <w:tcW w:w="1684" w:type="dxa"/>
            <w:vAlign w:val="center"/>
          </w:tcPr>
          <w:p w:rsidR="007D42D1" w:rsidRPr="000F5A61" w:rsidRDefault="007D42D1" w:rsidP="00D36820">
            <w:pPr>
              <w:rPr>
                <w:rFonts w:ascii="Arial" w:hAnsi="Arial"/>
              </w:rPr>
            </w:pPr>
            <w:r w:rsidRPr="000F5A61">
              <w:rPr>
                <w:rFonts w:ascii="Arial" w:hAnsi="Arial"/>
              </w:rPr>
              <w:t xml:space="preserve">Health information systems and </w:t>
            </w:r>
            <w:r w:rsidRPr="000F5A61">
              <w:rPr>
                <w:rFonts w:ascii="Arial" w:hAnsi="Arial"/>
              </w:rPr>
              <w:lastRenderedPageBreak/>
              <w:t>M&amp;E</w:t>
            </w:r>
          </w:p>
        </w:tc>
        <w:tc>
          <w:tcPr>
            <w:tcW w:w="1965" w:type="dxa"/>
          </w:tcPr>
          <w:p w:rsidR="007D42D1" w:rsidRDefault="007D42D1" w:rsidP="00D36820">
            <w:pPr>
              <w:rPr>
                <w:rFonts w:ascii="Arial" w:hAnsi="Arial"/>
              </w:rPr>
            </w:pPr>
            <w:r w:rsidRPr="000F5A61">
              <w:rPr>
                <w:rFonts w:ascii="Arial" w:hAnsi="Arial"/>
              </w:rPr>
              <w:lastRenderedPageBreak/>
              <w:t>Routine reporting</w:t>
            </w:r>
          </w:p>
          <w:p w:rsidR="007D42D1" w:rsidRDefault="007D42D1" w:rsidP="00D36820">
            <w:pPr>
              <w:rPr>
                <w:rFonts w:ascii="Arial" w:hAnsi="Arial"/>
              </w:rPr>
            </w:pPr>
          </w:p>
          <w:p w:rsidR="007D42D1" w:rsidRDefault="007D42D1" w:rsidP="00D36820">
            <w:pPr>
              <w:rPr>
                <w:rFonts w:ascii="Arial" w:hAnsi="Arial"/>
              </w:rPr>
            </w:pPr>
          </w:p>
          <w:p w:rsidR="007D42D1" w:rsidRDefault="007D42D1" w:rsidP="00D36820">
            <w:pPr>
              <w:rPr>
                <w:rFonts w:ascii="Arial" w:hAnsi="Arial"/>
              </w:rPr>
            </w:pPr>
          </w:p>
          <w:p w:rsidR="007D42D1" w:rsidRDefault="007D42D1" w:rsidP="00D36820">
            <w:pPr>
              <w:rPr>
                <w:rFonts w:ascii="Arial" w:hAnsi="Arial"/>
              </w:rPr>
            </w:pPr>
          </w:p>
          <w:p w:rsidR="007D42D1" w:rsidRPr="000F5A61" w:rsidRDefault="007D42D1" w:rsidP="00D36820">
            <w:pPr>
              <w:rPr>
                <w:rFonts w:ascii="Arial" w:hAnsi="Arial"/>
              </w:rPr>
            </w:pPr>
            <w:r w:rsidRPr="000F5A61">
              <w:rPr>
                <w:rFonts w:ascii="Arial" w:hAnsi="Arial"/>
              </w:rPr>
              <w:t>Surveys</w:t>
            </w:r>
          </w:p>
        </w:tc>
        <w:tc>
          <w:tcPr>
            <w:tcW w:w="1495" w:type="dxa"/>
          </w:tcPr>
          <w:p w:rsidR="007D42D1" w:rsidRDefault="007D42D1" w:rsidP="00D36820">
            <w:pPr>
              <w:rPr>
                <w:rFonts w:ascii="Arial" w:hAnsi="Arial"/>
                <w:lang w:val="en-US" w:eastAsia="en-US"/>
              </w:rPr>
            </w:pPr>
            <w:r w:rsidRPr="000F5A61">
              <w:rPr>
                <w:rFonts w:ascii="Arial" w:hAnsi="Arial"/>
                <w:lang w:val="en-US" w:eastAsia="en-US"/>
              </w:rPr>
              <w:lastRenderedPageBreak/>
              <w:t>US$11,638</w:t>
            </w:r>
          </w:p>
          <w:p w:rsidR="007D42D1" w:rsidRDefault="007D42D1" w:rsidP="00D36820">
            <w:pPr>
              <w:rPr>
                <w:rFonts w:ascii="Arial" w:hAnsi="Arial"/>
                <w:lang w:val="en-US" w:eastAsia="en-US"/>
              </w:rPr>
            </w:pPr>
          </w:p>
          <w:p w:rsidR="007D42D1" w:rsidRDefault="007D42D1" w:rsidP="00D36820">
            <w:pPr>
              <w:rPr>
                <w:rFonts w:ascii="Arial" w:hAnsi="Arial"/>
                <w:lang w:val="en-US" w:eastAsia="en-US"/>
              </w:rPr>
            </w:pPr>
          </w:p>
          <w:p w:rsidR="007D42D1" w:rsidRPr="000F5A61" w:rsidRDefault="007D42D1" w:rsidP="00D36820">
            <w:pPr>
              <w:rPr>
                <w:rFonts w:ascii="Arial" w:hAnsi="Arial"/>
                <w:lang w:val="en-US" w:eastAsia="en-US"/>
              </w:rPr>
            </w:pPr>
          </w:p>
          <w:p w:rsidR="007D42D1" w:rsidRDefault="007D42D1" w:rsidP="00D36820">
            <w:pPr>
              <w:rPr>
                <w:rFonts w:ascii="Arial" w:hAnsi="Arial"/>
                <w:lang w:val="en-US" w:eastAsia="en-US"/>
              </w:rPr>
            </w:pPr>
          </w:p>
          <w:p w:rsidR="007D42D1" w:rsidRPr="000F5A61" w:rsidRDefault="007D42D1" w:rsidP="00D36820">
            <w:pPr>
              <w:rPr>
                <w:rFonts w:ascii="Arial" w:hAnsi="Arial"/>
                <w:lang w:val="en-US" w:eastAsia="en-US"/>
              </w:rPr>
            </w:pPr>
            <w:r w:rsidRPr="000F5A61">
              <w:rPr>
                <w:rFonts w:ascii="Arial" w:hAnsi="Arial"/>
                <w:lang w:val="en-US" w:eastAsia="en-US"/>
              </w:rPr>
              <w:t>US$33,428</w:t>
            </w:r>
          </w:p>
          <w:p w:rsidR="007D42D1" w:rsidRPr="000F5A61" w:rsidRDefault="007D42D1" w:rsidP="00D36820">
            <w:pPr>
              <w:rPr>
                <w:rFonts w:ascii="Arial" w:hAnsi="Arial"/>
                <w:lang w:val="en-US"/>
              </w:rPr>
            </w:pPr>
          </w:p>
        </w:tc>
        <w:tc>
          <w:tcPr>
            <w:tcW w:w="4065" w:type="dxa"/>
          </w:tcPr>
          <w:p w:rsidR="007D42D1" w:rsidRDefault="007D42D1" w:rsidP="00D36820">
            <w:pPr>
              <w:rPr>
                <w:rFonts w:ascii="Arial" w:hAnsi="Arial"/>
              </w:rPr>
            </w:pPr>
            <w:r w:rsidRPr="00B1785B">
              <w:rPr>
                <w:rFonts w:ascii="Arial" w:hAnsi="Arial"/>
                <w:b/>
                <w:lang w:val="en-US"/>
              </w:rPr>
              <w:lastRenderedPageBreak/>
              <w:t xml:space="preserve">High: </w:t>
            </w:r>
            <w:r w:rsidRPr="00B1785B">
              <w:rPr>
                <w:rFonts w:ascii="Arial" w:hAnsi="Arial"/>
              </w:rPr>
              <w:t xml:space="preserve">Training on database management and data analysis at Central and peripheral levels to strengthen technical capacity in </w:t>
            </w:r>
            <w:r w:rsidRPr="00B1785B">
              <w:rPr>
                <w:rFonts w:ascii="Arial" w:hAnsi="Arial"/>
              </w:rPr>
              <w:lastRenderedPageBreak/>
              <w:t xml:space="preserve">support of elimination. </w:t>
            </w:r>
          </w:p>
          <w:p w:rsidR="007D42D1" w:rsidRPr="00B1785B" w:rsidRDefault="007D42D1" w:rsidP="00D36820">
            <w:pPr>
              <w:rPr>
                <w:rFonts w:ascii="Arial" w:hAnsi="Arial"/>
              </w:rPr>
            </w:pPr>
          </w:p>
          <w:p w:rsidR="007D42D1" w:rsidRPr="001B32A0" w:rsidRDefault="007D42D1" w:rsidP="00D36820">
            <w:pPr>
              <w:spacing w:after="160" w:line="259" w:lineRule="auto"/>
              <w:rPr>
                <w:rFonts w:ascii="Arial" w:hAnsi="Arial"/>
              </w:rPr>
            </w:pPr>
            <w:r w:rsidRPr="000F5A61">
              <w:rPr>
                <w:rFonts w:ascii="Arial" w:hAnsi="Arial"/>
                <w:b/>
              </w:rPr>
              <w:t>High</w:t>
            </w:r>
            <w:r w:rsidRPr="000F5A61">
              <w:rPr>
                <w:rFonts w:ascii="Arial" w:hAnsi="Arial"/>
              </w:rPr>
              <w:t xml:space="preserve">: </w:t>
            </w:r>
            <w:r w:rsidRPr="00B1785B">
              <w:rPr>
                <w:rFonts w:ascii="Arial" w:hAnsi="Arial"/>
              </w:rPr>
              <w:t>External program evaluation to review progress and inform programme direction (Y3).</w:t>
            </w:r>
          </w:p>
        </w:tc>
      </w:tr>
      <w:tr w:rsidR="007D42D1" w:rsidRPr="000F5A61" w:rsidTr="00D36820">
        <w:trPr>
          <w:trHeight w:val="400"/>
        </w:trPr>
        <w:tc>
          <w:tcPr>
            <w:tcW w:w="1684" w:type="dxa"/>
            <w:vAlign w:val="center"/>
          </w:tcPr>
          <w:p w:rsidR="007D42D1" w:rsidRPr="000F5A61" w:rsidRDefault="007D42D1" w:rsidP="00D36820">
            <w:pPr>
              <w:spacing w:after="160" w:line="259" w:lineRule="auto"/>
              <w:rPr>
                <w:rFonts w:ascii="Arial" w:hAnsi="Arial"/>
                <w:lang w:val="en-US"/>
              </w:rPr>
            </w:pPr>
            <w:r w:rsidRPr="000F5A61">
              <w:rPr>
                <w:rFonts w:ascii="Arial" w:hAnsi="Arial"/>
              </w:rPr>
              <w:lastRenderedPageBreak/>
              <w:t>Program management</w:t>
            </w:r>
          </w:p>
        </w:tc>
        <w:tc>
          <w:tcPr>
            <w:tcW w:w="1965" w:type="dxa"/>
          </w:tcPr>
          <w:p w:rsidR="007D42D1" w:rsidRPr="000F5A61" w:rsidRDefault="007D42D1" w:rsidP="00D36820">
            <w:pPr>
              <w:spacing w:after="160" w:line="259" w:lineRule="auto"/>
              <w:rPr>
                <w:rFonts w:ascii="Arial" w:hAnsi="Arial"/>
                <w:lang w:val="en-US"/>
              </w:rPr>
            </w:pPr>
            <w:r w:rsidRPr="000F5A61">
              <w:rPr>
                <w:rFonts w:ascii="Arial" w:hAnsi="Arial"/>
              </w:rPr>
              <w:t>Policy, planning, coordination and management</w:t>
            </w:r>
          </w:p>
        </w:tc>
        <w:tc>
          <w:tcPr>
            <w:tcW w:w="1495" w:type="dxa"/>
          </w:tcPr>
          <w:p w:rsidR="007D42D1" w:rsidRPr="000F5A61" w:rsidRDefault="007D42D1" w:rsidP="00D36820">
            <w:pPr>
              <w:spacing w:after="160" w:line="259" w:lineRule="auto"/>
              <w:rPr>
                <w:rFonts w:ascii="Arial" w:hAnsi="Arial"/>
                <w:lang w:val="en-US" w:eastAsia="en-US"/>
              </w:rPr>
            </w:pPr>
            <w:r w:rsidRPr="000F5A61">
              <w:rPr>
                <w:rFonts w:ascii="Arial" w:hAnsi="Arial"/>
                <w:lang w:val="en-US"/>
              </w:rPr>
              <w:t>US$307,229</w:t>
            </w:r>
          </w:p>
        </w:tc>
        <w:tc>
          <w:tcPr>
            <w:tcW w:w="4065" w:type="dxa"/>
          </w:tcPr>
          <w:p w:rsidR="007D42D1" w:rsidRPr="00B1785B" w:rsidRDefault="007D42D1" w:rsidP="00D36820">
            <w:pPr>
              <w:spacing w:after="160" w:line="259" w:lineRule="auto"/>
              <w:rPr>
                <w:rFonts w:ascii="Arial" w:hAnsi="Arial"/>
              </w:rPr>
            </w:pPr>
            <w:r w:rsidRPr="000F5A61">
              <w:rPr>
                <w:rFonts w:ascii="Arial" w:hAnsi="Arial"/>
                <w:b/>
              </w:rPr>
              <w:t>High:</w:t>
            </w:r>
            <w:r w:rsidRPr="000F5A61">
              <w:rPr>
                <w:rFonts w:ascii="Arial" w:hAnsi="Arial"/>
              </w:rPr>
              <w:t xml:space="preserve"> International training on program reorientation towards malaria elimination; Capacity strengthening for malaria elimination by SMRU/WHO (this will upgrade the ToT and trickle down approach supported under the ‘within allocation’ amount, which was chosen for its economy</w:t>
            </w:r>
            <w:r w:rsidRPr="00B1785B">
              <w:rPr>
                <w:rFonts w:ascii="Arial" w:hAnsi="Arial"/>
              </w:rPr>
              <w:t>); Supply motorcycles, office furniture and equipment, computers band photocopier/printers; and, External program evaluation.</w:t>
            </w:r>
          </w:p>
        </w:tc>
      </w:tr>
      <w:tr w:rsidR="007D42D1" w:rsidRPr="000F5A61" w:rsidTr="00D36820">
        <w:trPr>
          <w:trHeight w:val="400"/>
        </w:trPr>
        <w:tc>
          <w:tcPr>
            <w:tcW w:w="1684" w:type="dxa"/>
            <w:vAlign w:val="center"/>
          </w:tcPr>
          <w:p w:rsidR="007D42D1" w:rsidRPr="000F5A61" w:rsidRDefault="007D42D1" w:rsidP="00D36820">
            <w:pPr>
              <w:spacing w:after="160" w:line="259" w:lineRule="auto"/>
              <w:rPr>
                <w:rFonts w:ascii="Arial" w:hAnsi="Arial"/>
                <w:lang w:val="en-US"/>
              </w:rPr>
            </w:pPr>
            <w:r w:rsidRPr="000F5A61">
              <w:rPr>
                <w:rFonts w:ascii="Arial" w:hAnsi="Arial"/>
              </w:rPr>
              <w:t>Health information systems and M&amp;E</w:t>
            </w:r>
          </w:p>
        </w:tc>
        <w:tc>
          <w:tcPr>
            <w:tcW w:w="1965" w:type="dxa"/>
          </w:tcPr>
          <w:p w:rsidR="007D42D1" w:rsidRPr="000F5A61" w:rsidRDefault="007D42D1" w:rsidP="00D36820">
            <w:pPr>
              <w:spacing w:after="160" w:line="259" w:lineRule="auto"/>
              <w:rPr>
                <w:rFonts w:ascii="Arial" w:hAnsi="Arial"/>
                <w:lang w:val="en-US"/>
              </w:rPr>
            </w:pPr>
            <w:r w:rsidRPr="000F5A61">
              <w:rPr>
                <w:rFonts w:ascii="Arial" w:hAnsi="Arial"/>
              </w:rPr>
              <w:t>Surveys</w:t>
            </w:r>
          </w:p>
        </w:tc>
        <w:tc>
          <w:tcPr>
            <w:tcW w:w="1495" w:type="dxa"/>
          </w:tcPr>
          <w:p w:rsidR="007D42D1" w:rsidRPr="000F5A61" w:rsidRDefault="007D42D1" w:rsidP="00D36820">
            <w:pPr>
              <w:spacing w:after="160" w:line="259" w:lineRule="auto"/>
              <w:rPr>
                <w:rFonts w:ascii="Arial" w:hAnsi="Arial"/>
                <w:lang w:val="en-US"/>
              </w:rPr>
            </w:pPr>
            <w:r w:rsidRPr="000F5A61">
              <w:rPr>
                <w:rFonts w:ascii="Arial" w:hAnsi="Arial"/>
                <w:lang w:val="en-US"/>
              </w:rPr>
              <w:t>US$73,533</w:t>
            </w:r>
          </w:p>
          <w:p w:rsidR="007D42D1" w:rsidRPr="000F5A61" w:rsidRDefault="007D42D1" w:rsidP="00D36820">
            <w:pPr>
              <w:spacing w:after="160" w:line="259" w:lineRule="auto"/>
              <w:rPr>
                <w:rFonts w:ascii="Arial" w:hAnsi="Arial"/>
                <w:lang w:val="en-US" w:eastAsia="en-US"/>
              </w:rPr>
            </w:pPr>
          </w:p>
          <w:p w:rsidR="007D42D1" w:rsidRPr="000F5A61" w:rsidRDefault="007D42D1" w:rsidP="00D36820">
            <w:pPr>
              <w:tabs>
                <w:tab w:val="center" w:pos="4513"/>
                <w:tab w:val="right" w:pos="9026"/>
              </w:tabs>
              <w:rPr>
                <w:rFonts w:ascii="Arial" w:hAnsi="Arial"/>
                <w:lang w:val="en-US"/>
              </w:rPr>
            </w:pPr>
          </w:p>
        </w:tc>
        <w:tc>
          <w:tcPr>
            <w:tcW w:w="4065" w:type="dxa"/>
          </w:tcPr>
          <w:p w:rsidR="007D42D1" w:rsidRPr="000F5A61" w:rsidRDefault="007D42D1" w:rsidP="00D36820">
            <w:pPr>
              <w:spacing w:after="160" w:line="259" w:lineRule="auto"/>
              <w:rPr>
                <w:rFonts w:ascii="Arial" w:hAnsi="Arial"/>
                <w:lang w:val="en-US"/>
              </w:rPr>
            </w:pPr>
            <w:r w:rsidRPr="000F5A61">
              <w:rPr>
                <w:rFonts w:ascii="Arial" w:hAnsi="Arial"/>
                <w:b/>
                <w:lang w:val="en-US"/>
              </w:rPr>
              <w:t xml:space="preserve">Medium: </w:t>
            </w:r>
            <w:r w:rsidRPr="000F5A61">
              <w:rPr>
                <w:rFonts w:ascii="Arial" w:hAnsi="Arial"/>
              </w:rPr>
              <w:t>Migrant mapping (in partnership with TU &amp; UCSF);</w:t>
            </w:r>
            <w:r w:rsidRPr="00B1785B">
              <w:rPr>
                <w:rFonts w:ascii="Arial" w:hAnsi="Arial"/>
              </w:rPr>
              <w:t>Facility- and community-based surveys (including LLIN utilisation) in different risk populations to inform programme direction.</w:t>
            </w:r>
          </w:p>
        </w:tc>
      </w:tr>
      <w:tr w:rsidR="007D42D1" w:rsidRPr="000F5A61" w:rsidTr="00D36820">
        <w:trPr>
          <w:trHeight w:val="400"/>
        </w:trPr>
        <w:tc>
          <w:tcPr>
            <w:tcW w:w="1684" w:type="dxa"/>
            <w:vAlign w:val="center"/>
          </w:tcPr>
          <w:p w:rsidR="007D42D1" w:rsidRPr="000F5A61" w:rsidRDefault="007D42D1" w:rsidP="00D36820">
            <w:pPr>
              <w:spacing w:after="160" w:line="259" w:lineRule="auto"/>
              <w:rPr>
                <w:rFonts w:ascii="Arial" w:hAnsi="Arial"/>
                <w:i/>
                <w:lang w:val="en-US" w:eastAsia="en-US"/>
              </w:rPr>
            </w:pPr>
            <w:r w:rsidRPr="000F5A61">
              <w:rPr>
                <w:rFonts w:ascii="Arial" w:hAnsi="Arial"/>
              </w:rPr>
              <w:t>Case management</w:t>
            </w:r>
          </w:p>
        </w:tc>
        <w:tc>
          <w:tcPr>
            <w:tcW w:w="1965" w:type="dxa"/>
          </w:tcPr>
          <w:p w:rsidR="007D42D1" w:rsidRDefault="007D42D1" w:rsidP="00D36820">
            <w:pPr>
              <w:spacing w:after="160" w:line="259" w:lineRule="auto"/>
              <w:rPr>
                <w:rFonts w:ascii="Arial" w:hAnsi="Arial"/>
              </w:rPr>
            </w:pPr>
            <w:r w:rsidRPr="000F5A61">
              <w:rPr>
                <w:rFonts w:ascii="Arial" w:hAnsi="Arial"/>
              </w:rPr>
              <w:t>PS case management (other)</w:t>
            </w:r>
          </w:p>
          <w:p w:rsidR="007D42D1" w:rsidRDefault="007D42D1" w:rsidP="00D36820">
            <w:pPr>
              <w:spacing w:after="160" w:line="259" w:lineRule="auto"/>
              <w:rPr>
                <w:rFonts w:ascii="Arial" w:hAnsi="Arial"/>
              </w:rPr>
            </w:pPr>
          </w:p>
          <w:p w:rsidR="007D42D1" w:rsidRDefault="007D42D1" w:rsidP="00D36820">
            <w:pPr>
              <w:spacing w:after="160" w:line="259" w:lineRule="auto"/>
              <w:rPr>
                <w:rFonts w:ascii="Arial" w:hAnsi="Arial"/>
              </w:rPr>
            </w:pPr>
            <w:r w:rsidRPr="000F5A61">
              <w:rPr>
                <w:rFonts w:ascii="Arial" w:hAnsi="Arial"/>
              </w:rPr>
              <w:t>Ensuring drug quality</w:t>
            </w:r>
          </w:p>
          <w:p w:rsidR="007D42D1" w:rsidRPr="000F5A61" w:rsidRDefault="007D42D1" w:rsidP="00D36820">
            <w:pPr>
              <w:spacing w:after="160" w:line="259" w:lineRule="auto"/>
              <w:rPr>
                <w:rFonts w:ascii="Arial" w:hAnsi="Arial"/>
                <w:lang w:val="en-US"/>
              </w:rPr>
            </w:pPr>
            <w:r w:rsidRPr="000F5A61">
              <w:rPr>
                <w:rFonts w:ascii="Arial" w:hAnsi="Arial"/>
              </w:rPr>
              <w:t>Facility-based treatment</w:t>
            </w:r>
          </w:p>
        </w:tc>
        <w:tc>
          <w:tcPr>
            <w:tcW w:w="1495" w:type="dxa"/>
          </w:tcPr>
          <w:p w:rsidR="007D42D1" w:rsidRDefault="007D42D1" w:rsidP="00D36820">
            <w:pPr>
              <w:spacing w:after="160" w:line="259" w:lineRule="auto"/>
              <w:rPr>
                <w:rFonts w:ascii="Arial" w:hAnsi="Arial"/>
                <w:lang w:val="en-US"/>
              </w:rPr>
            </w:pPr>
            <w:r w:rsidRPr="000F5A61">
              <w:rPr>
                <w:rFonts w:ascii="Arial" w:hAnsi="Arial"/>
                <w:lang w:val="en-US"/>
              </w:rPr>
              <w:t>US$35,162</w:t>
            </w:r>
          </w:p>
          <w:p w:rsidR="007D42D1" w:rsidRDefault="007D42D1" w:rsidP="00D36820">
            <w:pPr>
              <w:spacing w:after="160" w:line="259" w:lineRule="auto"/>
              <w:rPr>
                <w:rFonts w:ascii="Arial" w:hAnsi="Arial"/>
                <w:lang w:val="en-US"/>
              </w:rPr>
            </w:pPr>
          </w:p>
          <w:p w:rsidR="007D42D1" w:rsidRDefault="007D42D1" w:rsidP="00D36820">
            <w:pPr>
              <w:spacing w:after="160" w:line="259" w:lineRule="auto"/>
              <w:rPr>
                <w:rFonts w:ascii="Arial" w:hAnsi="Arial"/>
                <w:lang w:val="en-US"/>
              </w:rPr>
            </w:pPr>
          </w:p>
          <w:p w:rsidR="007D42D1" w:rsidRDefault="007D42D1" w:rsidP="00D36820">
            <w:pPr>
              <w:spacing w:after="160" w:line="259" w:lineRule="auto"/>
              <w:rPr>
                <w:rFonts w:ascii="Arial" w:hAnsi="Arial"/>
                <w:lang w:val="en-US" w:eastAsia="en-US"/>
              </w:rPr>
            </w:pPr>
            <w:r w:rsidRPr="000F5A61">
              <w:rPr>
                <w:rFonts w:ascii="Arial" w:hAnsi="Arial"/>
                <w:lang w:val="en-US" w:eastAsia="en-US"/>
              </w:rPr>
              <w:t>US$11,742</w:t>
            </w:r>
          </w:p>
          <w:p w:rsidR="007D42D1" w:rsidRDefault="007D42D1" w:rsidP="00D36820">
            <w:pPr>
              <w:spacing w:after="160" w:line="259" w:lineRule="auto"/>
              <w:rPr>
                <w:rFonts w:ascii="Arial" w:hAnsi="Arial"/>
                <w:lang w:val="en-US"/>
              </w:rPr>
            </w:pPr>
          </w:p>
          <w:p w:rsidR="007D42D1" w:rsidRPr="000F5A61" w:rsidRDefault="007D42D1" w:rsidP="00D36820">
            <w:pPr>
              <w:spacing w:after="160" w:line="259" w:lineRule="auto"/>
              <w:rPr>
                <w:rFonts w:ascii="Arial" w:hAnsi="Arial"/>
                <w:lang w:val="en-US" w:eastAsia="en-US"/>
              </w:rPr>
            </w:pPr>
            <w:r w:rsidRPr="000F5A61">
              <w:rPr>
                <w:rFonts w:ascii="Arial" w:hAnsi="Arial"/>
                <w:lang w:val="en-US"/>
              </w:rPr>
              <w:t>US$34,440</w:t>
            </w:r>
          </w:p>
        </w:tc>
        <w:tc>
          <w:tcPr>
            <w:tcW w:w="4065" w:type="dxa"/>
          </w:tcPr>
          <w:p w:rsidR="007D42D1" w:rsidRDefault="007D42D1" w:rsidP="00D36820">
            <w:pPr>
              <w:spacing w:after="160" w:line="259" w:lineRule="auto"/>
              <w:rPr>
                <w:rFonts w:ascii="Arial" w:hAnsi="Arial"/>
              </w:rPr>
            </w:pPr>
            <w:r w:rsidRPr="000F5A61">
              <w:rPr>
                <w:rFonts w:ascii="Arial" w:hAnsi="Arial"/>
                <w:b/>
              </w:rPr>
              <w:t>Medium</w:t>
            </w:r>
            <w:r w:rsidRPr="00B1785B">
              <w:rPr>
                <w:rFonts w:ascii="Arial" w:hAnsi="Arial"/>
              </w:rPr>
              <w:t xml:space="preserve">: </w:t>
            </w:r>
            <w:r w:rsidRPr="000F5A61">
              <w:rPr>
                <w:rFonts w:ascii="Arial" w:hAnsi="Arial"/>
              </w:rPr>
              <w:t>Training of other private sector service providers (pharmacies, private companies and selected drug vendors) on National Treatment Protocol.</w:t>
            </w:r>
          </w:p>
          <w:p w:rsidR="007D42D1" w:rsidRDefault="007D42D1" w:rsidP="00D36820">
            <w:pPr>
              <w:spacing w:after="160" w:line="259" w:lineRule="auto"/>
              <w:rPr>
                <w:rFonts w:ascii="Arial" w:hAnsi="Arial"/>
              </w:rPr>
            </w:pPr>
            <w:r w:rsidRPr="000F5A61">
              <w:rPr>
                <w:rFonts w:ascii="Arial" w:hAnsi="Arial"/>
                <w:b/>
              </w:rPr>
              <w:t>Medium</w:t>
            </w:r>
            <w:r w:rsidRPr="000F5A61">
              <w:rPr>
                <w:rFonts w:ascii="Arial" w:hAnsi="Arial"/>
              </w:rPr>
              <w:t xml:space="preserve">: </w:t>
            </w:r>
            <w:r w:rsidRPr="00B1785B">
              <w:rPr>
                <w:rFonts w:ascii="Arial" w:hAnsi="Arial"/>
              </w:rPr>
              <w:t>Support facility visits by enforcement teams in cases where inappropriate drugs are identified.</w:t>
            </w:r>
          </w:p>
          <w:p w:rsidR="007D42D1" w:rsidRPr="00FF61D0" w:rsidRDefault="007D42D1" w:rsidP="00D36820">
            <w:pPr>
              <w:spacing w:after="160" w:line="259" w:lineRule="auto"/>
              <w:rPr>
                <w:rFonts w:ascii="Arial" w:hAnsi="Arial"/>
                <w:b/>
                <w:lang w:eastAsia="en-US"/>
              </w:rPr>
            </w:pPr>
            <w:r w:rsidRPr="000F5A61">
              <w:rPr>
                <w:rFonts w:ascii="Arial" w:hAnsi="Arial"/>
                <w:b/>
              </w:rPr>
              <w:t>Medium</w:t>
            </w:r>
            <w:r w:rsidRPr="000F5A61">
              <w:rPr>
                <w:rFonts w:ascii="Arial" w:hAnsi="Arial"/>
              </w:rPr>
              <w:t xml:space="preserve">: Procure and supply 15 new replacement microscopes (Y2); Refurbish Surkhet microscopy laboratory (Y2). </w:t>
            </w:r>
          </w:p>
        </w:tc>
      </w:tr>
      <w:tr w:rsidR="007D42D1" w:rsidRPr="000F5A61" w:rsidTr="00D36820">
        <w:trPr>
          <w:trHeight w:val="419"/>
        </w:trPr>
        <w:tc>
          <w:tcPr>
            <w:tcW w:w="1684" w:type="dxa"/>
            <w:vAlign w:val="center"/>
          </w:tcPr>
          <w:p w:rsidR="007D42D1" w:rsidRPr="000F5A61" w:rsidRDefault="007D42D1" w:rsidP="00D36820">
            <w:pPr>
              <w:spacing w:after="160" w:line="259" w:lineRule="auto"/>
              <w:rPr>
                <w:rFonts w:ascii="Arial" w:hAnsi="Arial"/>
                <w:lang w:val="en-US"/>
              </w:rPr>
            </w:pPr>
            <w:r w:rsidRPr="000F5A61">
              <w:rPr>
                <w:rFonts w:ascii="Arial" w:hAnsi="Arial"/>
              </w:rPr>
              <w:t>Vector control</w:t>
            </w:r>
          </w:p>
        </w:tc>
        <w:tc>
          <w:tcPr>
            <w:tcW w:w="1965" w:type="dxa"/>
          </w:tcPr>
          <w:p w:rsidR="007D42D1" w:rsidRDefault="007D42D1" w:rsidP="00D36820">
            <w:pPr>
              <w:spacing w:after="160" w:line="259" w:lineRule="auto"/>
              <w:rPr>
                <w:rFonts w:ascii="Arial" w:hAnsi="Arial"/>
              </w:rPr>
            </w:pPr>
            <w:r w:rsidRPr="000F5A61">
              <w:rPr>
                <w:rFonts w:ascii="Arial" w:hAnsi="Arial"/>
              </w:rPr>
              <w:t>Entomological monitoring</w:t>
            </w:r>
          </w:p>
          <w:p w:rsidR="007D42D1" w:rsidRDefault="007D42D1" w:rsidP="00D36820">
            <w:pPr>
              <w:spacing w:after="160" w:line="259" w:lineRule="auto"/>
              <w:rPr>
                <w:rFonts w:ascii="Arial" w:hAnsi="Arial"/>
              </w:rPr>
            </w:pPr>
          </w:p>
          <w:p w:rsidR="007D42D1" w:rsidRDefault="007D42D1" w:rsidP="00D36820">
            <w:pPr>
              <w:spacing w:after="160" w:line="259" w:lineRule="auto"/>
              <w:rPr>
                <w:rFonts w:ascii="Arial" w:hAnsi="Arial"/>
              </w:rPr>
            </w:pPr>
          </w:p>
          <w:p w:rsidR="007D42D1" w:rsidRPr="000F5A61" w:rsidRDefault="007D42D1" w:rsidP="00D36820">
            <w:pPr>
              <w:spacing w:after="160" w:line="259" w:lineRule="auto"/>
              <w:rPr>
                <w:rFonts w:ascii="Arial" w:hAnsi="Arial"/>
                <w:lang w:val="en-US"/>
              </w:rPr>
            </w:pPr>
            <w:r w:rsidRPr="000F5A61">
              <w:rPr>
                <w:rFonts w:ascii="Arial" w:hAnsi="Arial"/>
              </w:rPr>
              <w:t>Other vector control measures</w:t>
            </w:r>
          </w:p>
        </w:tc>
        <w:tc>
          <w:tcPr>
            <w:tcW w:w="1495" w:type="dxa"/>
          </w:tcPr>
          <w:p w:rsidR="007D42D1" w:rsidRDefault="007D42D1" w:rsidP="00D36820">
            <w:pPr>
              <w:spacing w:after="160" w:line="259" w:lineRule="auto"/>
              <w:rPr>
                <w:rFonts w:ascii="Arial" w:hAnsi="Arial"/>
                <w:lang w:val="en-US"/>
              </w:rPr>
            </w:pPr>
            <w:r w:rsidRPr="000F5A61">
              <w:rPr>
                <w:rFonts w:ascii="Arial" w:hAnsi="Arial"/>
                <w:lang w:val="en-US"/>
              </w:rPr>
              <w:t>US$61,050</w:t>
            </w:r>
          </w:p>
          <w:p w:rsidR="007D42D1" w:rsidRDefault="007D42D1" w:rsidP="00D36820">
            <w:pPr>
              <w:spacing w:after="160" w:line="259" w:lineRule="auto"/>
              <w:rPr>
                <w:rFonts w:ascii="Arial" w:hAnsi="Arial"/>
                <w:lang w:val="en-US"/>
              </w:rPr>
            </w:pPr>
          </w:p>
          <w:p w:rsidR="007D42D1" w:rsidRPr="000F5A61" w:rsidRDefault="007D42D1" w:rsidP="00D36820">
            <w:pPr>
              <w:spacing w:after="160" w:line="259" w:lineRule="auto"/>
              <w:rPr>
                <w:rFonts w:ascii="Arial" w:hAnsi="Arial"/>
                <w:lang w:val="en-US"/>
              </w:rPr>
            </w:pPr>
          </w:p>
          <w:p w:rsidR="007D42D1" w:rsidRDefault="007D42D1" w:rsidP="00D36820">
            <w:pPr>
              <w:rPr>
                <w:rFonts w:ascii="Arial" w:hAnsi="Arial"/>
                <w:lang w:val="en-US" w:eastAsia="en-US"/>
              </w:rPr>
            </w:pPr>
          </w:p>
          <w:p w:rsidR="007D42D1" w:rsidRPr="000F5A61" w:rsidRDefault="007D42D1" w:rsidP="00D36820">
            <w:pPr>
              <w:rPr>
                <w:rFonts w:ascii="Arial" w:hAnsi="Arial"/>
                <w:lang w:val="en-US"/>
              </w:rPr>
            </w:pPr>
            <w:r w:rsidRPr="000F5A61">
              <w:rPr>
                <w:rFonts w:ascii="Arial" w:hAnsi="Arial"/>
                <w:lang w:val="en-US" w:eastAsia="en-US"/>
              </w:rPr>
              <w:t>US$1,373</w:t>
            </w:r>
          </w:p>
        </w:tc>
        <w:tc>
          <w:tcPr>
            <w:tcW w:w="4065" w:type="dxa"/>
          </w:tcPr>
          <w:p w:rsidR="007D42D1" w:rsidRPr="000F5A61" w:rsidRDefault="007D42D1" w:rsidP="00D36820">
            <w:pPr>
              <w:spacing w:after="160" w:line="259" w:lineRule="auto"/>
              <w:rPr>
                <w:rFonts w:ascii="Arial" w:hAnsi="Arial"/>
                <w:b/>
                <w:lang w:val="en-US" w:eastAsia="en-US"/>
              </w:rPr>
            </w:pPr>
            <w:r w:rsidRPr="000F5A61">
              <w:rPr>
                <w:rFonts w:ascii="Arial" w:hAnsi="Arial"/>
                <w:b/>
                <w:lang w:val="en-US"/>
              </w:rPr>
              <w:t xml:space="preserve">Medium: </w:t>
            </w:r>
            <w:r w:rsidRPr="00B1785B">
              <w:rPr>
                <w:rFonts w:ascii="Arial" w:hAnsi="Arial"/>
              </w:rPr>
              <w:t>Provide training on basic malaria entomology for support workers to maximize capacity of entomological teams to support elimination.</w:t>
            </w:r>
          </w:p>
          <w:p w:rsidR="007D42D1" w:rsidRPr="000F5A61" w:rsidRDefault="007D42D1" w:rsidP="00D36820">
            <w:pPr>
              <w:spacing w:after="160" w:line="259" w:lineRule="auto"/>
              <w:rPr>
                <w:rFonts w:ascii="Arial" w:hAnsi="Arial"/>
                <w:lang w:val="en-US"/>
              </w:rPr>
            </w:pPr>
            <w:r w:rsidRPr="000F5A61">
              <w:rPr>
                <w:rFonts w:ascii="Arial" w:hAnsi="Arial"/>
                <w:b/>
                <w:lang w:val="en-US"/>
              </w:rPr>
              <w:t>Medium:</w:t>
            </w:r>
            <w:r w:rsidRPr="00B1785B">
              <w:rPr>
                <w:rFonts w:ascii="Arial" w:hAnsi="Arial"/>
              </w:rPr>
              <w:t>Larval source management where vector breeding sites are ‘few, fixed and findable’ in order to maximize cost effectiveness and sustainability of operations.</w:t>
            </w:r>
          </w:p>
        </w:tc>
      </w:tr>
      <w:tr w:rsidR="007D42D1" w:rsidRPr="000F5A61" w:rsidTr="00D36820">
        <w:trPr>
          <w:trHeight w:val="410"/>
        </w:trPr>
        <w:tc>
          <w:tcPr>
            <w:tcW w:w="1684" w:type="dxa"/>
            <w:vAlign w:val="center"/>
          </w:tcPr>
          <w:p w:rsidR="007D42D1" w:rsidRPr="000F5A61" w:rsidRDefault="007D42D1" w:rsidP="00D36820">
            <w:pPr>
              <w:spacing w:after="160" w:line="259" w:lineRule="auto"/>
              <w:rPr>
                <w:rFonts w:ascii="Arial" w:hAnsi="Arial"/>
                <w:lang w:val="en-US"/>
              </w:rPr>
            </w:pPr>
            <w:r w:rsidRPr="000F5A61">
              <w:rPr>
                <w:rFonts w:ascii="Arial" w:hAnsi="Arial"/>
              </w:rPr>
              <w:t>Program management</w:t>
            </w:r>
          </w:p>
        </w:tc>
        <w:tc>
          <w:tcPr>
            <w:tcW w:w="1965" w:type="dxa"/>
          </w:tcPr>
          <w:p w:rsidR="007D42D1" w:rsidRDefault="007D42D1" w:rsidP="00D36820">
            <w:pPr>
              <w:spacing w:after="160" w:line="259" w:lineRule="auto"/>
              <w:rPr>
                <w:rFonts w:ascii="Arial" w:hAnsi="Arial"/>
              </w:rPr>
            </w:pPr>
            <w:r w:rsidRPr="000F5A61">
              <w:rPr>
                <w:rFonts w:ascii="Arial" w:hAnsi="Arial"/>
              </w:rPr>
              <w:t>Supporting procurement and supply management</w:t>
            </w:r>
          </w:p>
          <w:p w:rsidR="00836DB5" w:rsidRDefault="00836DB5" w:rsidP="00D36820">
            <w:pPr>
              <w:spacing w:after="160" w:line="259" w:lineRule="auto"/>
              <w:rPr>
                <w:rFonts w:ascii="Arial" w:hAnsi="Arial"/>
              </w:rPr>
            </w:pPr>
          </w:p>
          <w:p w:rsidR="00836DB5" w:rsidRDefault="00836DB5" w:rsidP="00D36820">
            <w:pPr>
              <w:spacing w:after="160" w:line="259" w:lineRule="auto"/>
              <w:rPr>
                <w:rFonts w:ascii="Arial" w:hAnsi="Arial"/>
              </w:rPr>
            </w:pPr>
          </w:p>
          <w:p w:rsidR="007D42D1" w:rsidRDefault="00836DB5" w:rsidP="00D36820">
            <w:pPr>
              <w:spacing w:after="160" w:line="259" w:lineRule="auto"/>
              <w:rPr>
                <w:rFonts w:ascii="Arial" w:hAnsi="Arial"/>
              </w:rPr>
            </w:pPr>
            <w:r>
              <w:rPr>
                <w:rFonts w:ascii="Arial" w:hAnsi="Arial"/>
              </w:rPr>
              <w:t>P</w:t>
            </w:r>
            <w:r w:rsidR="007D42D1" w:rsidRPr="000F5A61">
              <w:rPr>
                <w:rFonts w:ascii="Arial" w:hAnsi="Arial"/>
              </w:rPr>
              <w:t xml:space="preserve">olicy, planning, coordination and </w:t>
            </w:r>
            <w:r w:rsidR="007D42D1" w:rsidRPr="000F5A61">
              <w:rPr>
                <w:rFonts w:ascii="Arial" w:hAnsi="Arial"/>
              </w:rPr>
              <w:lastRenderedPageBreak/>
              <w:t xml:space="preserve">management </w:t>
            </w:r>
          </w:p>
          <w:p w:rsidR="007D42D1" w:rsidRPr="000F5A61" w:rsidRDefault="007D42D1" w:rsidP="00D36820">
            <w:pPr>
              <w:rPr>
                <w:rFonts w:ascii="Arial" w:hAnsi="Arial"/>
                <w:lang w:val="en-US"/>
              </w:rPr>
            </w:pPr>
          </w:p>
        </w:tc>
        <w:tc>
          <w:tcPr>
            <w:tcW w:w="1495" w:type="dxa"/>
          </w:tcPr>
          <w:p w:rsidR="007D42D1" w:rsidRDefault="007D42D1" w:rsidP="00D36820">
            <w:pPr>
              <w:spacing w:after="160" w:line="259" w:lineRule="auto"/>
              <w:rPr>
                <w:rFonts w:ascii="Arial" w:hAnsi="Arial"/>
                <w:lang w:val="en-US" w:eastAsia="en-US"/>
              </w:rPr>
            </w:pPr>
            <w:r w:rsidRPr="000F5A61">
              <w:rPr>
                <w:rFonts w:ascii="Arial" w:hAnsi="Arial"/>
                <w:lang w:val="en-US" w:eastAsia="en-US"/>
              </w:rPr>
              <w:lastRenderedPageBreak/>
              <w:t>US$54,640</w:t>
            </w:r>
          </w:p>
          <w:p w:rsidR="007D42D1" w:rsidRDefault="007D42D1" w:rsidP="00D36820">
            <w:pPr>
              <w:spacing w:after="160" w:line="259" w:lineRule="auto"/>
              <w:rPr>
                <w:rFonts w:ascii="Arial" w:hAnsi="Arial"/>
                <w:lang w:val="en-US" w:eastAsia="en-US"/>
              </w:rPr>
            </w:pPr>
          </w:p>
          <w:p w:rsidR="007D42D1" w:rsidRDefault="007D42D1" w:rsidP="00D36820">
            <w:pPr>
              <w:spacing w:after="160" w:line="259" w:lineRule="auto"/>
              <w:rPr>
                <w:rFonts w:ascii="Arial" w:hAnsi="Arial"/>
                <w:lang w:val="en-US" w:eastAsia="en-US"/>
              </w:rPr>
            </w:pPr>
          </w:p>
          <w:p w:rsidR="007D42D1" w:rsidRDefault="007D42D1" w:rsidP="00D36820">
            <w:pPr>
              <w:spacing w:after="160" w:line="259" w:lineRule="auto"/>
              <w:rPr>
                <w:rFonts w:ascii="Arial" w:hAnsi="Arial"/>
                <w:lang w:val="en-US" w:eastAsia="en-US"/>
              </w:rPr>
            </w:pPr>
          </w:p>
          <w:p w:rsidR="007D42D1" w:rsidRDefault="007D42D1" w:rsidP="00D36820">
            <w:pPr>
              <w:spacing w:after="160" w:line="259" w:lineRule="auto"/>
              <w:rPr>
                <w:rFonts w:ascii="Arial" w:hAnsi="Arial"/>
                <w:lang w:val="en-US" w:eastAsia="en-US"/>
              </w:rPr>
            </w:pPr>
          </w:p>
          <w:p w:rsidR="007D42D1" w:rsidRDefault="007D42D1" w:rsidP="00D36820">
            <w:pPr>
              <w:spacing w:after="160" w:line="259" w:lineRule="auto"/>
              <w:rPr>
                <w:rFonts w:ascii="Arial" w:hAnsi="Arial"/>
                <w:lang w:val="en-US" w:eastAsia="en-US"/>
              </w:rPr>
            </w:pPr>
          </w:p>
          <w:p w:rsidR="007D42D1" w:rsidRDefault="007D42D1" w:rsidP="00D36820">
            <w:pPr>
              <w:spacing w:after="160" w:line="259" w:lineRule="auto"/>
              <w:rPr>
                <w:rFonts w:ascii="Arial" w:hAnsi="Arial"/>
                <w:lang w:val="en-US"/>
              </w:rPr>
            </w:pPr>
            <w:r>
              <w:rPr>
                <w:rFonts w:ascii="Arial" w:hAnsi="Arial"/>
                <w:lang w:val="en-US"/>
              </w:rPr>
              <w:lastRenderedPageBreak/>
              <w:t>US$300,8</w:t>
            </w:r>
            <w:r w:rsidR="00836DB5">
              <w:rPr>
                <w:rFonts w:ascii="Arial" w:hAnsi="Arial"/>
                <w:lang w:val="en-US"/>
              </w:rPr>
              <w:t>39</w:t>
            </w:r>
          </w:p>
          <w:p w:rsidR="007D42D1" w:rsidRDefault="007D42D1" w:rsidP="00D36820">
            <w:pPr>
              <w:spacing w:after="160" w:line="259" w:lineRule="auto"/>
              <w:rPr>
                <w:rFonts w:ascii="Arial" w:hAnsi="Arial"/>
                <w:lang w:val="en-US"/>
              </w:rPr>
            </w:pPr>
          </w:p>
          <w:p w:rsidR="007D42D1" w:rsidRDefault="007D42D1" w:rsidP="00D36820">
            <w:pPr>
              <w:spacing w:after="160" w:line="259" w:lineRule="auto"/>
              <w:rPr>
                <w:rFonts w:ascii="Arial" w:hAnsi="Arial"/>
                <w:lang w:val="en-US"/>
              </w:rPr>
            </w:pPr>
          </w:p>
          <w:p w:rsidR="007D42D1" w:rsidRPr="000F5A61" w:rsidRDefault="007D42D1" w:rsidP="00D36820">
            <w:pPr>
              <w:spacing w:after="160" w:line="259" w:lineRule="auto"/>
              <w:rPr>
                <w:rFonts w:ascii="Arial" w:hAnsi="Arial"/>
                <w:lang w:val="en-US"/>
              </w:rPr>
            </w:pPr>
            <w:r w:rsidRPr="000F5A61">
              <w:rPr>
                <w:rFonts w:ascii="Arial" w:hAnsi="Arial"/>
                <w:lang w:val="en-US"/>
              </w:rPr>
              <w:t>US$10,512</w:t>
            </w:r>
          </w:p>
        </w:tc>
        <w:tc>
          <w:tcPr>
            <w:tcW w:w="4065" w:type="dxa"/>
          </w:tcPr>
          <w:p w:rsidR="007D42D1" w:rsidRDefault="007D42D1" w:rsidP="00D36820">
            <w:pPr>
              <w:spacing w:after="160" w:line="259" w:lineRule="auto"/>
              <w:rPr>
                <w:rFonts w:ascii="Arial" w:hAnsi="Arial"/>
              </w:rPr>
            </w:pPr>
            <w:r w:rsidRPr="000F5A61">
              <w:rPr>
                <w:rFonts w:ascii="Arial" w:hAnsi="Arial"/>
                <w:b/>
                <w:lang w:val="en-US"/>
              </w:rPr>
              <w:lastRenderedPageBreak/>
              <w:t>Medium:</w:t>
            </w:r>
            <w:r w:rsidRPr="000F5A61">
              <w:rPr>
                <w:rFonts w:ascii="Arial" w:hAnsi="Arial"/>
              </w:rPr>
              <w:t xml:space="preserve"> Support QA/QC of Health Product/Pharmaceuticals (as per GFATM rules); </w:t>
            </w:r>
            <w:r w:rsidRPr="00B1785B">
              <w:rPr>
                <w:rFonts w:ascii="Arial" w:hAnsi="Arial"/>
              </w:rPr>
              <w:t>Provide LMIS training workshops for RHDs, DHOs, DPHO, storekeepers, accountants and other officers for GFATM activities to strengthen capacity in-line with the additional workload associated with elimination.</w:t>
            </w:r>
          </w:p>
          <w:p w:rsidR="007D42D1" w:rsidRDefault="007D42D1" w:rsidP="00D36820">
            <w:pPr>
              <w:spacing w:after="160" w:line="259" w:lineRule="auto"/>
              <w:rPr>
                <w:rFonts w:ascii="Arial" w:hAnsi="Arial"/>
                <w:b/>
              </w:rPr>
            </w:pPr>
            <w:r>
              <w:rPr>
                <w:rFonts w:ascii="Arial" w:hAnsi="Arial"/>
                <w:b/>
              </w:rPr>
              <w:t xml:space="preserve">Medium: </w:t>
            </w:r>
            <w:r w:rsidRPr="007406FA">
              <w:rPr>
                <w:rFonts w:ascii="Arial" w:hAnsi="Arial"/>
                <w:bCs/>
              </w:rPr>
              <w:t>Orientation meeting</w:t>
            </w:r>
            <w:r>
              <w:rPr>
                <w:rFonts w:ascii="Arial" w:hAnsi="Arial"/>
                <w:bCs/>
              </w:rPr>
              <w:t>s/trainings</w:t>
            </w:r>
            <w:r w:rsidRPr="007406FA">
              <w:rPr>
                <w:rFonts w:ascii="Arial" w:hAnsi="Arial"/>
                <w:bCs/>
              </w:rPr>
              <w:t xml:space="preserve"> for community involvement in malaria </w:t>
            </w:r>
            <w:r w:rsidRPr="007406FA">
              <w:rPr>
                <w:rFonts w:ascii="Arial" w:hAnsi="Arial"/>
                <w:bCs/>
              </w:rPr>
              <w:lastRenderedPageBreak/>
              <w:t>elimination</w:t>
            </w:r>
            <w:r>
              <w:rPr>
                <w:rFonts w:ascii="Arial" w:hAnsi="Arial"/>
                <w:bCs/>
              </w:rPr>
              <w:t xml:space="preserve"> (massive scale-up of </w:t>
            </w:r>
            <w:r w:rsidRPr="000F5A61">
              <w:rPr>
                <w:rFonts w:ascii="Arial" w:hAnsi="Arial"/>
              </w:rPr>
              <w:t>approach supported under the ‘within allocation’ amount</w:t>
            </w:r>
            <w:r>
              <w:rPr>
                <w:rFonts w:ascii="Arial" w:hAnsi="Arial"/>
              </w:rPr>
              <w:t>).</w:t>
            </w:r>
          </w:p>
          <w:p w:rsidR="007D42D1" w:rsidRPr="000F5A61" w:rsidRDefault="007D42D1" w:rsidP="00D36820">
            <w:pPr>
              <w:spacing w:after="160" w:line="259" w:lineRule="auto"/>
              <w:rPr>
                <w:rFonts w:ascii="Arial" w:eastAsiaTheme="minorHAnsi" w:hAnsi="Arial"/>
                <w:lang w:eastAsia="en-US"/>
              </w:rPr>
            </w:pPr>
            <w:r w:rsidRPr="000F5A61">
              <w:rPr>
                <w:rFonts w:ascii="Arial" w:hAnsi="Arial"/>
                <w:b/>
              </w:rPr>
              <w:t>Medium</w:t>
            </w:r>
            <w:r w:rsidRPr="000F5A61">
              <w:rPr>
                <w:rFonts w:ascii="Arial" w:hAnsi="Arial"/>
              </w:rPr>
              <w:t xml:space="preserve">: </w:t>
            </w:r>
            <w:r w:rsidRPr="00B1785B">
              <w:rPr>
                <w:rFonts w:ascii="Arial" w:hAnsi="Arial"/>
              </w:rPr>
              <w:t>Prepare annual HR development plan.</w:t>
            </w:r>
          </w:p>
        </w:tc>
      </w:tr>
      <w:tr w:rsidR="007D42D1" w:rsidRPr="000F5A61" w:rsidTr="00D36820">
        <w:trPr>
          <w:trHeight w:val="410"/>
        </w:trPr>
        <w:tc>
          <w:tcPr>
            <w:tcW w:w="1684" w:type="dxa"/>
            <w:vAlign w:val="center"/>
          </w:tcPr>
          <w:p w:rsidR="007D42D1" w:rsidRPr="000F5A61" w:rsidRDefault="007D42D1" w:rsidP="00D36820">
            <w:pPr>
              <w:spacing w:after="160" w:line="259" w:lineRule="auto"/>
              <w:rPr>
                <w:rFonts w:ascii="Arial" w:hAnsi="Arial"/>
                <w:lang w:val="en-US"/>
              </w:rPr>
            </w:pPr>
            <w:r w:rsidRPr="000F5A61">
              <w:rPr>
                <w:rFonts w:ascii="Arial" w:hAnsi="Arial"/>
              </w:rPr>
              <w:lastRenderedPageBreak/>
              <w:t>Case management</w:t>
            </w:r>
          </w:p>
        </w:tc>
        <w:tc>
          <w:tcPr>
            <w:tcW w:w="1965" w:type="dxa"/>
          </w:tcPr>
          <w:p w:rsidR="007D42D1" w:rsidRPr="000F5A61" w:rsidRDefault="007D42D1" w:rsidP="00D36820">
            <w:pPr>
              <w:spacing w:after="160" w:line="259" w:lineRule="auto"/>
              <w:rPr>
                <w:rFonts w:ascii="Arial" w:hAnsi="Arial"/>
                <w:lang w:val="en-US"/>
              </w:rPr>
            </w:pPr>
            <w:r w:rsidRPr="000F5A61">
              <w:rPr>
                <w:rFonts w:ascii="Arial" w:hAnsi="Arial"/>
              </w:rPr>
              <w:t>IEC/BCC</w:t>
            </w:r>
          </w:p>
        </w:tc>
        <w:tc>
          <w:tcPr>
            <w:tcW w:w="1495" w:type="dxa"/>
          </w:tcPr>
          <w:p w:rsidR="007D42D1" w:rsidRDefault="007D42D1" w:rsidP="00D36820">
            <w:pPr>
              <w:spacing w:after="160" w:line="259" w:lineRule="auto"/>
              <w:rPr>
                <w:rFonts w:ascii="Arial" w:hAnsi="Arial"/>
                <w:lang w:val="en-US"/>
              </w:rPr>
            </w:pPr>
            <w:r w:rsidRPr="000F5A61">
              <w:rPr>
                <w:rFonts w:ascii="Arial" w:hAnsi="Arial"/>
                <w:lang w:val="en-US"/>
              </w:rPr>
              <w:t>US$351,696</w:t>
            </w:r>
          </w:p>
          <w:p w:rsidR="007D42D1" w:rsidRPr="000F5A61" w:rsidRDefault="007D42D1" w:rsidP="00D36820">
            <w:pPr>
              <w:spacing w:after="160" w:line="259" w:lineRule="auto"/>
              <w:rPr>
                <w:rFonts w:ascii="Arial" w:hAnsi="Arial"/>
                <w:lang w:val="en-US"/>
              </w:rPr>
            </w:pPr>
          </w:p>
        </w:tc>
        <w:tc>
          <w:tcPr>
            <w:tcW w:w="4065" w:type="dxa"/>
          </w:tcPr>
          <w:p w:rsidR="007D42D1" w:rsidRPr="000F5A61" w:rsidRDefault="007D42D1" w:rsidP="00D36820">
            <w:pPr>
              <w:spacing w:after="160" w:line="259" w:lineRule="auto"/>
              <w:rPr>
                <w:rFonts w:ascii="Arial" w:eastAsiaTheme="minorHAnsi" w:hAnsi="Arial"/>
                <w:lang w:eastAsia="en-US"/>
              </w:rPr>
            </w:pPr>
            <w:r w:rsidRPr="000F5A61">
              <w:rPr>
                <w:rFonts w:ascii="Arial" w:hAnsi="Arial"/>
                <w:b/>
                <w:lang w:val="en-US"/>
              </w:rPr>
              <w:t>Medium</w:t>
            </w:r>
            <w:r w:rsidRPr="000F5A61">
              <w:rPr>
                <w:rFonts w:ascii="Arial" w:hAnsi="Arial"/>
                <w:b/>
              </w:rPr>
              <w:t>:</w:t>
            </w:r>
            <w:r w:rsidRPr="000F5A61">
              <w:rPr>
                <w:rFonts w:ascii="Arial" w:hAnsi="Arial"/>
              </w:rPr>
              <w:t xml:space="preserve"> Support broadcasting of IEC messages over radio/FM.Hold regular orientation meetings to maximize community involvement in malaria elimination. </w:t>
            </w:r>
          </w:p>
        </w:tc>
      </w:tr>
      <w:tr w:rsidR="007D42D1" w:rsidRPr="000F5A61" w:rsidTr="00D36820">
        <w:trPr>
          <w:trHeight w:val="410"/>
        </w:trPr>
        <w:tc>
          <w:tcPr>
            <w:tcW w:w="1684" w:type="dxa"/>
            <w:vAlign w:val="center"/>
          </w:tcPr>
          <w:p w:rsidR="007D42D1" w:rsidRPr="000F5A61" w:rsidRDefault="007D42D1" w:rsidP="00D36820">
            <w:pPr>
              <w:spacing w:after="160" w:line="259" w:lineRule="auto"/>
              <w:rPr>
                <w:rFonts w:ascii="Arial" w:hAnsi="Arial"/>
                <w:lang w:val="en-US"/>
              </w:rPr>
            </w:pPr>
            <w:r w:rsidRPr="000F5A61">
              <w:rPr>
                <w:rFonts w:ascii="Arial" w:hAnsi="Arial"/>
              </w:rPr>
              <w:t>Health information systems and M&amp;E</w:t>
            </w:r>
          </w:p>
        </w:tc>
        <w:tc>
          <w:tcPr>
            <w:tcW w:w="1965" w:type="dxa"/>
          </w:tcPr>
          <w:p w:rsidR="007D42D1" w:rsidRPr="000F5A61" w:rsidRDefault="007D42D1" w:rsidP="00D36820">
            <w:pPr>
              <w:spacing w:after="160" w:line="259" w:lineRule="auto"/>
              <w:rPr>
                <w:rFonts w:ascii="Arial" w:hAnsi="Arial"/>
                <w:lang w:val="en-US"/>
              </w:rPr>
            </w:pPr>
            <w:r w:rsidRPr="000F5A61">
              <w:rPr>
                <w:rFonts w:ascii="Arial" w:hAnsi="Arial"/>
              </w:rPr>
              <w:t>Routine reporting</w:t>
            </w:r>
          </w:p>
        </w:tc>
        <w:tc>
          <w:tcPr>
            <w:tcW w:w="1495" w:type="dxa"/>
          </w:tcPr>
          <w:p w:rsidR="007D42D1" w:rsidRPr="000F5A61" w:rsidRDefault="007D42D1" w:rsidP="00D36820">
            <w:pPr>
              <w:spacing w:after="160" w:line="259" w:lineRule="auto"/>
              <w:rPr>
                <w:rFonts w:ascii="Arial" w:hAnsi="Arial"/>
                <w:lang w:val="en-US" w:eastAsia="en-US"/>
              </w:rPr>
            </w:pPr>
            <w:r w:rsidRPr="000F5A61">
              <w:rPr>
                <w:rFonts w:ascii="Arial" w:hAnsi="Arial"/>
                <w:lang w:val="en-US"/>
              </w:rPr>
              <w:t>US$283,538</w:t>
            </w:r>
          </w:p>
          <w:p w:rsidR="007D42D1" w:rsidRPr="000F5A61" w:rsidRDefault="007D42D1" w:rsidP="00D36820">
            <w:pPr>
              <w:tabs>
                <w:tab w:val="center" w:pos="4513"/>
                <w:tab w:val="right" w:pos="9026"/>
              </w:tabs>
              <w:spacing w:after="160" w:line="259" w:lineRule="auto"/>
              <w:rPr>
                <w:rFonts w:ascii="Arial" w:hAnsi="Arial"/>
                <w:lang w:val="en-US"/>
              </w:rPr>
            </w:pPr>
          </w:p>
        </w:tc>
        <w:tc>
          <w:tcPr>
            <w:tcW w:w="4065" w:type="dxa"/>
          </w:tcPr>
          <w:p w:rsidR="007D42D1" w:rsidRPr="000F5A61" w:rsidRDefault="007D42D1" w:rsidP="00D36820">
            <w:pPr>
              <w:spacing w:after="160" w:line="259" w:lineRule="auto"/>
              <w:rPr>
                <w:rFonts w:ascii="Arial" w:hAnsi="Arial"/>
                <w:b/>
                <w:lang w:val="en-US" w:eastAsia="en-US"/>
              </w:rPr>
            </w:pPr>
            <w:r w:rsidRPr="000F5A61">
              <w:rPr>
                <w:rFonts w:ascii="Arial" w:hAnsi="Arial"/>
                <w:b/>
                <w:lang w:val="en-US"/>
              </w:rPr>
              <w:t xml:space="preserve">Medium: </w:t>
            </w:r>
            <w:r w:rsidRPr="00B1785B">
              <w:rPr>
                <w:rFonts w:ascii="Arial" w:hAnsi="Arial"/>
              </w:rPr>
              <w:t>Procurement of mobile phones/tablets for electronic based malaria reporting.Mapping of all villages in endemic areas based on GIS.Training workshops to strengthen PSM, M&amp;E, finance and programme management.</w:t>
            </w:r>
          </w:p>
        </w:tc>
      </w:tr>
      <w:tr w:rsidR="007D42D1" w:rsidRPr="000F5A61" w:rsidTr="00D36820">
        <w:trPr>
          <w:trHeight w:val="410"/>
        </w:trPr>
        <w:tc>
          <w:tcPr>
            <w:tcW w:w="1684" w:type="dxa"/>
            <w:vAlign w:val="center"/>
          </w:tcPr>
          <w:p w:rsidR="007D42D1" w:rsidRPr="000F5A61" w:rsidRDefault="007D42D1" w:rsidP="00D36820">
            <w:pPr>
              <w:spacing w:after="160" w:line="259" w:lineRule="auto"/>
              <w:rPr>
                <w:rFonts w:ascii="Arial" w:hAnsi="Arial"/>
                <w:lang w:val="en-US"/>
              </w:rPr>
            </w:pPr>
            <w:r w:rsidRPr="000F5A61">
              <w:rPr>
                <w:rFonts w:ascii="Arial" w:hAnsi="Arial"/>
              </w:rPr>
              <w:t>Vector control</w:t>
            </w:r>
          </w:p>
        </w:tc>
        <w:tc>
          <w:tcPr>
            <w:tcW w:w="1965" w:type="dxa"/>
          </w:tcPr>
          <w:p w:rsidR="007D42D1" w:rsidRPr="000F5A61" w:rsidRDefault="007D42D1" w:rsidP="00D36820">
            <w:pPr>
              <w:spacing w:after="160" w:line="259" w:lineRule="auto"/>
              <w:rPr>
                <w:rFonts w:ascii="Arial" w:hAnsi="Arial"/>
                <w:lang w:val="en-US"/>
              </w:rPr>
            </w:pPr>
            <w:r w:rsidRPr="000F5A61">
              <w:rPr>
                <w:rFonts w:ascii="Arial" w:hAnsi="Arial"/>
              </w:rPr>
              <w:t>Entomological monitoring</w:t>
            </w:r>
          </w:p>
        </w:tc>
        <w:tc>
          <w:tcPr>
            <w:tcW w:w="1495" w:type="dxa"/>
          </w:tcPr>
          <w:p w:rsidR="007D42D1" w:rsidRPr="000F5A61" w:rsidRDefault="007D42D1" w:rsidP="00D36820">
            <w:pPr>
              <w:spacing w:after="160" w:line="259" w:lineRule="auto"/>
              <w:rPr>
                <w:rFonts w:ascii="Arial" w:hAnsi="Arial"/>
                <w:lang w:val="en-US"/>
              </w:rPr>
            </w:pPr>
            <w:r w:rsidRPr="000F5A61">
              <w:rPr>
                <w:rFonts w:ascii="Arial" w:hAnsi="Arial"/>
                <w:lang w:val="en-US"/>
              </w:rPr>
              <w:t>US$16,110</w:t>
            </w:r>
          </w:p>
        </w:tc>
        <w:tc>
          <w:tcPr>
            <w:tcW w:w="4065" w:type="dxa"/>
          </w:tcPr>
          <w:p w:rsidR="007D42D1" w:rsidRPr="000F5A61" w:rsidRDefault="007D42D1" w:rsidP="00D36820">
            <w:pPr>
              <w:spacing w:after="160" w:line="259" w:lineRule="auto"/>
              <w:rPr>
                <w:rFonts w:ascii="Arial" w:hAnsi="Arial"/>
                <w:lang w:val="en-US"/>
              </w:rPr>
            </w:pPr>
            <w:r w:rsidRPr="000F5A61">
              <w:rPr>
                <w:rFonts w:ascii="Arial" w:hAnsi="Arial"/>
                <w:b/>
                <w:lang w:val="en-US"/>
              </w:rPr>
              <w:t>Low:</w:t>
            </w:r>
            <w:r w:rsidRPr="00B1785B">
              <w:rPr>
                <w:rFonts w:ascii="Arial" w:hAnsi="Arial"/>
              </w:rPr>
              <w:t>Monitoring the durability and efficacy of LLINs to inform future procurement.</w:t>
            </w:r>
          </w:p>
        </w:tc>
      </w:tr>
      <w:tr w:rsidR="007D42D1" w:rsidRPr="000F5A61" w:rsidTr="00D36820">
        <w:trPr>
          <w:trHeight w:val="410"/>
        </w:trPr>
        <w:tc>
          <w:tcPr>
            <w:tcW w:w="1684" w:type="dxa"/>
            <w:vAlign w:val="center"/>
          </w:tcPr>
          <w:p w:rsidR="007D42D1" w:rsidRPr="000F5A61" w:rsidRDefault="007D42D1" w:rsidP="00D36820">
            <w:pPr>
              <w:rPr>
                <w:rFonts w:ascii="Arial" w:hAnsi="Arial"/>
              </w:rPr>
            </w:pPr>
            <w:r w:rsidRPr="000F5A61">
              <w:rPr>
                <w:rFonts w:ascii="Arial" w:hAnsi="Arial"/>
              </w:rPr>
              <w:t>Program management</w:t>
            </w:r>
          </w:p>
        </w:tc>
        <w:tc>
          <w:tcPr>
            <w:tcW w:w="1965" w:type="dxa"/>
          </w:tcPr>
          <w:p w:rsidR="007D42D1" w:rsidRPr="000F5A61" w:rsidRDefault="007D42D1" w:rsidP="00D36820">
            <w:pPr>
              <w:rPr>
                <w:rFonts w:ascii="Arial" w:hAnsi="Arial"/>
              </w:rPr>
            </w:pPr>
            <w:r w:rsidRPr="000F5A61">
              <w:rPr>
                <w:rFonts w:ascii="Arial" w:hAnsi="Arial"/>
              </w:rPr>
              <w:t>Policy, planning, coordination and management</w:t>
            </w:r>
          </w:p>
        </w:tc>
        <w:tc>
          <w:tcPr>
            <w:tcW w:w="1495" w:type="dxa"/>
          </w:tcPr>
          <w:p w:rsidR="007D42D1" w:rsidRDefault="007D42D1" w:rsidP="00D36820">
            <w:pPr>
              <w:rPr>
                <w:rFonts w:ascii="Arial" w:hAnsi="Arial"/>
                <w:lang w:val="en-US"/>
              </w:rPr>
            </w:pPr>
            <w:r w:rsidRPr="000F5A61">
              <w:rPr>
                <w:rFonts w:ascii="Arial" w:hAnsi="Arial"/>
                <w:lang w:val="en-US"/>
              </w:rPr>
              <w:t>US$2,044</w:t>
            </w:r>
          </w:p>
        </w:tc>
        <w:tc>
          <w:tcPr>
            <w:tcW w:w="4065" w:type="dxa"/>
          </w:tcPr>
          <w:p w:rsidR="007D42D1" w:rsidRDefault="007D42D1" w:rsidP="00D36820">
            <w:pPr>
              <w:rPr>
                <w:rFonts w:ascii="Arial" w:hAnsi="Arial"/>
                <w:b/>
              </w:rPr>
            </w:pPr>
            <w:r w:rsidRPr="000F5A61">
              <w:rPr>
                <w:rFonts w:ascii="Arial" w:hAnsi="Arial"/>
                <w:b/>
              </w:rPr>
              <w:t>Low</w:t>
            </w:r>
            <w:r w:rsidRPr="000F5A61">
              <w:rPr>
                <w:rFonts w:ascii="Arial" w:hAnsi="Arial"/>
              </w:rPr>
              <w:t>:</w:t>
            </w:r>
            <w:r w:rsidRPr="00B1785B">
              <w:rPr>
                <w:rFonts w:ascii="Arial" w:hAnsi="Arial"/>
              </w:rPr>
              <w:t xml:space="preserve"> Provide training on leadership and management at Central, Regional and District levels</w:t>
            </w:r>
          </w:p>
        </w:tc>
      </w:tr>
      <w:tr w:rsidR="007D42D1" w:rsidRPr="000F5A61" w:rsidTr="00D36820">
        <w:trPr>
          <w:trHeight w:val="410"/>
        </w:trPr>
        <w:tc>
          <w:tcPr>
            <w:tcW w:w="1684" w:type="dxa"/>
            <w:vAlign w:val="center"/>
          </w:tcPr>
          <w:p w:rsidR="007D42D1" w:rsidRPr="000F5A61" w:rsidRDefault="007D42D1" w:rsidP="00D36820">
            <w:pPr>
              <w:rPr>
                <w:rFonts w:ascii="Arial" w:hAnsi="Arial"/>
              </w:rPr>
            </w:pPr>
            <w:r w:rsidRPr="000F5A61">
              <w:rPr>
                <w:rFonts w:ascii="Arial" w:hAnsi="Arial"/>
              </w:rPr>
              <w:t>Case management</w:t>
            </w:r>
          </w:p>
        </w:tc>
        <w:tc>
          <w:tcPr>
            <w:tcW w:w="1965" w:type="dxa"/>
          </w:tcPr>
          <w:p w:rsidR="007D42D1" w:rsidRPr="000F5A61" w:rsidRDefault="007D42D1" w:rsidP="00D36820">
            <w:pPr>
              <w:rPr>
                <w:rFonts w:ascii="Arial" w:hAnsi="Arial"/>
              </w:rPr>
            </w:pPr>
            <w:r w:rsidRPr="000F5A61">
              <w:rPr>
                <w:rFonts w:ascii="Arial" w:hAnsi="Arial"/>
              </w:rPr>
              <w:t>IEC/BCC</w:t>
            </w:r>
          </w:p>
        </w:tc>
        <w:tc>
          <w:tcPr>
            <w:tcW w:w="1495" w:type="dxa"/>
          </w:tcPr>
          <w:p w:rsidR="007D42D1" w:rsidRPr="000F5A61" w:rsidRDefault="007D42D1" w:rsidP="00D36820">
            <w:pPr>
              <w:rPr>
                <w:rFonts w:ascii="Arial" w:hAnsi="Arial"/>
                <w:lang w:val="en-US"/>
              </w:rPr>
            </w:pPr>
            <w:r w:rsidRPr="000F5A61">
              <w:rPr>
                <w:rFonts w:ascii="Arial" w:hAnsi="Arial"/>
                <w:lang w:val="en-US"/>
              </w:rPr>
              <w:t>Low US$103,863</w:t>
            </w:r>
          </w:p>
        </w:tc>
        <w:tc>
          <w:tcPr>
            <w:tcW w:w="4065" w:type="dxa"/>
          </w:tcPr>
          <w:p w:rsidR="007D42D1" w:rsidRPr="000F5A61" w:rsidRDefault="007D42D1" w:rsidP="00D36820">
            <w:pPr>
              <w:rPr>
                <w:rFonts w:ascii="Arial" w:hAnsi="Arial"/>
                <w:b/>
                <w:lang w:val="en-US"/>
              </w:rPr>
            </w:pPr>
            <w:r w:rsidRPr="000F5A61">
              <w:rPr>
                <w:rFonts w:ascii="Arial" w:hAnsi="Arial"/>
                <w:b/>
              </w:rPr>
              <w:t>Low:</w:t>
            </w:r>
            <w:r w:rsidRPr="000F5A61">
              <w:rPr>
                <w:rFonts w:ascii="Arial" w:hAnsi="Arial"/>
              </w:rPr>
              <w:t xml:space="preserve"> Commemoration of World Malaria Day at Central and Districts levels Level to raise awareness and secure funding.</w:t>
            </w:r>
          </w:p>
        </w:tc>
      </w:tr>
      <w:tr w:rsidR="007D42D1" w:rsidRPr="000F5A61" w:rsidTr="00D36820">
        <w:trPr>
          <w:gridAfter w:val="1"/>
          <w:wAfter w:w="4065" w:type="dxa"/>
          <w:trHeight w:val="499"/>
        </w:trPr>
        <w:tc>
          <w:tcPr>
            <w:tcW w:w="3649" w:type="dxa"/>
            <w:gridSpan w:val="2"/>
            <w:shd w:val="clear" w:color="auto" w:fill="F2F2F2" w:themeFill="background1" w:themeFillShade="F2"/>
            <w:vAlign w:val="center"/>
          </w:tcPr>
          <w:p w:rsidR="007D42D1" w:rsidRPr="000F5A61" w:rsidRDefault="007D42D1" w:rsidP="00D36820">
            <w:pPr>
              <w:spacing w:after="160" w:line="259" w:lineRule="auto"/>
              <w:rPr>
                <w:rFonts w:ascii="Arial" w:hAnsi="Arial"/>
                <w:lang w:val="en-US"/>
              </w:rPr>
            </w:pPr>
            <w:r w:rsidRPr="000F5A61">
              <w:rPr>
                <w:rFonts w:ascii="Arial" w:hAnsi="Arial"/>
                <w:b/>
                <w:bCs/>
                <w:lang w:val="en-US"/>
              </w:rPr>
              <w:t>TOTAL AMOUNT</w:t>
            </w:r>
          </w:p>
        </w:tc>
        <w:tc>
          <w:tcPr>
            <w:tcW w:w="1495" w:type="dxa"/>
            <w:vAlign w:val="center"/>
          </w:tcPr>
          <w:p w:rsidR="007D42D1" w:rsidRPr="000F5A61" w:rsidRDefault="007D42D1" w:rsidP="00836DB5">
            <w:pPr>
              <w:tabs>
                <w:tab w:val="center" w:pos="4513"/>
                <w:tab w:val="right" w:pos="9026"/>
              </w:tabs>
              <w:spacing w:after="160" w:line="259" w:lineRule="auto"/>
              <w:rPr>
                <w:rFonts w:ascii="Arial" w:hAnsi="Arial"/>
                <w:lang w:val="en-US" w:eastAsia="en-US"/>
              </w:rPr>
            </w:pPr>
            <w:r w:rsidRPr="000F5A61">
              <w:rPr>
                <w:rFonts w:ascii="Arial" w:hAnsi="Arial"/>
                <w:lang w:val="en-US" w:eastAsia="en-US"/>
              </w:rPr>
              <w:t>US$2,433,63</w:t>
            </w:r>
            <w:r w:rsidR="00836DB5">
              <w:rPr>
                <w:rFonts w:ascii="Arial" w:hAnsi="Arial"/>
                <w:lang w:val="en-US" w:eastAsia="en-US"/>
              </w:rPr>
              <w:t>3</w:t>
            </w:r>
          </w:p>
        </w:tc>
      </w:tr>
    </w:tbl>
    <w:p w:rsidR="00787FD1" w:rsidRPr="000F5A61" w:rsidRDefault="00787FD1" w:rsidP="00E123FA">
      <w:pPr>
        <w:rPr>
          <w:rFonts w:ascii="Arial" w:hAnsi="Arial" w:cs="Arial"/>
          <w:sz w:val="20"/>
          <w:szCs w:val="20"/>
        </w:rPr>
      </w:pPr>
    </w:p>
    <w:p w:rsidR="008365DE" w:rsidRPr="000F5A61" w:rsidRDefault="008365DE" w:rsidP="00E123FA">
      <w:pPr>
        <w:rPr>
          <w:rFonts w:ascii="Arial" w:hAnsi="Arial" w:cs="Arial"/>
          <w:sz w:val="20"/>
          <w:szCs w:val="20"/>
        </w:rPr>
      </w:pPr>
    </w:p>
    <w:p w:rsidR="00F128D2" w:rsidRPr="000F5A61" w:rsidRDefault="00F128D2" w:rsidP="00E123FA">
      <w:pPr>
        <w:rPr>
          <w:rFonts w:ascii="Arial" w:hAnsi="Arial" w:cs="Arial"/>
          <w:b/>
          <w:sz w:val="20"/>
          <w:szCs w:val="20"/>
        </w:rPr>
      </w:pPr>
      <w:r w:rsidRPr="000F5A61">
        <w:rPr>
          <w:rFonts w:ascii="Arial" w:hAnsi="Arial" w:cs="Arial"/>
          <w:b/>
          <w:sz w:val="20"/>
          <w:szCs w:val="20"/>
        </w:rPr>
        <w:t>Mandatory attachments:</w:t>
      </w:r>
    </w:p>
    <w:p w:rsidR="00F128D2" w:rsidRPr="000F5A61" w:rsidRDefault="00F128D2" w:rsidP="00E123FA">
      <w:pPr>
        <w:rPr>
          <w:rFonts w:ascii="Arial" w:hAnsi="Arial" w:cs="Arial"/>
          <w:sz w:val="20"/>
          <w:szCs w:val="20"/>
        </w:rPr>
      </w:pPr>
      <w:r w:rsidRPr="000F5A61">
        <w:rPr>
          <w:rFonts w:ascii="Arial" w:hAnsi="Arial" w:cs="Arial"/>
          <w:sz w:val="20"/>
          <w:szCs w:val="20"/>
        </w:rPr>
        <w:t>CCM eligibility, compliance and sign-off</w:t>
      </w:r>
      <w:r w:rsidR="00FA455F" w:rsidRPr="000F5A61">
        <w:rPr>
          <w:rFonts w:ascii="Arial" w:hAnsi="Arial" w:cs="Arial"/>
          <w:sz w:val="20"/>
          <w:szCs w:val="20"/>
        </w:rPr>
        <w:t>.</w:t>
      </w:r>
    </w:p>
    <w:p w:rsidR="00FA455F" w:rsidRPr="000F5A61" w:rsidRDefault="00FA455F" w:rsidP="00E123FA">
      <w:pPr>
        <w:rPr>
          <w:rFonts w:ascii="Arial" w:hAnsi="Arial" w:cs="Arial"/>
          <w:sz w:val="20"/>
          <w:szCs w:val="20"/>
        </w:rPr>
      </w:pPr>
      <w:r w:rsidRPr="000F5A61">
        <w:rPr>
          <w:rFonts w:ascii="Arial" w:hAnsi="Arial" w:cs="Arial"/>
          <w:sz w:val="20"/>
          <w:szCs w:val="20"/>
        </w:rPr>
        <w:t>Performance Framework</w:t>
      </w:r>
      <w:r w:rsidR="00FA7EDC" w:rsidRPr="000F5A61">
        <w:rPr>
          <w:rFonts w:ascii="Arial" w:hAnsi="Arial" w:cs="Arial"/>
          <w:sz w:val="20"/>
          <w:szCs w:val="20"/>
        </w:rPr>
        <w:t>.</w:t>
      </w:r>
    </w:p>
    <w:p w:rsidR="00FA455F" w:rsidRPr="000F5A61" w:rsidRDefault="00FA455F" w:rsidP="00E123FA">
      <w:pPr>
        <w:rPr>
          <w:rFonts w:ascii="Arial" w:hAnsi="Arial" w:cs="Arial"/>
          <w:sz w:val="20"/>
          <w:szCs w:val="20"/>
        </w:rPr>
      </w:pPr>
      <w:r w:rsidRPr="000F5A61">
        <w:rPr>
          <w:rFonts w:ascii="Arial" w:hAnsi="Arial" w:cs="Arial"/>
          <w:sz w:val="20"/>
          <w:szCs w:val="20"/>
        </w:rPr>
        <w:t>Programmatic gap tables.</w:t>
      </w:r>
    </w:p>
    <w:p w:rsidR="00C311C7" w:rsidRPr="00887741" w:rsidRDefault="00C311C7" w:rsidP="00E123FA">
      <w:pPr>
        <w:rPr>
          <w:rFonts w:ascii="Arial" w:hAnsi="Arial" w:cs="Arial"/>
          <w:sz w:val="20"/>
          <w:szCs w:val="20"/>
        </w:rPr>
      </w:pPr>
      <w:r w:rsidRPr="000F5A61">
        <w:rPr>
          <w:rFonts w:ascii="Arial" w:hAnsi="Arial" w:cs="Arial"/>
          <w:sz w:val="20"/>
          <w:szCs w:val="20"/>
        </w:rPr>
        <w:t>Funding Landscape.</w:t>
      </w:r>
    </w:p>
    <w:sectPr w:rsidR="00C311C7" w:rsidRPr="00887741" w:rsidSect="00E123FA">
      <w:footerReference w:type="default" r:id="rId2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14B0" w:rsidRDefault="00FA14B0" w:rsidP="00042DCA">
      <w:pPr>
        <w:spacing w:after="0" w:line="240" w:lineRule="auto"/>
      </w:pPr>
      <w:r>
        <w:separator/>
      </w:r>
    </w:p>
  </w:endnote>
  <w:endnote w:type="continuationSeparator" w:id="1">
    <w:p w:rsidR="00FA14B0" w:rsidRDefault="00FA14B0" w:rsidP="00042DCA">
      <w:pPr>
        <w:spacing w:after="0" w:line="240" w:lineRule="auto"/>
      </w:pPr>
      <w:r>
        <w:continuationSeparator/>
      </w:r>
    </w:p>
  </w:endnote>
  <w:endnote w:type="continuationNotice" w:id="2">
    <w:p w:rsidR="00FA14B0" w:rsidRDefault="00FA14B0">
      <w:pPr>
        <w:spacing w:after="0" w:line="240" w:lineRule="auto"/>
      </w:pPr>
    </w:p>
  </w:endnote>
</w:endnotes>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egoe UI Symbol">
    <w:panose1 w:val="020B0502040204020203"/>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820" w:rsidRPr="00374C37" w:rsidRDefault="00D36820" w:rsidP="00A22A4A">
    <w:pPr>
      <w:pStyle w:val="Footer"/>
      <w:rPr>
        <w:rFonts w:ascii="Arial" w:hAnsi="Arial" w:cs="Arial"/>
        <w:sz w:val="20"/>
        <w:szCs w:val="20"/>
      </w:rPr>
    </w:pPr>
    <w:r w:rsidRPr="00CA7652">
      <w:rPr>
        <w:rFonts w:ascii="Arial" w:hAnsi="Arial" w:cs="Arial"/>
        <w:sz w:val="20"/>
        <w:szCs w:val="20"/>
      </w:rPr>
      <w:t xml:space="preserve">Funding </w:t>
    </w:r>
    <w:r>
      <w:rPr>
        <w:rFonts w:ascii="Arial" w:hAnsi="Arial" w:cs="Arial"/>
        <w:sz w:val="20"/>
        <w:szCs w:val="20"/>
      </w:rPr>
      <w:t xml:space="preserve">Request: Full review </w:t>
    </w:r>
    <w:r>
      <w:rPr>
        <w:rFonts w:ascii="Arial" w:hAnsi="Arial" w:cs="Arial"/>
        <w:sz w:val="20"/>
        <w:szCs w:val="20"/>
      </w:rPr>
      <w:tab/>
    </w:r>
    <w:r>
      <w:rPr>
        <w:rFonts w:ascii="Arial" w:hAnsi="Arial" w:cs="Arial"/>
        <w:sz w:val="20"/>
        <w:szCs w:val="20"/>
      </w:rPr>
      <w:tab/>
      <w:t>15 February 2017</w:t>
    </w:r>
    <w:r w:rsidRPr="00CA7652">
      <w:rPr>
        <w:rFonts w:ascii="Arial" w:hAnsi="Arial" w:cs="Arial"/>
        <w:sz w:val="20"/>
        <w:szCs w:val="20"/>
      </w:rPr>
      <w:t xml:space="preserve"> | </w:t>
    </w:r>
    <w:sdt>
      <w:sdtPr>
        <w:rPr>
          <w:rFonts w:ascii="Arial" w:hAnsi="Arial" w:cs="Arial"/>
          <w:sz w:val="20"/>
          <w:szCs w:val="20"/>
        </w:rPr>
        <w:id w:val="-1136726835"/>
        <w:docPartObj>
          <w:docPartGallery w:val="Page Numbers (Bottom of Page)"/>
          <w:docPartUnique/>
        </w:docPartObj>
      </w:sdtPr>
      <w:sdtEndPr>
        <w:rPr>
          <w:noProof/>
        </w:rPr>
      </w:sdtEndPr>
      <w:sdtContent>
        <w:r w:rsidR="00035C1E" w:rsidRPr="00374C37">
          <w:rPr>
            <w:rFonts w:ascii="Arial" w:hAnsi="Arial" w:cs="Arial"/>
            <w:b/>
            <w:sz w:val="20"/>
            <w:szCs w:val="20"/>
          </w:rPr>
          <w:fldChar w:fldCharType="begin"/>
        </w:r>
        <w:r w:rsidRPr="00374C37">
          <w:rPr>
            <w:rFonts w:ascii="Arial" w:hAnsi="Arial" w:cs="Arial"/>
            <w:b/>
            <w:sz w:val="20"/>
            <w:szCs w:val="20"/>
          </w:rPr>
          <w:instrText xml:space="preserve"> PAGE   \* MERGEFORMAT </w:instrText>
        </w:r>
        <w:r w:rsidR="00035C1E" w:rsidRPr="00374C37">
          <w:rPr>
            <w:rFonts w:ascii="Arial" w:hAnsi="Arial" w:cs="Arial"/>
            <w:b/>
            <w:sz w:val="20"/>
            <w:szCs w:val="20"/>
          </w:rPr>
          <w:fldChar w:fldCharType="separate"/>
        </w:r>
        <w:r w:rsidR="00713F6B">
          <w:rPr>
            <w:rFonts w:ascii="Arial" w:hAnsi="Arial" w:cs="Arial"/>
            <w:b/>
            <w:noProof/>
            <w:sz w:val="20"/>
            <w:szCs w:val="20"/>
          </w:rPr>
          <w:t>29</w:t>
        </w:r>
        <w:r w:rsidR="00035C1E" w:rsidRPr="00374C37">
          <w:rPr>
            <w:rFonts w:ascii="Arial" w:hAnsi="Arial" w:cs="Arial"/>
            <w:b/>
            <w:noProof/>
            <w:sz w:val="20"/>
            <w:szCs w:val="20"/>
          </w:rPr>
          <w:fldChar w:fldCharType="end"/>
        </w:r>
      </w:sdtContent>
    </w:sdt>
  </w:p>
  <w:p w:rsidR="00D36820" w:rsidRDefault="00D3682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14B0" w:rsidRDefault="00FA14B0" w:rsidP="00042DCA">
      <w:pPr>
        <w:spacing w:after="0" w:line="240" w:lineRule="auto"/>
      </w:pPr>
      <w:r>
        <w:separator/>
      </w:r>
    </w:p>
  </w:footnote>
  <w:footnote w:type="continuationSeparator" w:id="1">
    <w:p w:rsidR="00FA14B0" w:rsidRDefault="00FA14B0" w:rsidP="00042DCA">
      <w:pPr>
        <w:spacing w:after="0" w:line="240" w:lineRule="auto"/>
      </w:pPr>
      <w:r>
        <w:continuationSeparator/>
      </w:r>
    </w:p>
  </w:footnote>
  <w:footnote w:type="continuationNotice" w:id="2">
    <w:p w:rsidR="00FA14B0" w:rsidRDefault="00FA14B0">
      <w:pPr>
        <w:spacing w:after="0" w:line="240" w:lineRule="auto"/>
      </w:pPr>
    </w:p>
  </w:footnote>
  <w:footnote w:id="3">
    <w:p w:rsidR="00D36820" w:rsidRPr="0011240B" w:rsidRDefault="00D36820">
      <w:pPr>
        <w:pStyle w:val="FootnoteText"/>
        <w:rPr>
          <w:rFonts w:asciiTheme="minorHAnsi" w:hAnsiTheme="minorHAnsi"/>
          <w:sz w:val="18"/>
          <w:szCs w:val="18"/>
          <w:lang w:val="en-US"/>
        </w:rPr>
      </w:pPr>
      <w:r w:rsidRPr="0011240B">
        <w:rPr>
          <w:rStyle w:val="FootnoteReference"/>
          <w:rFonts w:asciiTheme="minorHAnsi" w:hAnsiTheme="minorHAnsi"/>
          <w:sz w:val="18"/>
          <w:szCs w:val="18"/>
        </w:rPr>
        <w:footnoteRef/>
      </w:r>
      <w:r w:rsidRPr="0011240B">
        <w:rPr>
          <w:rFonts w:asciiTheme="minorHAnsi" w:hAnsiTheme="minorHAnsi"/>
          <w:sz w:val="18"/>
          <w:szCs w:val="18"/>
          <w:lang w:val="en-US"/>
        </w:rPr>
        <w:t xml:space="preserve">Robust data are not available at present, but experts believe that approximately </w:t>
      </w:r>
      <w:r w:rsidRPr="0011240B">
        <w:rPr>
          <w:rFonts w:asciiTheme="minorHAnsi" w:hAnsiTheme="minorHAnsi" w:cs="Arial"/>
          <w:sz w:val="18"/>
          <w:szCs w:val="18"/>
        </w:rPr>
        <w:t>50% of malaria cases are managed in the PS.</w:t>
      </w:r>
    </w:p>
  </w:footnote>
  <w:footnote w:id="4">
    <w:p w:rsidR="00D36820" w:rsidRPr="0011240B" w:rsidRDefault="00D36820">
      <w:pPr>
        <w:pStyle w:val="FootnoteText"/>
        <w:rPr>
          <w:rFonts w:asciiTheme="minorHAnsi" w:hAnsiTheme="minorHAnsi"/>
          <w:sz w:val="18"/>
          <w:szCs w:val="18"/>
          <w:lang w:val="en-US"/>
        </w:rPr>
      </w:pPr>
      <w:r w:rsidRPr="0011240B">
        <w:rPr>
          <w:rStyle w:val="FootnoteReference"/>
          <w:rFonts w:asciiTheme="minorHAnsi" w:hAnsiTheme="minorHAnsi"/>
          <w:sz w:val="18"/>
          <w:szCs w:val="18"/>
        </w:rPr>
        <w:footnoteRef/>
      </w:r>
      <w:r w:rsidRPr="0011240B">
        <w:rPr>
          <w:rFonts w:asciiTheme="minorHAnsi" w:hAnsiTheme="minorHAnsi"/>
          <w:sz w:val="18"/>
          <w:szCs w:val="18"/>
        </w:rPr>
        <w:t xml:space="preserve"> Any case in which symptoms appeared within 1 month of return from an endemic country outside Nepal is considered to be imported.</w:t>
      </w:r>
    </w:p>
  </w:footnote>
  <w:footnote w:id="5">
    <w:p w:rsidR="00D36820" w:rsidRPr="0011240B" w:rsidRDefault="00D36820" w:rsidP="00C71D93">
      <w:pPr>
        <w:pStyle w:val="FootnoteText"/>
        <w:rPr>
          <w:rFonts w:asciiTheme="minorHAnsi" w:hAnsiTheme="minorHAnsi"/>
          <w:sz w:val="18"/>
          <w:szCs w:val="18"/>
          <w:lang w:val="en-US"/>
        </w:rPr>
      </w:pPr>
      <w:r w:rsidRPr="0011240B">
        <w:rPr>
          <w:rStyle w:val="FootnoteReference"/>
          <w:rFonts w:asciiTheme="minorHAnsi" w:hAnsiTheme="minorHAnsi"/>
          <w:sz w:val="18"/>
          <w:szCs w:val="18"/>
        </w:rPr>
        <w:footnoteRef/>
      </w:r>
      <w:r w:rsidRPr="0011240B">
        <w:rPr>
          <w:rFonts w:asciiTheme="minorHAnsi" w:hAnsiTheme="minorHAnsi"/>
          <w:sz w:val="18"/>
          <w:szCs w:val="18"/>
        </w:rPr>
        <w:t xml:space="preserve"> The </w:t>
      </w:r>
      <w:r w:rsidRPr="0011240B">
        <w:rPr>
          <w:rFonts w:asciiTheme="minorHAnsi" w:hAnsiTheme="minorHAnsi"/>
          <w:sz w:val="18"/>
          <w:szCs w:val="18"/>
          <w:lang w:val="en-US"/>
        </w:rPr>
        <w:t>Terai – the low-lying foothills and plains that run the length of Nepal’s southern border with India.</w:t>
      </w:r>
    </w:p>
  </w:footnote>
  <w:footnote w:id="6">
    <w:p w:rsidR="00D36820" w:rsidRPr="0011240B" w:rsidRDefault="00D36820">
      <w:pPr>
        <w:pStyle w:val="FootnoteText"/>
        <w:rPr>
          <w:lang w:val="en-US"/>
        </w:rPr>
      </w:pPr>
      <w:r w:rsidRPr="0011240B">
        <w:rPr>
          <w:rStyle w:val="FootnoteReference"/>
        </w:rPr>
        <w:footnoteRef/>
      </w:r>
      <w:r w:rsidRPr="0011240B">
        <w:rPr>
          <w:rFonts w:asciiTheme="minorHAnsi" w:hAnsiTheme="minorHAnsi"/>
          <w:sz w:val="18"/>
          <w:szCs w:val="18"/>
          <w:lang w:val="en-US"/>
        </w:rPr>
        <w:t xml:space="preserve">See description of the 2006 outbreak in Banke in the Operational framework (Annex </w:t>
      </w:r>
      <w:r>
        <w:rPr>
          <w:rFonts w:asciiTheme="minorHAnsi" w:hAnsiTheme="minorHAnsi"/>
          <w:sz w:val="18"/>
          <w:szCs w:val="18"/>
          <w:lang w:val="en-US"/>
        </w:rPr>
        <w:t>4</w:t>
      </w:r>
      <w:r w:rsidRPr="0011240B">
        <w:rPr>
          <w:rFonts w:asciiTheme="minorHAnsi" w:hAnsiTheme="minorHAnsi"/>
          <w:sz w:val="18"/>
          <w:szCs w:val="18"/>
          <w:lang w:val="en-US"/>
        </w:rPr>
        <w:t>, p11).</w:t>
      </w:r>
    </w:p>
  </w:footnote>
  <w:footnote w:id="7">
    <w:p w:rsidR="00D36820" w:rsidRPr="0011240B" w:rsidRDefault="00D36820" w:rsidP="00420981">
      <w:pPr>
        <w:widowControl w:val="0"/>
        <w:autoSpaceDE w:val="0"/>
        <w:autoSpaceDN w:val="0"/>
        <w:adjustRightInd w:val="0"/>
        <w:spacing w:after="0" w:line="240" w:lineRule="auto"/>
        <w:rPr>
          <w:rFonts w:asciiTheme="minorHAnsi" w:hAnsiTheme="minorHAnsi" w:cs="Times"/>
          <w:sz w:val="18"/>
          <w:szCs w:val="18"/>
        </w:rPr>
      </w:pPr>
      <w:r w:rsidRPr="0011240B">
        <w:rPr>
          <w:rStyle w:val="FootnoteReference"/>
          <w:rFonts w:asciiTheme="minorHAnsi" w:hAnsiTheme="minorHAnsi"/>
          <w:sz w:val="18"/>
          <w:szCs w:val="18"/>
        </w:rPr>
        <w:footnoteRef/>
      </w:r>
      <w:r w:rsidRPr="0011240B">
        <w:rPr>
          <w:rFonts w:asciiTheme="minorHAnsi" w:hAnsiTheme="minorHAnsi" w:cs="Times"/>
          <w:sz w:val="18"/>
          <w:szCs w:val="18"/>
        </w:rPr>
        <w:t>96% of imported cases in 2016 were amongst adults and 90% of these were amongst men.</w:t>
      </w:r>
    </w:p>
  </w:footnote>
  <w:footnote w:id="8">
    <w:p w:rsidR="00D36820" w:rsidRPr="0011240B" w:rsidRDefault="00D36820">
      <w:pPr>
        <w:pStyle w:val="FootnoteText"/>
        <w:rPr>
          <w:rFonts w:asciiTheme="minorHAnsi" w:hAnsiTheme="minorHAnsi"/>
          <w:sz w:val="18"/>
          <w:szCs w:val="18"/>
          <w:lang w:val="en-US"/>
        </w:rPr>
      </w:pPr>
      <w:r w:rsidRPr="0011240B">
        <w:rPr>
          <w:rStyle w:val="FootnoteReference"/>
          <w:rFonts w:asciiTheme="minorHAnsi" w:hAnsiTheme="minorHAnsi"/>
          <w:sz w:val="18"/>
          <w:szCs w:val="18"/>
        </w:rPr>
        <w:footnoteRef/>
      </w:r>
      <w:r w:rsidRPr="0011240B">
        <w:rPr>
          <w:rFonts w:asciiTheme="minorHAnsi" w:hAnsiTheme="minorHAnsi"/>
          <w:sz w:val="18"/>
          <w:szCs w:val="18"/>
        </w:rPr>
        <w:t xml:space="preserve"> http://www.unhcr.org/afr/news/latest/2015/11/564dded46/resettlement-bhutanese-refugees-surpasses-100000-mark.html</w:t>
      </w:r>
    </w:p>
  </w:footnote>
  <w:footnote w:id="9">
    <w:p w:rsidR="00D36820" w:rsidRPr="0011240B" w:rsidRDefault="00D36820">
      <w:pPr>
        <w:pStyle w:val="FootnoteText"/>
        <w:rPr>
          <w:rFonts w:asciiTheme="minorHAnsi" w:hAnsiTheme="minorHAnsi"/>
          <w:sz w:val="18"/>
          <w:szCs w:val="18"/>
          <w:lang w:val="en-US"/>
        </w:rPr>
      </w:pPr>
      <w:r w:rsidRPr="0011240B">
        <w:rPr>
          <w:rStyle w:val="FootnoteReference"/>
          <w:rFonts w:asciiTheme="minorHAnsi" w:hAnsiTheme="minorHAnsi"/>
          <w:sz w:val="18"/>
          <w:szCs w:val="18"/>
        </w:rPr>
        <w:footnoteRef/>
      </w:r>
      <w:r w:rsidRPr="0011240B">
        <w:rPr>
          <w:rFonts w:asciiTheme="minorHAnsi" w:hAnsiTheme="minorHAnsi"/>
          <w:sz w:val="18"/>
          <w:szCs w:val="18"/>
          <w:lang w:val="en-US"/>
        </w:rPr>
        <w:t>Community consultation meeting reports are annexed in the ‘Community consultation’ folder (</w:t>
      </w:r>
      <w:r>
        <w:rPr>
          <w:rFonts w:asciiTheme="minorHAnsi" w:hAnsiTheme="minorHAnsi"/>
          <w:sz w:val="18"/>
          <w:szCs w:val="18"/>
          <w:lang w:val="en-US"/>
        </w:rPr>
        <w:t>a</w:t>
      </w:r>
      <w:r w:rsidRPr="0011240B">
        <w:rPr>
          <w:rFonts w:asciiTheme="minorHAnsi" w:hAnsiTheme="minorHAnsi"/>
          <w:sz w:val="18"/>
          <w:szCs w:val="18"/>
          <w:lang w:val="en-US"/>
        </w:rPr>
        <w:t xml:space="preserve">nnex </w:t>
      </w:r>
      <w:r>
        <w:rPr>
          <w:rFonts w:asciiTheme="minorHAnsi" w:hAnsiTheme="minorHAnsi"/>
          <w:sz w:val="18"/>
          <w:szCs w:val="18"/>
          <w:lang w:val="en-US"/>
        </w:rPr>
        <w:t>13</w:t>
      </w:r>
      <w:r w:rsidRPr="0011240B">
        <w:rPr>
          <w:rFonts w:asciiTheme="minorHAnsi" w:hAnsiTheme="minorHAnsi"/>
          <w:sz w:val="18"/>
          <w:szCs w:val="18"/>
          <w:lang w:val="en-US"/>
        </w:rPr>
        <w:t xml:space="preserve">).  </w:t>
      </w:r>
    </w:p>
  </w:footnote>
  <w:footnote w:id="10">
    <w:p w:rsidR="00D36820" w:rsidRPr="0011240B" w:rsidRDefault="00D36820">
      <w:pPr>
        <w:pStyle w:val="FootnoteText"/>
        <w:rPr>
          <w:rFonts w:asciiTheme="minorHAnsi" w:hAnsiTheme="minorHAnsi"/>
          <w:sz w:val="18"/>
          <w:szCs w:val="18"/>
          <w:lang w:val="en-US"/>
        </w:rPr>
      </w:pPr>
      <w:r w:rsidRPr="0011240B">
        <w:rPr>
          <w:rStyle w:val="FootnoteReference"/>
          <w:rFonts w:asciiTheme="minorHAnsi" w:hAnsiTheme="minorHAnsi"/>
          <w:sz w:val="18"/>
          <w:szCs w:val="18"/>
        </w:rPr>
        <w:footnoteRef/>
      </w:r>
      <w:r w:rsidRPr="0011240B">
        <w:rPr>
          <w:rFonts w:asciiTheme="minorHAnsi" w:hAnsiTheme="minorHAnsi"/>
          <w:sz w:val="18"/>
          <w:szCs w:val="18"/>
          <w:lang w:val="en-US"/>
        </w:rPr>
        <w:t>The PR was changed at the request of GFATM to address management related issues.</w:t>
      </w:r>
    </w:p>
  </w:footnote>
  <w:footnote w:id="11">
    <w:p w:rsidR="00D36820" w:rsidRPr="0011240B" w:rsidRDefault="00D36820">
      <w:pPr>
        <w:pStyle w:val="FootnoteText"/>
        <w:rPr>
          <w:rFonts w:asciiTheme="minorHAnsi" w:hAnsiTheme="minorHAnsi"/>
          <w:sz w:val="18"/>
          <w:szCs w:val="18"/>
          <w:lang w:val="en-US"/>
        </w:rPr>
      </w:pPr>
      <w:r w:rsidRPr="0011240B">
        <w:rPr>
          <w:rStyle w:val="FootnoteReference"/>
          <w:rFonts w:asciiTheme="minorHAnsi" w:hAnsiTheme="minorHAnsi"/>
          <w:sz w:val="18"/>
          <w:szCs w:val="18"/>
        </w:rPr>
        <w:footnoteRef/>
      </w:r>
      <w:r w:rsidRPr="0011240B">
        <w:rPr>
          <w:rFonts w:asciiTheme="minorHAnsi" w:hAnsiTheme="minorHAnsi"/>
          <w:sz w:val="18"/>
          <w:szCs w:val="18"/>
          <w:lang w:val="en-US"/>
        </w:rPr>
        <w:t>Performance has risen from C2 before SCI assumed the role of PR to A1 (Nov 2016-Mar 2017).</w:t>
      </w:r>
    </w:p>
  </w:footnote>
  <w:footnote w:id="12">
    <w:p w:rsidR="00D36820" w:rsidRPr="0011240B" w:rsidRDefault="00D36820">
      <w:pPr>
        <w:pStyle w:val="FootnoteText"/>
        <w:rPr>
          <w:rFonts w:asciiTheme="minorHAnsi" w:hAnsiTheme="minorHAnsi"/>
          <w:sz w:val="18"/>
          <w:szCs w:val="18"/>
          <w:lang w:val="en-US"/>
        </w:rPr>
      </w:pPr>
      <w:r w:rsidRPr="0011240B">
        <w:rPr>
          <w:rStyle w:val="FootnoteReference"/>
          <w:rFonts w:asciiTheme="minorHAnsi" w:hAnsiTheme="minorHAnsi"/>
          <w:sz w:val="18"/>
          <w:szCs w:val="18"/>
        </w:rPr>
        <w:footnoteRef/>
      </w:r>
      <w:r w:rsidRPr="0011240B">
        <w:rPr>
          <w:rFonts w:asciiTheme="minorHAnsi" w:hAnsiTheme="minorHAnsi" w:cs="Arial"/>
          <w:sz w:val="18"/>
          <w:szCs w:val="18"/>
        </w:rPr>
        <w:t>e.g. 4 disease control section chiefs in 2.5 years.</w:t>
      </w:r>
    </w:p>
  </w:footnote>
  <w:footnote w:id="13">
    <w:p w:rsidR="00D36820" w:rsidRPr="0011240B" w:rsidRDefault="00D36820">
      <w:pPr>
        <w:pStyle w:val="FootnoteText"/>
        <w:rPr>
          <w:rFonts w:asciiTheme="minorHAnsi" w:hAnsiTheme="minorHAnsi"/>
          <w:sz w:val="18"/>
          <w:szCs w:val="18"/>
          <w:lang w:val="en-US"/>
        </w:rPr>
      </w:pPr>
      <w:r w:rsidRPr="0011240B">
        <w:rPr>
          <w:rStyle w:val="FootnoteReference"/>
          <w:rFonts w:asciiTheme="minorHAnsi" w:hAnsiTheme="minorHAnsi"/>
          <w:sz w:val="18"/>
          <w:szCs w:val="18"/>
        </w:rPr>
        <w:footnoteRef/>
      </w:r>
      <w:r w:rsidRPr="0011240B">
        <w:rPr>
          <w:rFonts w:asciiTheme="minorHAnsi" w:hAnsiTheme="minorHAnsi" w:cs="Arial"/>
          <w:sz w:val="18"/>
          <w:szCs w:val="18"/>
          <w:lang w:val="en-US"/>
        </w:rPr>
        <w:t>By October 2017 the Logistics Management Division (LMD) (with WHO) will review and revise existing guidelines on medical waste disposal. A committee will then be formed (November 2017) to oversee mitigating actions. LMD will coordinate with the Auditor-General’s Office to write-off unusable commodities. Where possible commodities that have been written-off will be auctioned. Expired medicines will be disposed of following “WHO safe disposal practices for expired medicines”. LMD will work with funding partners to arrange for suppliers to return expired insecticides/LLINs to their manufacturers for revalidation or proper disposal.</w:t>
      </w:r>
    </w:p>
  </w:footnote>
  <w:footnote w:id="14">
    <w:p w:rsidR="00D36820" w:rsidRPr="0011240B" w:rsidRDefault="00D36820" w:rsidP="005F21B8">
      <w:pPr>
        <w:keepNext/>
        <w:keepLines/>
        <w:spacing w:after="120" w:line="240" w:lineRule="auto"/>
        <w:rPr>
          <w:rFonts w:asciiTheme="minorHAnsi" w:hAnsiTheme="minorHAnsi" w:cs="Arial"/>
          <w:bCs/>
          <w:sz w:val="18"/>
          <w:szCs w:val="18"/>
        </w:rPr>
      </w:pPr>
      <w:r w:rsidRPr="0011240B">
        <w:rPr>
          <w:rStyle w:val="FootnoteReference"/>
          <w:rFonts w:asciiTheme="minorHAnsi" w:hAnsiTheme="minorHAnsi"/>
          <w:sz w:val="18"/>
          <w:szCs w:val="18"/>
        </w:rPr>
        <w:footnoteRef/>
      </w:r>
      <w:r w:rsidRPr="0011240B">
        <w:rPr>
          <w:rFonts w:asciiTheme="minorHAnsi" w:hAnsiTheme="minorHAnsi"/>
          <w:bCs/>
          <w:sz w:val="18"/>
          <w:szCs w:val="18"/>
        </w:rPr>
        <w:t xml:space="preserve">Sub-activities were identified as ‘Absolute’ priority (life-saving or critical to the elimination effort), ‘High’ priority (important for basic program functioning), ‘Medium’ priority (required for program to be fully functional) and ‘Low’ priority (activities that would be useful but not essential for the full functioning of the programme) based on an analysis of a combination of various factors including ‘expected impact’, ‘cost’ and ‘malaria risk’. The criteria used to identify each priority level were qualitative, rather than quantitative. The exercise was carried out by a panel of </w:t>
      </w:r>
      <w:r w:rsidRPr="0011240B">
        <w:rPr>
          <w:rFonts w:asciiTheme="minorHAnsi" w:hAnsiTheme="minorHAnsi" w:cs="Arial"/>
          <w:bCs/>
          <w:sz w:val="18"/>
          <w:szCs w:val="18"/>
        </w:rPr>
        <w:t>experts as part of the development</w:t>
      </w:r>
      <w:r w:rsidRPr="0011240B">
        <w:rPr>
          <w:rFonts w:asciiTheme="minorHAnsi" w:hAnsiTheme="minorHAnsi"/>
          <w:bCs/>
          <w:sz w:val="18"/>
          <w:szCs w:val="18"/>
        </w:rPr>
        <w:t xml:space="preserve"> process</w:t>
      </w:r>
      <w:r w:rsidRPr="0011240B">
        <w:rPr>
          <w:rFonts w:asciiTheme="minorHAnsi" w:hAnsiTheme="minorHAnsi" w:cs="Arial"/>
          <w:bCs/>
          <w:sz w:val="18"/>
          <w:szCs w:val="18"/>
        </w:rPr>
        <w:t xml:space="preserve"> for the NMSP’s ‘Operational framework’. The prioritization was then fine-tuned in consultation with stakeholders, taking into consideration GoN support and the GFATM funding envelope. The results are presented in </w:t>
      </w:r>
      <w:r w:rsidRPr="00887741">
        <w:rPr>
          <w:rFonts w:asciiTheme="minorHAnsi" w:hAnsiTheme="minorHAnsi" w:cs="Arial"/>
          <w:bCs/>
          <w:sz w:val="18"/>
          <w:szCs w:val="18"/>
        </w:rPr>
        <w:t>column ‘</w:t>
      </w:r>
      <w:r w:rsidRPr="00B1785B">
        <w:rPr>
          <w:rFonts w:asciiTheme="minorHAnsi" w:hAnsiTheme="minorHAnsi" w:cs="Arial"/>
          <w:bCs/>
          <w:sz w:val="18"/>
          <w:szCs w:val="18"/>
        </w:rPr>
        <w:t>E</w:t>
      </w:r>
      <w:r w:rsidRPr="00887741">
        <w:rPr>
          <w:rFonts w:asciiTheme="minorHAnsi" w:hAnsiTheme="minorHAnsi" w:cs="Arial"/>
          <w:bCs/>
          <w:sz w:val="18"/>
          <w:szCs w:val="18"/>
        </w:rPr>
        <w:t xml:space="preserve">’ </w:t>
      </w:r>
      <w:r w:rsidRPr="00887741">
        <w:rPr>
          <w:rFonts w:asciiTheme="minorHAnsi" w:eastAsia="Calibri" w:hAnsiTheme="minorHAnsi" w:cs="Arial"/>
          <w:sz w:val="18"/>
          <w:szCs w:val="18"/>
        </w:rPr>
        <w:t>in</w:t>
      </w:r>
      <w:r w:rsidRPr="0011240B">
        <w:rPr>
          <w:rFonts w:asciiTheme="minorHAnsi" w:eastAsia="Calibri" w:hAnsiTheme="minorHAnsi" w:cs="Arial"/>
          <w:sz w:val="18"/>
          <w:szCs w:val="18"/>
        </w:rPr>
        <w:t xml:space="preserve"> worksheet ‘Budget &amp; Workplan’ in the detailed NMSP budget workbook </w:t>
      </w:r>
      <w:r w:rsidRPr="008B1AD7">
        <w:rPr>
          <w:rFonts w:asciiTheme="minorHAnsi" w:eastAsia="Calibri" w:hAnsiTheme="minorHAnsi" w:cs="Arial"/>
          <w:sz w:val="18"/>
          <w:szCs w:val="18"/>
        </w:rPr>
        <w:t>(‘</w:t>
      </w:r>
      <w:r w:rsidRPr="00634FB7">
        <w:rPr>
          <w:rFonts w:asciiTheme="minorHAnsi" w:eastAsia="Calibri" w:hAnsiTheme="minorHAnsi" w:cs="Arial"/>
          <w:bCs/>
          <w:sz w:val="18"/>
          <w:szCs w:val="18"/>
        </w:rPr>
        <w:t>Annex 11. Budget for proposalGF- 21Aug 2017.xlsx</w:t>
      </w:r>
      <w:r>
        <w:rPr>
          <w:rFonts w:asciiTheme="minorHAnsi" w:eastAsia="Calibri" w:hAnsiTheme="minorHAnsi" w:cs="Arial"/>
          <w:bCs/>
          <w:sz w:val="18"/>
          <w:szCs w:val="18"/>
        </w:rPr>
        <w:t>’</w:t>
      </w:r>
      <w:r w:rsidRPr="0011240B">
        <w:rPr>
          <w:rFonts w:asciiTheme="minorHAnsi" w:hAnsiTheme="minorHAnsi" w:cs="Arial"/>
          <w:bCs/>
          <w:sz w:val="18"/>
          <w:szCs w:val="18"/>
        </w:rPr>
        <w:t>)</w:t>
      </w:r>
      <w:r>
        <w:rPr>
          <w:rFonts w:asciiTheme="minorHAnsi" w:hAnsiTheme="minorHAnsi" w:cs="Arial"/>
          <w:bCs/>
          <w:sz w:val="18"/>
          <w:szCs w:val="18"/>
        </w:rPr>
        <w:t>.</w:t>
      </w:r>
    </w:p>
    <w:p w:rsidR="00D36820" w:rsidRPr="0011240B" w:rsidRDefault="00D36820">
      <w:pPr>
        <w:pStyle w:val="FootnoteText"/>
        <w:rPr>
          <w:lang w:val="en-US"/>
        </w:rPr>
      </w:pPr>
    </w:p>
  </w:footnote>
  <w:footnote w:id="15">
    <w:p w:rsidR="00D36820" w:rsidRPr="0011240B" w:rsidRDefault="00D36820">
      <w:pPr>
        <w:pStyle w:val="FootnoteText"/>
        <w:rPr>
          <w:rFonts w:asciiTheme="minorHAnsi" w:hAnsiTheme="minorHAnsi"/>
          <w:sz w:val="18"/>
          <w:szCs w:val="18"/>
          <w:lang w:val="en-US"/>
        </w:rPr>
      </w:pPr>
      <w:r w:rsidRPr="0011240B">
        <w:rPr>
          <w:rStyle w:val="FootnoteReference"/>
          <w:rFonts w:asciiTheme="minorHAnsi" w:hAnsiTheme="minorHAnsi"/>
          <w:sz w:val="18"/>
          <w:szCs w:val="18"/>
        </w:rPr>
        <w:footnoteRef/>
      </w:r>
      <w:r w:rsidRPr="0011240B">
        <w:rPr>
          <w:rFonts w:asciiTheme="minorHAnsi" w:hAnsiTheme="minorHAnsi"/>
          <w:sz w:val="18"/>
          <w:szCs w:val="18"/>
          <w:lang w:val="en-US"/>
        </w:rPr>
        <w:t>Reorientation to health post level will be completed in 27 endemic Districts under the existing grant.</w:t>
      </w:r>
    </w:p>
  </w:footnote>
  <w:footnote w:id="16">
    <w:p w:rsidR="00D36820" w:rsidRPr="0011240B" w:rsidRDefault="00D36820">
      <w:pPr>
        <w:pStyle w:val="FootnoteText"/>
        <w:rPr>
          <w:rFonts w:asciiTheme="minorHAnsi" w:hAnsiTheme="minorHAnsi"/>
          <w:sz w:val="18"/>
          <w:szCs w:val="18"/>
          <w:lang w:val="en-US"/>
        </w:rPr>
      </w:pPr>
      <w:r w:rsidRPr="0011240B">
        <w:rPr>
          <w:rStyle w:val="FootnoteReference"/>
          <w:rFonts w:asciiTheme="minorHAnsi" w:hAnsiTheme="minorHAnsi"/>
          <w:sz w:val="18"/>
          <w:szCs w:val="18"/>
        </w:rPr>
        <w:footnoteRef/>
      </w:r>
      <w:r w:rsidRPr="0011240B">
        <w:rPr>
          <w:rFonts w:asciiTheme="minorHAnsi" w:hAnsiTheme="minorHAnsi" w:cs="Arial"/>
          <w:sz w:val="18"/>
          <w:szCs w:val="18"/>
        </w:rPr>
        <w:t>Materials are likely to include inter-personal communication (IPC) aids, audio and video sketches and presentations, billboards, posters, brochures, articles, pamphlets, modules for the school curriculum, and free automated SMS messages for migrants returning home from abroad.</w:t>
      </w:r>
    </w:p>
  </w:footnote>
  <w:footnote w:id="17">
    <w:p w:rsidR="00D36820" w:rsidRPr="0011240B" w:rsidRDefault="00D36820">
      <w:pPr>
        <w:pStyle w:val="FootnoteText"/>
        <w:rPr>
          <w:rFonts w:asciiTheme="minorHAnsi" w:hAnsiTheme="minorHAnsi"/>
          <w:sz w:val="18"/>
          <w:szCs w:val="18"/>
          <w:lang w:val="en-US"/>
        </w:rPr>
      </w:pPr>
      <w:r w:rsidRPr="0011240B">
        <w:rPr>
          <w:rStyle w:val="FootnoteReference"/>
          <w:rFonts w:asciiTheme="minorHAnsi" w:hAnsiTheme="minorHAnsi"/>
          <w:sz w:val="18"/>
          <w:szCs w:val="18"/>
        </w:rPr>
        <w:footnoteRef/>
      </w:r>
      <w:r w:rsidRPr="0011240B">
        <w:rPr>
          <w:rFonts w:asciiTheme="minorHAnsi" w:hAnsiTheme="minorHAnsi" w:cs="Arial"/>
          <w:sz w:val="18"/>
          <w:szCs w:val="18"/>
        </w:rPr>
        <w:t>Key messages are likely to cover: Care and use of LLINs and washing practices; The importance of immediate use of LLIN; The importance of sleeping under an LLIN; The dangers of fake, sub-standard and inappropriate antimalarials; The importance of seeking treatment early from qualified healthcare providers; and, The importance to the community of all cases receiving immediate treatment in an elimination setting.</w:t>
      </w:r>
    </w:p>
  </w:footnote>
  <w:footnote w:id="18">
    <w:p w:rsidR="00D36820" w:rsidRPr="0011240B" w:rsidRDefault="00D36820">
      <w:pPr>
        <w:pStyle w:val="FootnoteText"/>
        <w:rPr>
          <w:rFonts w:asciiTheme="minorHAnsi" w:hAnsiTheme="minorHAnsi"/>
          <w:sz w:val="18"/>
          <w:szCs w:val="18"/>
          <w:lang w:val="en-US"/>
        </w:rPr>
      </w:pPr>
      <w:r w:rsidRPr="0011240B">
        <w:rPr>
          <w:rStyle w:val="FootnoteReference"/>
          <w:rFonts w:asciiTheme="minorHAnsi" w:hAnsiTheme="minorHAnsi"/>
          <w:sz w:val="18"/>
          <w:szCs w:val="18"/>
        </w:rPr>
        <w:footnoteRef/>
      </w:r>
      <w:r w:rsidRPr="0011240B">
        <w:rPr>
          <w:rFonts w:asciiTheme="minorHAnsi" w:hAnsiTheme="minorHAnsi"/>
          <w:sz w:val="18"/>
          <w:szCs w:val="18"/>
          <w:lang w:val="en-US"/>
        </w:rPr>
        <w:t xml:space="preserve">All </w:t>
      </w:r>
      <w:r w:rsidRPr="0011240B">
        <w:rPr>
          <w:rFonts w:asciiTheme="minorHAnsi" w:hAnsiTheme="minorHAnsi" w:cs="Arial"/>
          <w:sz w:val="18"/>
          <w:szCs w:val="18"/>
        </w:rPr>
        <w:t>LLINs will be given to recipients, never loaned.</w:t>
      </w:r>
    </w:p>
  </w:footnote>
  <w:footnote w:id="19">
    <w:p w:rsidR="00D36820" w:rsidRPr="0011240B" w:rsidRDefault="00D36820">
      <w:pPr>
        <w:pStyle w:val="FootnoteText"/>
        <w:rPr>
          <w:rFonts w:asciiTheme="minorHAnsi" w:hAnsiTheme="minorHAnsi"/>
          <w:sz w:val="18"/>
          <w:szCs w:val="18"/>
          <w:lang w:val="en-US"/>
        </w:rPr>
      </w:pPr>
      <w:r w:rsidRPr="0011240B">
        <w:rPr>
          <w:rStyle w:val="FootnoteReference"/>
          <w:rFonts w:asciiTheme="minorHAnsi" w:hAnsiTheme="minorHAnsi"/>
          <w:sz w:val="18"/>
          <w:szCs w:val="18"/>
        </w:rPr>
        <w:footnoteRef/>
      </w:r>
      <w:r w:rsidRPr="0011240B">
        <w:rPr>
          <w:rFonts w:asciiTheme="minorHAnsi" w:hAnsiTheme="minorHAnsi"/>
          <w:sz w:val="18"/>
          <w:szCs w:val="18"/>
          <w:lang w:val="en-US"/>
        </w:rPr>
        <w:t>LLINs are considered to be viable for 3 years post distribution.</w:t>
      </w:r>
    </w:p>
  </w:footnote>
  <w:footnote w:id="20">
    <w:p w:rsidR="00D36820" w:rsidRPr="0011240B" w:rsidRDefault="00D36820">
      <w:pPr>
        <w:pStyle w:val="FootnoteText"/>
        <w:rPr>
          <w:rFonts w:asciiTheme="minorHAnsi" w:hAnsiTheme="minorHAnsi"/>
          <w:sz w:val="18"/>
          <w:szCs w:val="18"/>
          <w:lang w:val="en-US"/>
        </w:rPr>
      </w:pPr>
      <w:r w:rsidRPr="0011240B">
        <w:rPr>
          <w:rStyle w:val="FootnoteReference"/>
          <w:rFonts w:asciiTheme="minorHAnsi" w:hAnsiTheme="minorHAnsi"/>
          <w:sz w:val="18"/>
          <w:szCs w:val="18"/>
        </w:rPr>
        <w:footnoteRef/>
      </w:r>
      <w:r w:rsidRPr="0011240B">
        <w:rPr>
          <w:rFonts w:asciiTheme="minorHAnsi" w:hAnsiTheme="minorHAnsi" w:cs="Arial"/>
          <w:sz w:val="18"/>
          <w:szCs w:val="18"/>
        </w:rPr>
        <w:t>In order to maximize cost effectiveness and sustainability, as of 2017, mass distribution only targets Wards with indigenous cases.</w:t>
      </w:r>
    </w:p>
  </w:footnote>
  <w:footnote w:id="21">
    <w:p w:rsidR="00D36820" w:rsidRPr="0011240B" w:rsidRDefault="00D36820">
      <w:pPr>
        <w:pStyle w:val="FootnoteText"/>
        <w:rPr>
          <w:rFonts w:asciiTheme="minorHAnsi" w:hAnsiTheme="minorHAnsi"/>
          <w:sz w:val="18"/>
          <w:szCs w:val="18"/>
          <w:lang w:val="en-US"/>
        </w:rPr>
      </w:pPr>
      <w:r w:rsidRPr="0011240B">
        <w:rPr>
          <w:rStyle w:val="FootnoteReference"/>
          <w:rFonts w:asciiTheme="minorHAnsi" w:hAnsiTheme="minorHAnsi"/>
          <w:sz w:val="18"/>
          <w:szCs w:val="18"/>
        </w:rPr>
        <w:footnoteRef/>
      </w:r>
      <w:r w:rsidRPr="0011240B">
        <w:rPr>
          <w:rFonts w:asciiTheme="minorHAnsi" w:eastAsiaTheme="minorEastAsia" w:hAnsiTheme="minorHAnsi"/>
          <w:sz w:val="18"/>
          <w:szCs w:val="18"/>
        </w:rPr>
        <w:t>Insecticide choice will take into account safety, residual efficacy, cost effectiveness, availability, existing susceptibility of vectors, and likely effect on susceptibility of vectors.</w:t>
      </w:r>
    </w:p>
  </w:footnote>
  <w:footnote w:id="22">
    <w:p w:rsidR="00D36820" w:rsidRPr="0011240B" w:rsidRDefault="00D36820">
      <w:pPr>
        <w:pStyle w:val="FootnoteText"/>
        <w:rPr>
          <w:lang w:val="en-US"/>
        </w:rPr>
      </w:pPr>
      <w:r w:rsidRPr="0011240B">
        <w:rPr>
          <w:rStyle w:val="FootnoteReference"/>
        </w:rPr>
        <w:footnoteRef/>
      </w:r>
      <w:r w:rsidRPr="0011240B">
        <w:rPr>
          <w:rFonts w:asciiTheme="minorHAnsi" w:hAnsiTheme="minorHAnsi"/>
        </w:rPr>
        <w:t>e.g. in outbreak areas where IR may be responsible for the outbreak and in areas at high risk of IR, such as areas with high agricultural pyrethroid use.</w:t>
      </w:r>
    </w:p>
  </w:footnote>
  <w:footnote w:id="23">
    <w:p w:rsidR="00D36820" w:rsidRPr="0011240B" w:rsidRDefault="00D36820">
      <w:pPr>
        <w:pStyle w:val="FootnoteText"/>
        <w:rPr>
          <w:rFonts w:asciiTheme="minorHAnsi" w:hAnsiTheme="minorHAnsi" w:cs="Arial"/>
          <w:sz w:val="18"/>
          <w:szCs w:val="18"/>
        </w:rPr>
      </w:pPr>
      <w:r w:rsidRPr="0011240B">
        <w:rPr>
          <w:rStyle w:val="FootnoteReference"/>
          <w:rFonts w:asciiTheme="minorHAnsi" w:hAnsiTheme="minorHAnsi" w:cs="Arial"/>
          <w:sz w:val="18"/>
          <w:szCs w:val="18"/>
        </w:rPr>
        <w:footnoteRef/>
      </w:r>
      <w:r w:rsidRPr="0011240B">
        <w:rPr>
          <w:rFonts w:asciiTheme="minorHAnsi" w:hAnsiTheme="minorHAnsi" w:cs="Arial"/>
          <w:sz w:val="18"/>
          <w:szCs w:val="18"/>
        </w:rPr>
        <w:t xml:space="preserve"> Refer to the </w:t>
      </w:r>
      <w:hyperlink r:id="rId1" w:history="1">
        <w:r w:rsidRPr="0011240B">
          <w:rPr>
            <w:rStyle w:val="Hyperlink"/>
            <w:rFonts w:asciiTheme="minorHAnsi" w:hAnsiTheme="minorHAnsi" w:cs="Arial"/>
            <w:color w:val="auto"/>
            <w:sz w:val="18"/>
            <w:szCs w:val="18"/>
          </w:rPr>
          <w:t>Global Fund 2017 Eligibility List</w:t>
        </w:r>
      </w:hyperlink>
      <w:r w:rsidRPr="0011240B">
        <w:rPr>
          <w:rFonts w:asciiTheme="minorHAnsi" w:hAnsiTheme="minorHAnsi" w:cs="Arial"/>
          <w:sz w:val="18"/>
          <w:szCs w:val="18"/>
        </w:rPr>
        <w:t>for income level</w:t>
      </w:r>
      <w:r w:rsidRPr="0011240B">
        <w:rPr>
          <w:rStyle w:val="Hyperlink"/>
          <w:rFonts w:asciiTheme="minorHAnsi" w:hAnsiTheme="minorHAnsi" w:cs="Arial"/>
          <w:color w:val="auto"/>
          <w:sz w:val="18"/>
          <w:szCs w:val="18"/>
          <w:u w:val="none"/>
        </w:rPr>
        <w:t xml:space="preserve">. </w:t>
      </w:r>
      <w:r w:rsidRPr="0011240B">
        <w:rPr>
          <w:rFonts w:asciiTheme="minorHAnsi" w:hAnsiTheme="minorHAnsi" w:cs="Arial"/>
          <w:sz w:val="18"/>
          <w:szCs w:val="18"/>
        </w:rPr>
        <w:t xml:space="preserve">LMI and UMI countries have specific requirements in terms of the focus of applications as set forth in the Global Fund </w:t>
      </w:r>
      <w:hyperlink r:id="rId2" w:history="1">
        <w:r w:rsidRPr="0011240B">
          <w:rPr>
            <w:rStyle w:val="Hyperlink"/>
            <w:rFonts w:asciiTheme="minorHAnsi" w:hAnsiTheme="minorHAnsi" w:cs="Arial"/>
            <w:color w:val="auto"/>
            <w:sz w:val="18"/>
            <w:szCs w:val="18"/>
          </w:rPr>
          <w:t>Sustainability, Transition and Co-Financing Policy</w:t>
        </w:r>
      </w:hyperlink>
      <w:r w:rsidRPr="0011240B">
        <w:rPr>
          <w:rFonts w:asciiTheme="minorHAnsi" w:hAnsiTheme="minorHAnsi" w:cs="Arial"/>
          <w:sz w:val="18"/>
          <w:szCs w:val="18"/>
        </w:rPr>
        <w:t>.</w:t>
      </w:r>
    </w:p>
  </w:footnote>
  <w:footnote w:id="24">
    <w:p w:rsidR="00D36820" w:rsidRPr="0011240B" w:rsidRDefault="00D36820" w:rsidP="00C71D93">
      <w:pPr>
        <w:pStyle w:val="FootnoteText"/>
        <w:rPr>
          <w:rFonts w:asciiTheme="minorHAnsi" w:hAnsiTheme="minorHAnsi"/>
          <w:sz w:val="18"/>
          <w:szCs w:val="18"/>
          <w:lang w:val="en-US"/>
        </w:rPr>
      </w:pPr>
      <w:r w:rsidRPr="0011240B">
        <w:rPr>
          <w:rStyle w:val="FootnoteReference"/>
          <w:rFonts w:asciiTheme="minorHAnsi" w:hAnsiTheme="minorHAnsi"/>
          <w:sz w:val="18"/>
          <w:szCs w:val="18"/>
        </w:rPr>
        <w:footnoteRef/>
      </w:r>
      <w:r w:rsidRPr="0011240B">
        <w:rPr>
          <w:rFonts w:asciiTheme="minorHAnsi" w:hAnsiTheme="minorHAnsi"/>
          <w:sz w:val="18"/>
          <w:szCs w:val="18"/>
          <w:lang w:val="en-US"/>
        </w:rPr>
        <w:t>VBDRTC is based in Hetauda, 4 hours drive south of Kathmandu.</w:t>
      </w:r>
    </w:p>
  </w:footnote>
  <w:footnote w:id="25">
    <w:p w:rsidR="00D36820" w:rsidRPr="0031075D" w:rsidRDefault="00D36820" w:rsidP="00EF1DA8">
      <w:pPr>
        <w:pStyle w:val="FootnoteText"/>
        <w:rPr>
          <w:rFonts w:ascii="Calibri" w:hAnsi="Calibri"/>
        </w:rPr>
      </w:pPr>
      <w:r w:rsidRPr="0031075D">
        <w:rPr>
          <w:rStyle w:val="FootnoteReference"/>
          <w:rFonts w:ascii="Calibri" w:hAnsi="Calibri"/>
        </w:rPr>
        <w:footnoteRef/>
      </w:r>
      <w:r w:rsidRPr="0031075D">
        <w:rPr>
          <w:rFonts w:ascii="Calibri" w:hAnsi="Calibri"/>
          <w:iCs/>
          <w:lang w:val="en-US"/>
        </w:rPr>
        <w:t xml:space="preserve">Excluding funds for LLINs, which will not be required from GFATM </w:t>
      </w:r>
      <w:r>
        <w:rPr>
          <w:rFonts w:ascii="Calibri" w:hAnsi="Calibri"/>
          <w:iCs/>
          <w:lang w:val="en-US"/>
        </w:rPr>
        <w:t>any longer</w:t>
      </w:r>
      <w:r w:rsidRPr="0031075D">
        <w:rPr>
          <w:rFonts w:ascii="Calibri" w:hAnsi="Calibri"/>
          <w:iCs/>
          <w:lang w:val="en-US"/>
        </w:rPr>
        <w:t>.</w:t>
      </w:r>
    </w:p>
  </w:footnote>
  <w:footnote w:id="26">
    <w:p w:rsidR="00D36820" w:rsidRPr="0011240B" w:rsidRDefault="00D36820">
      <w:pPr>
        <w:pStyle w:val="FootnoteText"/>
        <w:rPr>
          <w:rFonts w:asciiTheme="minorHAnsi" w:hAnsiTheme="minorHAnsi" w:cs="Arial"/>
          <w:sz w:val="18"/>
          <w:szCs w:val="18"/>
          <w:lang w:val="en-US"/>
        </w:rPr>
      </w:pPr>
      <w:r w:rsidRPr="0011240B">
        <w:rPr>
          <w:rStyle w:val="FootnoteReference"/>
          <w:rFonts w:asciiTheme="minorHAnsi" w:hAnsiTheme="minorHAnsi" w:cs="Arial"/>
          <w:sz w:val="18"/>
          <w:szCs w:val="18"/>
        </w:rPr>
        <w:footnoteRef/>
      </w:r>
      <w:r w:rsidRPr="0011240B">
        <w:rPr>
          <w:rFonts w:asciiTheme="minorHAnsi" w:hAnsiTheme="minorHAnsi" w:cs="Arial"/>
          <w:sz w:val="18"/>
          <w:szCs w:val="18"/>
          <w:lang w:val="en-US"/>
        </w:rPr>
        <w:t xml:space="preserve">Smith, D.L. </w:t>
      </w:r>
      <w:r w:rsidRPr="0011240B">
        <w:rPr>
          <w:rFonts w:asciiTheme="minorHAnsi" w:hAnsiTheme="minorHAnsi" w:cs="Arial"/>
          <w:i/>
          <w:sz w:val="18"/>
          <w:szCs w:val="18"/>
          <w:lang w:val="en-US"/>
        </w:rPr>
        <w:t>et al</w:t>
      </w:r>
      <w:r w:rsidRPr="0011240B">
        <w:rPr>
          <w:rFonts w:asciiTheme="minorHAnsi" w:hAnsiTheme="minorHAnsi" w:cs="Arial"/>
          <w:sz w:val="18"/>
          <w:szCs w:val="18"/>
          <w:lang w:val="en-US"/>
        </w:rPr>
        <w:t xml:space="preserve">., (2013) A sticky situation: the unexpected stability of malaria elimination. </w:t>
      </w:r>
      <w:r w:rsidRPr="0011240B">
        <w:rPr>
          <w:rFonts w:asciiTheme="minorHAnsi" w:hAnsiTheme="minorHAnsi" w:cs="Arial"/>
          <w:i/>
          <w:iCs/>
          <w:sz w:val="18"/>
          <w:szCs w:val="18"/>
          <w:lang w:val="en-US"/>
        </w:rPr>
        <w:t>Philosophical transactions of the Royal Society of London. Series B, Biological sciences</w:t>
      </w:r>
      <w:r w:rsidRPr="0011240B">
        <w:rPr>
          <w:rFonts w:asciiTheme="minorHAnsi" w:hAnsiTheme="minorHAnsi" w:cs="Arial"/>
          <w:sz w:val="18"/>
          <w:szCs w:val="18"/>
          <w:lang w:val="en-US"/>
        </w:rPr>
        <w:t>, 368, (1623), 20120145.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F415F"/>
    <w:multiLevelType w:val="hybridMultilevel"/>
    <w:tmpl w:val="30303068"/>
    <w:lvl w:ilvl="0" w:tplc="D616B910">
      <w:start w:val="1"/>
      <w:numFmt w:val="upperLetter"/>
      <w:lvlText w:val="%1)"/>
      <w:lvlJc w:val="left"/>
      <w:pPr>
        <w:ind w:left="720" w:hanging="360"/>
      </w:pPr>
      <w:rPr>
        <w:rFonts w:ascii="Georgia" w:eastAsiaTheme="minorHAnsi" w:hAnsi="Georgia" w:cstheme="minorBidi"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B73719D"/>
    <w:multiLevelType w:val="hybridMultilevel"/>
    <w:tmpl w:val="EBB86F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D8A61A7"/>
    <w:multiLevelType w:val="hybridMultilevel"/>
    <w:tmpl w:val="F55EC154"/>
    <w:lvl w:ilvl="0" w:tplc="0EC61BCE">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5F5470"/>
    <w:multiLevelType w:val="hybridMultilevel"/>
    <w:tmpl w:val="3240302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F522017"/>
    <w:multiLevelType w:val="hybridMultilevel"/>
    <w:tmpl w:val="0F9642EA"/>
    <w:lvl w:ilvl="0" w:tplc="08090017">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EB02662"/>
    <w:multiLevelType w:val="hybridMultilevel"/>
    <w:tmpl w:val="77EACAB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1EC49EC"/>
    <w:multiLevelType w:val="hybridMultilevel"/>
    <w:tmpl w:val="2A56AD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61711B4"/>
    <w:multiLevelType w:val="hybridMultilevel"/>
    <w:tmpl w:val="A8487E6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1CB1D55"/>
    <w:multiLevelType w:val="hybridMultilevel"/>
    <w:tmpl w:val="8FDA1408"/>
    <w:lvl w:ilvl="0" w:tplc="19902554">
      <w:start w:val="1"/>
      <w:numFmt w:val="lowerLetter"/>
      <w:lvlText w:val="%1)"/>
      <w:lvlJc w:val="left"/>
      <w:pPr>
        <w:ind w:left="720" w:hanging="360"/>
      </w:pPr>
      <w:rPr>
        <w:rFonts w:ascii="Georgia" w:eastAsiaTheme="minorHAnsi" w:hAnsi="Georgia" w:cstheme="minorBidi"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7F238B6"/>
    <w:multiLevelType w:val="hybridMultilevel"/>
    <w:tmpl w:val="814CDB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B53406B"/>
    <w:multiLevelType w:val="hybridMultilevel"/>
    <w:tmpl w:val="C7F8284C"/>
    <w:lvl w:ilvl="0" w:tplc="0F92D68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5DDA494F"/>
    <w:multiLevelType w:val="hybridMultilevel"/>
    <w:tmpl w:val="810E715C"/>
    <w:lvl w:ilvl="0" w:tplc="7ACEC0A6">
      <w:start w:val="1"/>
      <w:numFmt w:val="lowerLetter"/>
      <w:lvlText w:val="%1)"/>
      <w:lvlJc w:val="left"/>
      <w:pPr>
        <w:ind w:left="644"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27E3709"/>
    <w:multiLevelType w:val="hybridMultilevel"/>
    <w:tmpl w:val="C4F470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3C82D2B"/>
    <w:multiLevelType w:val="hybridMultilevel"/>
    <w:tmpl w:val="32F09EE4"/>
    <w:lvl w:ilvl="0" w:tplc="CD328F90">
      <w:start w:val="3"/>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6355155"/>
    <w:multiLevelType w:val="hybridMultilevel"/>
    <w:tmpl w:val="C27A57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84C0BAB"/>
    <w:multiLevelType w:val="hybridMultilevel"/>
    <w:tmpl w:val="2580E3BC"/>
    <w:lvl w:ilvl="0" w:tplc="0A8E6D1C">
      <w:start w:val="3"/>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D4B1E6F"/>
    <w:multiLevelType w:val="hybridMultilevel"/>
    <w:tmpl w:val="B798F6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EC83EA8"/>
    <w:multiLevelType w:val="hybridMultilevel"/>
    <w:tmpl w:val="92AC6422"/>
    <w:lvl w:ilvl="0" w:tplc="BE962E7C">
      <w:start w:val="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9C3702B"/>
    <w:multiLevelType w:val="hybridMultilevel"/>
    <w:tmpl w:val="E0666630"/>
    <w:lvl w:ilvl="0" w:tplc="7932F3E2">
      <w:start w:val="1"/>
      <w:numFmt w:val="lowerLetter"/>
      <w:lvlText w:val="%1)"/>
      <w:lvlJc w:val="left"/>
      <w:pPr>
        <w:ind w:left="720" w:hanging="360"/>
      </w:pPr>
      <w:rPr>
        <w:rFonts w:ascii="Georgia" w:eastAsiaTheme="minorHAnsi" w:hAnsi="Georgia" w:cstheme="minorBidi"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9"/>
  </w:num>
  <w:num w:numId="3">
    <w:abstractNumId w:val="1"/>
  </w:num>
  <w:num w:numId="4">
    <w:abstractNumId w:val="12"/>
  </w:num>
  <w:num w:numId="5">
    <w:abstractNumId w:val="4"/>
  </w:num>
  <w:num w:numId="6">
    <w:abstractNumId w:val="11"/>
  </w:num>
  <w:num w:numId="7">
    <w:abstractNumId w:val="7"/>
  </w:num>
  <w:num w:numId="8">
    <w:abstractNumId w:val="18"/>
  </w:num>
  <w:num w:numId="9">
    <w:abstractNumId w:val="10"/>
  </w:num>
  <w:num w:numId="10">
    <w:abstractNumId w:val="0"/>
  </w:num>
  <w:num w:numId="11">
    <w:abstractNumId w:val="8"/>
  </w:num>
  <w:num w:numId="12">
    <w:abstractNumId w:val="17"/>
  </w:num>
  <w:num w:numId="13">
    <w:abstractNumId w:val="3"/>
  </w:num>
  <w:num w:numId="14">
    <w:abstractNumId w:val="5"/>
  </w:num>
  <w:num w:numId="15">
    <w:abstractNumId w:val="14"/>
  </w:num>
  <w:num w:numId="16">
    <w:abstractNumId w:val="2"/>
  </w:num>
  <w:num w:numId="17">
    <w:abstractNumId w:val="15"/>
  </w:num>
  <w:num w:numId="18">
    <w:abstractNumId w:val="13"/>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 w:id="2"/>
  </w:footnotePr>
  <w:endnotePr>
    <w:endnote w:id="0"/>
    <w:endnote w:id="1"/>
    <w:endnote w:id="2"/>
  </w:endnotePr>
  <w:compat/>
  <w:rsids>
    <w:rsidRoot w:val="00042DCA"/>
    <w:rsid w:val="0000102F"/>
    <w:rsid w:val="00003D0A"/>
    <w:rsid w:val="000042B7"/>
    <w:rsid w:val="0000536F"/>
    <w:rsid w:val="00005564"/>
    <w:rsid w:val="00005886"/>
    <w:rsid w:val="00005E61"/>
    <w:rsid w:val="00007964"/>
    <w:rsid w:val="000144A2"/>
    <w:rsid w:val="00021083"/>
    <w:rsid w:val="00022340"/>
    <w:rsid w:val="00025432"/>
    <w:rsid w:val="000254E6"/>
    <w:rsid w:val="00027F87"/>
    <w:rsid w:val="00030BBD"/>
    <w:rsid w:val="00031D97"/>
    <w:rsid w:val="00035C1E"/>
    <w:rsid w:val="00037319"/>
    <w:rsid w:val="00041059"/>
    <w:rsid w:val="00042885"/>
    <w:rsid w:val="00042DCA"/>
    <w:rsid w:val="000575A3"/>
    <w:rsid w:val="0006300D"/>
    <w:rsid w:val="00064124"/>
    <w:rsid w:val="00065B95"/>
    <w:rsid w:val="00066729"/>
    <w:rsid w:val="00070D18"/>
    <w:rsid w:val="00074D5D"/>
    <w:rsid w:val="00081B46"/>
    <w:rsid w:val="00082AA7"/>
    <w:rsid w:val="000848D3"/>
    <w:rsid w:val="00090838"/>
    <w:rsid w:val="00091C47"/>
    <w:rsid w:val="000954F7"/>
    <w:rsid w:val="0009564F"/>
    <w:rsid w:val="00096680"/>
    <w:rsid w:val="000974C7"/>
    <w:rsid w:val="00097527"/>
    <w:rsid w:val="000A1E70"/>
    <w:rsid w:val="000A2F7B"/>
    <w:rsid w:val="000A7A72"/>
    <w:rsid w:val="000B1104"/>
    <w:rsid w:val="000B328B"/>
    <w:rsid w:val="000B3FD0"/>
    <w:rsid w:val="000B743D"/>
    <w:rsid w:val="000C6594"/>
    <w:rsid w:val="000C77DA"/>
    <w:rsid w:val="000D154F"/>
    <w:rsid w:val="000D4784"/>
    <w:rsid w:val="000E1FF0"/>
    <w:rsid w:val="000E2B78"/>
    <w:rsid w:val="000E43EB"/>
    <w:rsid w:val="000F261A"/>
    <w:rsid w:val="000F5A61"/>
    <w:rsid w:val="00100659"/>
    <w:rsid w:val="001006F9"/>
    <w:rsid w:val="001031F2"/>
    <w:rsid w:val="00103E84"/>
    <w:rsid w:val="00105194"/>
    <w:rsid w:val="0011240B"/>
    <w:rsid w:val="00112BF2"/>
    <w:rsid w:val="00113EAB"/>
    <w:rsid w:val="00114485"/>
    <w:rsid w:val="00115BBB"/>
    <w:rsid w:val="00115FCB"/>
    <w:rsid w:val="00116378"/>
    <w:rsid w:val="0011786E"/>
    <w:rsid w:val="00117BE3"/>
    <w:rsid w:val="00124E5A"/>
    <w:rsid w:val="001303F6"/>
    <w:rsid w:val="00130683"/>
    <w:rsid w:val="00131AD3"/>
    <w:rsid w:val="0014050F"/>
    <w:rsid w:val="00141001"/>
    <w:rsid w:val="00142F1D"/>
    <w:rsid w:val="00143E88"/>
    <w:rsid w:val="00144FF7"/>
    <w:rsid w:val="00147D01"/>
    <w:rsid w:val="00150FF8"/>
    <w:rsid w:val="001565D1"/>
    <w:rsid w:val="001631BD"/>
    <w:rsid w:val="0016752B"/>
    <w:rsid w:val="00171098"/>
    <w:rsid w:val="00176282"/>
    <w:rsid w:val="00177BE8"/>
    <w:rsid w:val="00181797"/>
    <w:rsid w:val="001824E8"/>
    <w:rsid w:val="001875DF"/>
    <w:rsid w:val="00191EA3"/>
    <w:rsid w:val="00192E5F"/>
    <w:rsid w:val="001932A7"/>
    <w:rsid w:val="001A0847"/>
    <w:rsid w:val="001A08D0"/>
    <w:rsid w:val="001A2BFC"/>
    <w:rsid w:val="001A4E6B"/>
    <w:rsid w:val="001A6939"/>
    <w:rsid w:val="001B0C39"/>
    <w:rsid w:val="001B7540"/>
    <w:rsid w:val="001C281C"/>
    <w:rsid w:val="001C37DD"/>
    <w:rsid w:val="001D0C6A"/>
    <w:rsid w:val="001D6A02"/>
    <w:rsid w:val="001E0EE6"/>
    <w:rsid w:val="001E247E"/>
    <w:rsid w:val="001E5064"/>
    <w:rsid w:val="001E7979"/>
    <w:rsid w:val="001F0181"/>
    <w:rsid w:val="001F1016"/>
    <w:rsid w:val="001F17DE"/>
    <w:rsid w:val="001F1FC9"/>
    <w:rsid w:val="001F2969"/>
    <w:rsid w:val="001F72C1"/>
    <w:rsid w:val="0020041F"/>
    <w:rsid w:val="002007FE"/>
    <w:rsid w:val="00213F60"/>
    <w:rsid w:val="00215CCE"/>
    <w:rsid w:val="0021698C"/>
    <w:rsid w:val="002174A0"/>
    <w:rsid w:val="00224085"/>
    <w:rsid w:val="00224690"/>
    <w:rsid w:val="0022471B"/>
    <w:rsid w:val="002270D7"/>
    <w:rsid w:val="002307A4"/>
    <w:rsid w:val="00233933"/>
    <w:rsid w:val="00236035"/>
    <w:rsid w:val="00237D7E"/>
    <w:rsid w:val="00240533"/>
    <w:rsid w:val="00241DEE"/>
    <w:rsid w:val="00245595"/>
    <w:rsid w:val="00245B9F"/>
    <w:rsid w:val="0025564B"/>
    <w:rsid w:val="00256EAA"/>
    <w:rsid w:val="00257DE1"/>
    <w:rsid w:val="00257E3D"/>
    <w:rsid w:val="00261500"/>
    <w:rsid w:val="00265189"/>
    <w:rsid w:val="002665F8"/>
    <w:rsid w:val="00274526"/>
    <w:rsid w:val="002748D9"/>
    <w:rsid w:val="002763F9"/>
    <w:rsid w:val="0028093B"/>
    <w:rsid w:val="002831E1"/>
    <w:rsid w:val="00283A0C"/>
    <w:rsid w:val="002A53B0"/>
    <w:rsid w:val="002A544B"/>
    <w:rsid w:val="002A741F"/>
    <w:rsid w:val="002B3C7E"/>
    <w:rsid w:val="002B46A9"/>
    <w:rsid w:val="002C1595"/>
    <w:rsid w:val="002C5CDB"/>
    <w:rsid w:val="002C5DFD"/>
    <w:rsid w:val="002C6593"/>
    <w:rsid w:val="002D19E8"/>
    <w:rsid w:val="002D274E"/>
    <w:rsid w:val="002D6520"/>
    <w:rsid w:val="002E4845"/>
    <w:rsid w:val="002E6548"/>
    <w:rsid w:val="002F6341"/>
    <w:rsid w:val="00301A1C"/>
    <w:rsid w:val="00307846"/>
    <w:rsid w:val="00310012"/>
    <w:rsid w:val="003109F5"/>
    <w:rsid w:val="00311BE2"/>
    <w:rsid w:val="00312018"/>
    <w:rsid w:val="00312068"/>
    <w:rsid w:val="003145A5"/>
    <w:rsid w:val="003176A9"/>
    <w:rsid w:val="00322634"/>
    <w:rsid w:val="003237AE"/>
    <w:rsid w:val="00324BFE"/>
    <w:rsid w:val="00327202"/>
    <w:rsid w:val="00332442"/>
    <w:rsid w:val="00334DAB"/>
    <w:rsid w:val="00340ABB"/>
    <w:rsid w:val="00340B08"/>
    <w:rsid w:val="00342962"/>
    <w:rsid w:val="003457BF"/>
    <w:rsid w:val="003521F5"/>
    <w:rsid w:val="00352AE5"/>
    <w:rsid w:val="003635D5"/>
    <w:rsid w:val="00365660"/>
    <w:rsid w:val="003661F7"/>
    <w:rsid w:val="00366E9D"/>
    <w:rsid w:val="00372E03"/>
    <w:rsid w:val="00372FB4"/>
    <w:rsid w:val="00374C37"/>
    <w:rsid w:val="00377B36"/>
    <w:rsid w:val="00385CD2"/>
    <w:rsid w:val="00386FF7"/>
    <w:rsid w:val="00390D00"/>
    <w:rsid w:val="00391109"/>
    <w:rsid w:val="00391DE8"/>
    <w:rsid w:val="003948DC"/>
    <w:rsid w:val="003A2BE2"/>
    <w:rsid w:val="003A3853"/>
    <w:rsid w:val="003A59C6"/>
    <w:rsid w:val="003B5DDE"/>
    <w:rsid w:val="003B6E16"/>
    <w:rsid w:val="003C1A73"/>
    <w:rsid w:val="003C1E4A"/>
    <w:rsid w:val="003C71D6"/>
    <w:rsid w:val="003D22AA"/>
    <w:rsid w:val="003D2A6F"/>
    <w:rsid w:val="003D4126"/>
    <w:rsid w:val="003D5379"/>
    <w:rsid w:val="003D6BEE"/>
    <w:rsid w:val="003E27D3"/>
    <w:rsid w:val="003E61E7"/>
    <w:rsid w:val="003E73B5"/>
    <w:rsid w:val="003E7A4D"/>
    <w:rsid w:val="003F012C"/>
    <w:rsid w:val="003F0A9F"/>
    <w:rsid w:val="003F39C8"/>
    <w:rsid w:val="003F3AD7"/>
    <w:rsid w:val="003F4392"/>
    <w:rsid w:val="003F4BE6"/>
    <w:rsid w:val="003F6CE3"/>
    <w:rsid w:val="003F78D4"/>
    <w:rsid w:val="00401BF5"/>
    <w:rsid w:val="00401EBB"/>
    <w:rsid w:val="00403D7E"/>
    <w:rsid w:val="00411B0E"/>
    <w:rsid w:val="0041310D"/>
    <w:rsid w:val="00413A1E"/>
    <w:rsid w:val="00414985"/>
    <w:rsid w:val="00416913"/>
    <w:rsid w:val="00420981"/>
    <w:rsid w:val="004308A9"/>
    <w:rsid w:val="004329F7"/>
    <w:rsid w:val="0043346F"/>
    <w:rsid w:val="004339CA"/>
    <w:rsid w:val="00441A20"/>
    <w:rsid w:val="00441C05"/>
    <w:rsid w:val="004423ED"/>
    <w:rsid w:val="0044688A"/>
    <w:rsid w:val="00446B9F"/>
    <w:rsid w:val="0045292A"/>
    <w:rsid w:val="00452E8E"/>
    <w:rsid w:val="00452F67"/>
    <w:rsid w:val="00454458"/>
    <w:rsid w:val="00455090"/>
    <w:rsid w:val="00456AD1"/>
    <w:rsid w:val="004613C9"/>
    <w:rsid w:val="00464686"/>
    <w:rsid w:val="0047357A"/>
    <w:rsid w:val="004759B7"/>
    <w:rsid w:val="004767FE"/>
    <w:rsid w:val="00476BE6"/>
    <w:rsid w:val="00477513"/>
    <w:rsid w:val="00477840"/>
    <w:rsid w:val="00481E9F"/>
    <w:rsid w:val="00483BE4"/>
    <w:rsid w:val="00485BE4"/>
    <w:rsid w:val="00485F5B"/>
    <w:rsid w:val="00485FA9"/>
    <w:rsid w:val="00494227"/>
    <w:rsid w:val="00494971"/>
    <w:rsid w:val="004A0E54"/>
    <w:rsid w:val="004A256B"/>
    <w:rsid w:val="004A376B"/>
    <w:rsid w:val="004A43AD"/>
    <w:rsid w:val="004A52C7"/>
    <w:rsid w:val="004A63EE"/>
    <w:rsid w:val="004A6768"/>
    <w:rsid w:val="004B12A2"/>
    <w:rsid w:val="004B427C"/>
    <w:rsid w:val="004B44D5"/>
    <w:rsid w:val="004C2CB9"/>
    <w:rsid w:val="004C4200"/>
    <w:rsid w:val="004C7AF2"/>
    <w:rsid w:val="004D12A1"/>
    <w:rsid w:val="004D4599"/>
    <w:rsid w:val="004F1B46"/>
    <w:rsid w:val="004F2E7F"/>
    <w:rsid w:val="004F3470"/>
    <w:rsid w:val="004F35CC"/>
    <w:rsid w:val="004F6A73"/>
    <w:rsid w:val="00500945"/>
    <w:rsid w:val="0050308F"/>
    <w:rsid w:val="00514C0F"/>
    <w:rsid w:val="00517B65"/>
    <w:rsid w:val="0052088E"/>
    <w:rsid w:val="00524DD0"/>
    <w:rsid w:val="005265DB"/>
    <w:rsid w:val="005301E1"/>
    <w:rsid w:val="00540EB1"/>
    <w:rsid w:val="00541F92"/>
    <w:rsid w:val="00543F7C"/>
    <w:rsid w:val="005468D0"/>
    <w:rsid w:val="00555757"/>
    <w:rsid w:val="00557B1D"/>
    <w:rsid w:val="005614E5"/>
    <w:rsid w:val="00563197"/>
    <w:rsid w:val="005638BC"/>
    <w:rsid w:val="00565424"/>
    <w:rsid w:val="00565520"/>
    <w:rsid w:val="00565E5F"/>
    <w:rsid w:val="00570651"/>
    <w:rsid w:val="00572B8D"/>
    <w:rsid w:val="005737FD"/>
    <w:rsid w:val="0057506C"/>
    <w:rsid w:val="00580142"/>
    <w:rsid w:val="00581C6F"/>
    <w:rsid w:val="00584864"/>
    <w:rsid w:val="00592296"/>
    <w:rsid w:val="00593530"/>
    <w:rsid w:val="00594899"/>
    <w:rsid w:val="005A251C"/>
    <w:rsid w:val="005A5808"/>
    <w:rsid w:val="005A5815"/>
    <w:rsid w:val="005A62F6"/>
    <w:rsid w:val="005A734A"/>
    <w:rsid w:val="005A7B0C"/>
    <w:rsid w:val="005B3A01"/>
    <w:rsid w:val="005B41A6"/>
    <w:rsid w:val="005C4F27"/>
    <w:rsid w:val="005C6DB3"/>
    <w:rsid w:val="005D6520"/>
    <w:rsid w:val="005F21B8"/>
    <w:rsid w:val="005F50E1"/>
    <w:rsid w:val="0060281F"/>
    <w:rsid w:val="00604710"/>
    <w:rsid w:val="00605088"/>
    <w:rsid w:val="006145AB"/>
    <w:rsid w:val="00627ADA"/>
    <w:rsid w:val="006302B4"/>
    <w:rsid w:val="0063035D"/>
    <w:rsid w:val="00634C4A"/>
    <w:rsid w:val="00634FB7"/>
    <w:rsid w:val="00636B9E"/>
    <w:rsid w:val="00636BD7"/>
    <w:rsid w:val="00636EC7"/>
    <w:rsid w:val="00641E29"/>
    <w:rsid w:val="00642537"/>
    <w:rsid w:val="006448A4"/>
    <w:rsid w:val="00647933"/>
    <w:rsid w:val="00651B41"/>
    <w:rsid w:val="006530C0"/>
    <w:rsid w:val="0065764B"/>
    <w:rsid w:val="006673CC"/>
    <w:rsid w:val="0066786D"/>
    <w:rsid w:val="00670258"/>
    <w:rsid w:val="00681C1A"/>
    <w:rsid w:val="00682977"/>
    <w:rsid w:val="00684013"/>
    <w:rsid w:val="0068519E"/>
    <w:rsid w:val="00685308"/>
    <w:rsid w:val="00690D4A"/>
    <w:rsid w:val="00691DB4"/>
    <w:rsid w:val="0069201C"/>
    <w:rsid w:val="00694851"/>
    <w:rsid w:val="006A18D5"/>
    <w:rsid w:val="006A271C"/>
    <w:rsid w:val="006B05C8"/>
    <w:rsid w:val="006B43FA"/>
    <w:rsid w:val="006B55B0"/>
    <w:rsid w:val="006B574E"/>
    <w:rsid w:val="006B58E9"/>
    <w:rsid w:val="006B7572"/>
    <w:rsid w:val="006C093E"/>
    <w:rsid w:val="006C0AFC"/>
    <w:rsid w:val="006C7E6B"/>
    <w:rsid w:val="006D083A"/>
    <w:rsid w:val="006D1F25"/>
    <w:rsid w:val="006D65AD"/>
    <w:rsid w:val="006D6988"/>
    <w:rsid w:val="006E048B"/>
    <w:rsid w:val="006E3137"/>
    <w:rsid w:val="006E34FA"/>
    <w:rsid w:val="006E3789"/>
    <w:rsid w:val="006E6670"/>
    <w:rsid w:val="006F13A0"/>
    <w:rsid w:val="006F60C8"/>
    <w:rsid w:val="0071323F"/>
    <w:rsid w:val="007139E1"/>
    <w:rsid w:val="00713F6B"/>
    <w:rsid w:val="00714500"/>
    <w:rsid w:val="007165AA"/>
    <w:rsid w:val="0071703B"/>
    <w:rsid w:val="00720A0D"/>
    <w:rsid w:val="00723ACC"/>
    <w:rsid w:val="0072776E"/>
    <w:rsid w:val="0073091D"/>
    <w:rsid w:val="007313FD"/>
    <w:rsid w:val="00731E20"/>
    <w:rsid w:val="007326B5"/>
    <w:rsid w:val="00736AC4"/>
    <w:rsid w:val="007406DE"/>
    <w:rsid w:val="007410BE"/>
    <w:rsid w:val="00741C35"/>
    <w:rsid w:val="007431AE"/>
    <w:rsid w:val="0075107B"/>
    <w:rsid w:val="00753C3A"/>
    <w:rsid w:val="00761057"/>
    <w:rsid w:val="00761FD3"/>
    <w:rsid w:val="0076778A"/>
    <w:rsid w:val="00770452"/>
    <w:rsid w:val="00785734"/>
    <w:rsid w:val="00786248"/>
    <w:rsid w:val="0078691F"/>
    <w:rsid w:val="00787FD1"/>
    <w:rsid w:val="007A17B8"/>
    <w:rsid w:val="007A704C"/>
    <w:rsid w:val="007B0144"/>
    <w:rsid w:val="007B3AAC"/>
    <w:rsid w:val="007B548A"/>
    <w:rsid w:val="007C023F"/>
    <w:rsid w:val="007C4088"/>
    <w:rsid w:val="007C4EAD"/>
    <w:rsid w:val="007C73E3"/>
    <w:rsid w:val="007D42D1"/>
    <w:rsid w:val="007D6698"/>
    <w:rsid w:val="007E0CC3"/>
    <w:rsid w:val="007E2FD6"/>
    <w:rsid w:val="007F0BE1"/>
    <w:rsid w:val="007F1BF3"/>
    <w:rsid w:val="007F354D"/>
    <w:rsid w:val="007F421D"/>
    <w:rsid w:val="007F492F"/>
    <w:rsid w:val="007F4AFF"/>
    <w:rsid w:val="00803A71"/>
    <w:rsid w:val="00805576"/>
    <w:rsid w:val="00805F0F"/>
    <w:rsid w:val="00806626"/>
    <w:rsid w:val="00813540"/>
    <w:rsid w:val="00815F50"/>
    <w:rsid w:val="0082243A"/>
    <w:rsid w:val="00827D9E"/>
    <w:rsid w:val="0083056E"/>
    <w:rsid w:val="00832CC5"/>
    <w:rsid w:val="00832DBA"/>
    <w:rsid w:val="00833F25"/>
    <w:rsid w:val="00834F04"/>
    <w:rsid w:val="008365DE"/>
    <w:rsid w:val="00836DB5"/>
    <w:rsid w:val="0084080D"/>
    <w:rsid w:val="00843670"/>
    <w:rsid w:val="00843E00"/>
    <w:rsid w:val="00845625"/>
    <w:rsid w:val="00845D37"/>
    <w:rsid w:val="00846215"/>
    <w:rsid w:val="00847070"/>
    <w:rsid w:val="00847F4D"/>
    <w:rsid w:val="008528E2"/>
    <w:rsid w:val="008547FF"/>
    <w:rsid w:val="00860492"/>
    <w:rsid w:val="0086256B"/>
    <w:rsid w:val="00862731"/>
    <w:rsid w:val="00863FF8"/>
    <w:rsid w:val="0086427E"/>
    <w:rsid w:val="008709A5"/>
    <w:rsid w:val="008718A5"/>
    <w:rsid w:val="00873E40"/>
    <w:rsid w:val="00876F4E"/>
    <w:rsid w:val="0087790E"/>
    <w:rsid w:val="00881ED2"/>
    <w:rsid w:val="008830D4"/>
    <w:rsid w:val="00886921"/>
    <w:rsid w:val="00887741"/>
    <w:rsid w:val="00891104"/>
    <w:rsid w:val="008934F2"/>
    <w:rsid w:val="008936B0"/>
    <w:rsid w:val="008945F5"/>
    <w:rsid w:val="0089492B"/>
    <w:rsid w:val="00895A98"/>
    <w:rsid w:val="008A4991"/>
    <w:rsid w:val="008A5405"/>
    <w:rsid w:val="008A76B3"/>
    <w:rsid w:val="008B1AD7"/>
    <w:rsid w:val="008C1E58"/>
    <w:rsid w:val="008C6C43"/>
    <w:rsid w:val="008D0278"/>
    <w:rsid w:val="008D0C73"/>
    <w:rsid w:val="008D1E36"/>
    <w:rsid w:val="008D5103"/>
    <w:rsid w:val="008D5956"/>
    <w:rsid w:val="008D6845"/>
    <w:rsid w:val="008D7F0E"/>
    <w:rsid w:val="008E50EC"/>
    <w:rsid w:val="008E7E9F"/>
    <w:rsid w:val="008F0B4F"/>
    <w:rsid w:val="008F4962"/>
    <w:rsid w:val="009001EF"/>
    <w:rsid w:val="00902BB1"/>
    <w:rsid w:val="00912AC9"/>
    <w:rsid w:val="00913F39"/>
    <w:rsid w:val="00917419"/>
    <w:rsid w:val="009219F2"/>
    <w:rsid w:val="009230CC"/>
    <w:rsid w:val="00923815"/>
    <w:rsid w:val="00924615"/>
    <w:rsid w:val="009251EC"/>
    <w:rsid w:val="00927183"/>
    <w:rsid w:val="00931061"/>
    <w:rsid w:val="00931EBA"/>
    <w:rsid w:val="00935B38"/>
    <w:rsid w:val="00935B66"/>
    <w:rsid w:val="00945E18"/>
    <w:rsid w:val="009465A2"/>
    <w:rsid w:val="00960F00"/>
    <w:rsid w:val="00961897"/>
    <w:rsid w:val="009639CC"/>
    <w:rsid w:val="00972638"/>
    <w:rsid w:val="009757A2"/>
    <w:rsid w:val="009759E9"/>
    <w:rsid w:val="00976815"/>
    <w:rsid w:val="00977031"/>
    <w:rsid w:val="00977254"/>
    <w:rsid w:val="00977EA5"/>
    <w:rsid w:val="00983C43"/>
    <w:rsid w:val="00986231"/>
    <w:rsid w:val="00990B30"/>
    <w:rsid w:val="009944C9"/>
    <w:rsid w:val="00996FDF"/>
    <w:rsid w:val="00997C31"/>
    <w:rsid w:val="009A1DD4"/>
    <w:rsid w:val="009A251C"/>
    <w:rsid w:val="009A49FD"/>
    <w:rsid w:val="009A585A"/>
    <w:rsid w:val="009A63F8"/>
    <w:rsid w:val="009B2750"/>
    <w:rsid w:val="009B5E90"/>
    <w:rsid w:val="009C5819"/>
    <w:rsid w:val="009C6305"/>
    <w:rsid w:val="009C676C"/>
    <w:rsid w:val="009C74CA"/>
    <w:rsid w:val="009D156F"/>
    <w:rsid w:val="009D2167"/>
    <w:rsid w:val="009D5115"/>
    <w:rsid w:val="009D70B9"/>
    <w:rsid w:val="009D78BE"/>
    <w:rsid w:val="009E74CE"/>
    <w:rsid w:val="009F0D74"/>
    <w:rsid w:val="009F2496"/>
    <w:rsid w:val="009F2E5C"/>
    <w:rsid w:val="009F472E"/>
    <w:rsid w:val="009F54F1"/>
    <w:rsid w:val="00A00AE8"/>
    <w:rsid w:val="00A01FFE"/>
    <w:rsid w:val="00A02D0B"/>
    <w:rsid w:val="00A060EE"/>
    <w:rsid w:val="00A0738C"/>
    <w:rsid w:val="00A075ED"/>
    <w:rsid w:val="00A12210"/>
    <w:rsid w:val="00A14B00"/>
    <w:rsid w:val="00A14D39"/>
    <w:rsid w:val="00A1513E"/>
    <w:rsid w:val="00A16DDA"/>
    <w:rsid w:val="00A17716"/>
    <w:rsid w:val="00A20727"/>
    <w:rsid w:val="00A21565"/>
    <w:rsid w:val="00A22A4A"/>
    <w:rsid w:val="00A235D9"/>
    <w:rsid w:val="00A252AA"/>
    <w:rsid w:val="00A2546B"/>
    <w:rsid w:val="00A26312"/>
    <w:rsid w:val="00A342C2"/>
    <w:rsid w:val="00A34899"/>
    <w:rsid w:val="00A44778"/>
    <w:rsid w:val="00A47305"/>
    <w:rsid w:val="00A5131D"/>
    <w:rsid w:val="00A5261A"/>
    <w:rsid w:val="00A56767"/>
    <w:rsid w:val="00A600FA"/>
    <w:rsid w:val="00A666AF"/>
    <w:rsid w:val="00A676C4"/>
    <w:rsid w:val="00A76D15"/>
    <w:rsid w:val="00A82F44"/>
    <w:rsid w:val="00A8340A"/>
    <w:rsid w:val="00A84D39"/>
    <w:rsid w:val="00A9750F"/>
    <w:rsid w:val="00AA1FAB"/>
    <w:rsid w:val="00AA2A8D"/>
    <w:rsid w:val="00AB041D"/>
    <w:rsid w:val="00AB1D3B"/>
    <w:rsid w:val="00AB3176"/>
    <w:rsid w:val="00AB3764"/>
    <w:rsid w:val="00AB60B4"/>
    <w:rsid w:val="00AC1DAB"/>
    <w:rsid w:val="00AC33DD"/>
    <w:rsid w:val="00AC4095"/>
    <w:rsid w:val="00AD3378"/>
    <w:rsid w:val="00AD4066"/>
    <w:rsid w:val="00AD4978"/>
    <w:rsid w:val="00AE227E"/>
    <w:rsid w:val="00AE24E4"/>
    <w:rsid w:val="00AE383D"/>
    <w:rsid w:val="00AE5035"/>
    <w:rsid w:val="00AE5484"/>
    <w:rsid w:val="00AE6191"/>
    <w:rsid w:val="00AE6A11"/>
    <w:rsid w:val="00AF314C"/>
    <w:rsid w:val="00AF5055"/>
    <w:rsid w:val="00B03A6B"/>
    <w:rsid w:val="00B04E0C"/>
    <w:rsid w:val="00B0524E"/>
    <w:rsid w:val="00B06168"/>
    <w:rsid w:val="00B06FBE"/>
    <w:rsid w:val="00B156C1"/>
    <w:rsid w:val="00B177EB"/>
    <w:rsid w:val="00B1785B"/>
    <w:rsid w:val="00B21F63"/>
    <w:rsid w:val="00B2556B"/>
    <w:rsid w:val="00B263DC"/>
    <w:rsid w:val="00B31AE8"/>
    <w:rsid w:val="00B342E4"/>
    <w:rsid w:val="00B349ED"/>
    <w:rsid w:val="00B34F95"/>
    <w:rsid w:val="00B35CAF"/>
    <w:rsid w:val="00B363AC"/>
    <w:rsid w:val="00B36F20"/>
    <w:rsid w:val="00B37191"/>
    <w:rsid w:val="00B40C16"/>
    <w:rsid w:val="00B43630"/>
    <w:rsid w:val="00B43E6C"/>
    <w:rsid w:val="00B4454B"/>
    <w:rsid w:val="00B47A91"/>
    <w:rsid w:val="00B50C6D"/>
    <w:rsid w:val="00B54C8C"/>
    <w:rsid w:val="00B555E1"/>
    <w:rsid w:val="00B57B88"/>
    <w:rsid w:val="00B57F41"/>
    <w:rsid w:val="00B615C5"/>
    <w:rsid w:val="00B61638"/>
    <w:rsid w:val="00B63619"/>
    <w:rsid w:val="00B63EFC"/>
    <w:rsid w:val="00B649EF"/>
    <w:rsid w:val="00B64A95"/>
    <w:rsid w:val="00B67A61"/>
    <w:rsid w:val="00B716BF"/>
    <w:rsid w:val="00B72573"/>
    <w:rsid w:val="00B73435"/>
    <w:rsid w:val="00B74DF8"/>
    <w:rsid w:val="00B7710C"/>
    <w:rsid w:val="00B77A75"/>
    <w:rsid w:val="00B80ADD"/>
    <w:rsid w:val="00B827FD"/>
    <w:rsid w:val="00B87E42"/>
    <w:rsid w:val="00B91642"/>
    <w:rsid w:val="00B97B96"/>
    <w:rsid w:val="00BA1C3D"/>
    <w:rsid w:val="00BA1DB4"/>
    <w:rsid w:val="00BA7910"/>
    <w:rsid w:val="00BB209F"/>
    <w:rsid w:val="00BB3531"/>
    <w:rsid w:val="00BB3826"/>
    <w:rsid w:val="00BB6154"/>
    <w:rsid w:val="00BC654D"/>
    <w:rsid w:val="00BD0A83"/>
    <w:rsid w:val="00BD1498"/>
    <w:rsid w:val="00BD1A7D"/>
    <w:rsid w:val="00BD2DAE"/>
    <w:rsid w:val="00BD5034"/>
    <w:rsid w:val="00BD5910"/>
    <w:rsid w:val="00BD60F5"/>
    <w:rsid w:val="00BE3288"/>
    <w:rsid w:val="00BE532B"/>
    <w:rsid w:val="00BE53CD"/>
    <w:rsid w:val="00BE746F"/>
    <w:rsid w:val="00BE7B80"/>
    <w:rsid w:val="00BF03CB"/>
    <w:rsid w:val="00BF692C"/>
    <w:rsid w:val="00BF7556"/>
    <w:rsid w:val="00BF7886"/>
    <w:rsid w:val="00BF79EE"/>
    <w:rsid w:val="00C00258"/>
    <w:rsid w:val="00C063F0"/>
    <w:rsid w:val="00C106F2"/>
    <w:rsid w:val="00C10A56"/>
    <w:rsid w:val="00C113B4"/>
    <w:rsid w:val="00C12260"/>
    <w:rsid w:val="00C15B90"/>
    <w:rsid w:val="00C2070F"/>
    <w:rsid w:val="00C21618"/>
    <w:rsid w:val="00C253EF"/>
    <w:rsid w:val="00C25740"/>
    <w:rsid w:val="00C25CA5"/>
    <w:rsid w:val="00C311C7"/>
    <w:rsid w:val="00C31623"/>
    <w:rsid w:val="00C348D3"/>
    <w:rsid w:val="00C34C91"/>
    <w:rsid w:val="00C402A4"/>
    <w:rsid w:val="00C42EE9"/>
    <w:rsid w:val="00C43833"/>
    <w:rsid w:val="00C43F4F"/>
    <w:rsid w:val="00C461AF"/>
    <w:rsid w:val="00C579FB"/>
    <w:rsid w:val="00C61560"/>
    <w:rsid w:val="00C70E1A"/>
    <w:rsid w:val="00C717A3"/>
    <w:rsid w:val="00C71D93"/>
    <w:rsid w:val="00C74813"/>
    <w:rsid w:val="00C77493"/>
    <w:rsid w:val="00C819F1"/>
    <w:rsid w:val="00C8373E"/>
    <w:rsid w:val="00C84DF3"/>
    <w:rsid w:val="00C86062"/>
    <w:rsid w:val="00C941FB"/>
    <w:rsid w:val="00CA3AF7"/>
    <w:rsid w:val="00CA3F87"/>
    <w:rsid w:val="00CA5A72"/>
    <w:rsid w:val="00CA75D2"/>
    <w:rsid w:val="00CA7652"/>
    <w:rsid w:val="00CB0D08"/>
    <w:rsid w:val="00CB18B1"/>
    <w:rsid w:val="00CB708C"/>
    <w:rsid w:val="00CC0842"/>
    <w:rsid w:val="00CC67DA"/>
    <w:rsid w:val="00CD6100"/>
    <w:rsid w:val="00CD7E32"/>
    <w:rsid w:val="00CE23D1"/>
    <w:rsid w:val="00CE3B10"/>
    <w:rsid w:val="00CE42A8"/>
    <w:rsid w:val="00CF0AF8"/>
    <w:rsid w:val="00CF280B"/>
    <w:rsid w:val="00CF2F26"/>
    <w:rsid w:val="00CF454C"/>
    <w:rsid w:val="00CF5973"/>
    <w:rsid w:val="00CF6F4F"/>
    <w:rsid w:val="00D06E54"/>
    <w:rsid w:val="00D1282F"/>
    <w:rsid w:val="00D17653"/>
    <w:rsid w:val="00D20098"/>
    <w:rsid w:val="00D31FA7"/>
    <w:rsid w:val="00D36820"/>
    <w:rsid w:val="00D3725A"/>
    <w:rsid w:val="00D404E7"/>
    <w:rsid w:val="00D4433D"/>
    <w:rsid w:val="00D44EBC"/>
    <w:rsid w:val="00D51B37"/>
    <w:rsid w:val="00D51B85"/>
    <w:rsid w:val="00D529A8"/>
    <w:rsid w:val="00D57D47"/>
    <w:rsid w:val="00D61969"/>
    <w:rsid w:val="00D730A7"/>
    <w:rsid w:val="00D74255"/>
    <w:rsid w:val="00D75C43"/>
    <w:rsid w:val="00D80E39"/>
    <w:rsid w:val="00D84417"/>
    <w:rsid w:val="00D86873"/>
    <w:rsid w:val="00D90C84"/>
    <w:rsid w:val="00D90C9A"/>
    <w:rsid w:val="00D93C9F"/>
    <w:rsid w:val="00D955B6"/>
    <w:rsid w:val="00DA3B43"/>
    <w:rsid w:val="00DB22FD"/>
    <w:rsid w:val="00DB28F0"/>
    <w:rsid w:val="00DC18AD"/>
    <w:rsid w:val="00DC1AE9"/>
    <w:rsid w:val="00DC1DBB"/>
    <w:rsid w:val="00DC2BDA"/>
    <w:rsid w:val="00DC3077"/>
    <w:rsid w:val="00DC3597"/>
    <w:rsid w:val="00DC658C"/>
    <w:rsid w:val="00DD171D"/>
    <w:rsid w:val="00DD331B"/>
    <w:rsid w:val="00DD420E"/>
    <w:rsid w:val="00DD4232"/>
    <w:rsid w:val="00DD504A"/>
    <w:rsid w:val="00DD5B65"/>
    <w:rsid w:val="00DD6DA1"/>
    <w:rsid w:val="00DE0D88"/>
    <w:rsid w:val="00DE788D"/>
    <w:rsid w:val="00DE7D90"/>
    <w:rsid w:val="00DF1CDD"/>
    <w:rsid w:val="00E04467"/>
    <w:rsid w:val="00E0476B"/>
    <w:rsid w:val="00E05DCA"/>
    <w:rsid w:val="00E1238C"/>
    <w:rsid w:val="00E123FA"/>
    <w:rsid w:val="00E12AC8"/>
    <w:rsid w:val="00E147CC"/>
    <w:rsid w:val="00E16725"/>
    <w:rsid w:val="00E2547A"/>
    <w:rsid w:val="00E32C66"/>
    <w:rsid w:val="00E37C02"/>
    <w:rsid w:val="00E41B94"/>
    <w:rsid w:val="00E41F34"/>
    <w:rsid w:val="00E43D32"/>
    <w:rsid w:val="00E47B37"/>
    <w:rsid w:val="00E51CD3"/>
    <w:rsid w:val="00E61920"/>
    <w:rsid w:val="00E630C4"/>
    <w:rsid w:val="00E63AB4"/>
    <w:rsid w:val="00E657A0"/>
    <w:rsid w:val="00E65BB9"/>
    <w:rsid w:val="00E65BBA"/>
    <w:rsid w:val="00E67717"/>
    <w:rsid w:val="00E67A2A"/>
    <w:rsid w:val="00E72226"/>
    <w:rsid w:val="00E73BE1"/>
    <w:rsid w:val="00E743F8"/>
    <w:rsid w:val="00E745EC"/>
    <w:rsid w:val="00E77C53"/>
    <w:rsid w:val="00E807AC"/>
    <w:rsid w:val="00E8227B"/>
    <w:rsid w:val="00E9050A"/>
    <w:rsid w:val="00E926C9"/>
    <w:rsid w:val="00E93BBE"/>
    <w:rsid w:val="00E9434A"/>
    <w:rsid w:val="00E9583B"/>
    <w:rsid w:val="00E968C7"/>
    <w:rsid w:val="00E97DE3"/>
    <w:rsid w:val="00EA72A0"/>
    <w:rsid w:val="00EB1F7B"/>
    <w:rsid w:val="00EB50E4"/>
    <w:rsid w:val="00EB5FF9"/>
    <w:rsid w:val="00EC22B0"/>
    <w:rsid w:val="00EC257E"/>
    <w:rsid w:val="00ED1A2A"/>
    <w:rsid w:val="00ED4F4F"/>
    <w:rsid w:val="00ED5894"/>
    <w:rsid w:val="00EE1475"/>
    <w:rsid w:val="00EE4076"/>
    <w:rsid w:val="00EF1DA8"/>
    <w:rsid w:val="00EF204E"/>
    <w:rsid w:val="00EF32A7"/>
    <w:rsid w:val="00EF429E"/>
    <w:rsid w:val="00EF5244"/>
    <w:rsid w:val="00EF6E79"/>
    <w:rsid w:val="00EF7812"/>
    <w:rsid w:val="00EF7C56"/>
    <w:rsid w:val="00F051F9"/>
    <w:rsid w:val="00F110AB"/>
    <w:rsid w:val="00F128D2"/>
    <w:rsid w:val="00F152CB"/>
    <w:rsid w:val="00F24558"/>
    <w:rsid w:val="00F31D48"/>
    <w:rsid w:val="00F449EE"/>
    <w:rsid w:val="00F45A2D"/>
    <w:rsid w:val="00F4628E"/>
    <w:rsid w:val="00F50871"/>
    <w:rsid w:val="00F51BF5"/>
    <w:rsid w:val="00F57EBD"/>
    <w:rsid w:val="00F610F3"/>
    <w:rsid w:val="00F6169B"/>
    <w:rsid w:val="00F62F0E"/>
    <w:rsid w:val="00F66F13"/>
    <w:rsid w:val="00F715ED"/>
    <w:rsid w:val="00F75A9A"/>
    <w:rsid w:val="00F76AD3"/>
    <w:rsid w:val="00F85974"/>
    <w:rsid w:val="00F906BA"/>
    <w:rsid w:val="00F90B74"/>
    <w:rsid w:val="00F927A6"/>
    <w:rsid w:val="00F96D63"/>
    <w:rsid w:val="00FA04AE"/>
    <w:rsid w:val="00FA0A1B"/>
    <w:rsid w:val="00FA14B0"/>
    <w:rsid w:val="00FA3434"/>
    <w:rsid w:val="00FA455F"/>
    <w:rsid w:val="00FA7999"/>
    <w:rsid w:val="00FA7EDC"/>
    <w:rsid w:val="00FB2411"/>
    <w:rsid w:val="00FB3B61"/>
    <w:rsid w:val="00FB489A"/>
    <w:rsid w:val="00FC71D4"/>
    <w:rsid w:val="00FC77AC"/>
    <w:rsid w:val="00FD188C"/>
    <w:rsid w:val="00FD2E61"/>
    <w:rsid w:val="00FD47FC"/>
    <w:rsid w:val="00FD5719"/>
    <w:rsid w:val="00FD61EE"/>
    <w:rsid w:val="00FE411C"/>
    <w:rsid w:val="00FE70F0"/>
    <w:rsid w:val="00FF0512"/>
    <w:rsid w:val="00FF3969"/>
    <w:rsid w:val="00FF55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C1E"/>
    <w:rPr>
      <w:rFonts w:ascii="Georgia" w:hAnsi="Georgia"/>
    </w:rPr>
  </w:style>
  <w:style w:type="paragraph" w:styleId="Heading3">
    <w:name w:val="heading 3"/>
    <w:basedOn w:val="Normal"/>
    <w:next w:val="Normal"/>
    <w:link w:val="Heading3Char"/>
    <w:uiPriority w:val="9"/>
    <w:unhideWhenUsed/>
    <w:qFormat/>
    <w:rsid w:val="00B04E0C"/>
    <w:pPr>
      <w:keepNext/>
      <w:keepLines/>
      <w:spacing w:before="200" w:after="0" w:line="240" w:lineRule="auto"/>
      <w:outlineLvl w:val="2"/>
    </w:pPr>
    <w:rPr>
      <w:rFonts w:asciiTheme="majorHAnsi" w:eastAsiaTheme="majorEastAsia" w:hAnsiTheme="majorHAnsi" w:cstheme="majorBidi"/>
      <w:b/>
      <w:bCs/>
      <w:color w:val="5B9BD5"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2DCA"/>
    <w:pPr>
      <w:spacing w:after="0" w:line="240" w:lineRule="auto"/>
    </w:pPr>
    <w:rPr>
      <w:rFonts w:ascii="Calibri" w:eastAsia="Calibri" w:hAnsi="Calibri" w:cs="Arial"/>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fn,Footnote ak,footnote text,fn Char,footnote text Char,Footnotes Char,Footnote ak Char,ft,fn cafc,Footnotes Char Char,Footnote Text Char Char,fn Char Char,footnote text Char Char Char Ch,Footnote Text English"/>
    <w:basedOn w:val="Normal"/>
    <w:link w:val="FootnoteTextChar"/>
    <w:uiPriority w:val="99"/>
    <w:unhideWhenUsed/>
    <w:rsid w:val="00042DCA"/>
    <w:pPr>
      <w:spacing w:after="0" w:line="240" w:lineRule="auto"/>
    </w:pPr>
    <w:rPr>
      <w:sz w:val="20"/>
      <w:szCs w:val="20"/>
    </w:rPr>
  </w:style>
  <w:style w:type="character" w:customStyle="1" w:styleId="FootnoteTextChar">
    <w:name w:val="Footnote Text Char"/>
    <w:aliases w:val="fn Char1,Footnote ak Char1,footnote text Char1,fn Char Char1,footnote text Char Char,Footnotes Char Char1,Footnote ak Char Char,ft Char,fn cafc Char,Footnotes Char Char Char,Footnote Text Char Char Char,fn Char Char Char"/>
    <w:basedOn w:val="DefaultParagraphFont"/>
    <w:link w:val="FootnoteText"/>
    <w:uiPriority w:val="99"/>
    <w:rsid w:val="00042DCA"/>
    <w:rPr>
      <w:sz w:val="20"/>
      <w:szCs w:val="20"/>
    </w:rPr>
  </w:style>
  <w:style w:type="character" w:styleId="FootnoteReference">
    <w:name w:val="footnote reference"/>
    <w:aliases w:val="ftref"/>
    <w:basedOn w:val="DefaultParagraphFont"/>
    <w:uiPriority w:val="99"/>
    <w:rsid w:val="00042DCA"/>
    <w:rPr>
      <w:rFonts w:cs="Times New Roman"/>
      <w:vertAlign w:val="superscript"/>
    </w:rPr>
  </w:style>
  <w:style w:type="character" w:styleId="Hyperlink">
    <w:name w:val="Hyperlink"/>
    <w:basedOn w:val="DefaultParagraphFont"/>
    <w:uiPriority w:val="99"/>
    <w:rsid w:val="005A62F6"/>
    <w:rPr>
      <w:rFonts w:cs="Times New Roman"/>
      <w:color w:val="0000FF"/>
      <w:u w:val="single"/>
    </w:rPr>
  </w:style>
  <w:style w:type="table" w:customStyle="1" w:styleId="TableGrid1">
    <w:name w:val="Table Grid1"/>
    <w:basedOn w:val="TableNormal"/>
    <w:next w:val="TableGrid"/>
    <w:uiPriority w:val="59"/>
    <w:rsid w:val="00215CCE"/>
    <w:pPr>
      <w:spacing w:after="0" w:line="240" w:lineRule="auto"/>
    </w:pPr>
    <w:rPr>
      <w:rFonts w:ascii="Calibri" w:eastAsia="Calibri" w:hAnsi="Calibri" w:cs="Arial"/>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215CCE"/>
    <w:pPr>
      <w:spacing w:after="0" w:line="240" w:lineRule="auto"/>
    </w:pPr>
    <w:rPr>
      <w:rFonts w:ascii="Calibri" w:eastAsia="Calibri" w:hAnsi="Calibri" w:cs="Arial"/>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15C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5CCE"/>
  </w:style>
  <w:style w:type="paragraph" w:styleId="Footer">
    <w:name w:val="footer"/>
    <w:basedOn w:val="Normal"/>
    <w:link w:val="FooterChar"/>
    <w:uiPriority w:val="99"/>
    <w:unhideWhenUsed/>
    <w:rsid w:val="00215C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5CCE"/>
  </w:style>
  <w:style w:type="paragraph" w:styleId="ListParagraph">
    <w:name w:val="List Paragraph"/>
    <w:aliases w:val="List Paragraph2,List Paragraph1,Recommendation,List Paragraph11,Dot pt,F5 List Paragraph,No Spacing1,List Paragraph Char Char Char,Indicator Text,Numbered Para 1,Bullet 1,List Paragraph12,Bullet Points,MAIN CONTENT"/>
    <w:basedOn w:val="Normal"/>
    <w:link w:val="ListParagraphChar"/>
    <w:uiPriority w:val="34"/>
    <w:qFormat/>
    <w:rsid w:val="00B2556B"/>
    <w:pPr>
      <w:ind w:left="720"/>
      <w:contextualSpacing/>
    </w:pPr>
  </w:style>
  <w:style w:type="character" w:styleId="CommentReference">
    <w:name w:val="annotation reference"/>
    <w:basedOn w:val="DefaultParagraphFont"/>
    <w:uiPriority w:val="99"/>
    <w:rsid w:val="003E61E7"/>
    <w:rPr>
      <w:rFonts w:cs="Times New Roman"/>
      <w:sz w:val="16"/>
      <w:szCs w:val="16"/>
    </w:rPr>
  </w:style>
  <w:style w:type="paragraph" w:styleId="CommentText">
    <w:name w:val="annotation text"/>
    <w:basedOn w:val="Normal"/>
    <w:link w:val="CommentTextChar"/>
    <w:uiPriority w:val="99"/>
    <w:rsid w:val="003E61E7"/>
    <w:pPr>
      <w:spacing w:after="200" w:line="240" w:lineRule="auto"/>
    </w:pPr>
    <w:rPr>
      <w:rFonts w:eastAsia="Calibri" w:cs="Arial"/>
      <w:b/>
      <w:sz w:val="20"/>
      <w:szCs w:val="20"/>
      <w:lang w:val="en-US"/>
    </w:rPr>
  </w:style>
  <w:style w:type="character" w:customStyle="1" w:styleId="CommentTextChar">
    <w:name w:val="Comment Text Char"/>
    <w:basedOn w:val="DefaultParagraphFont"/>
    <w:link w:val="CommentText"/>
    <w:uiPriority w:val="99"/>
    <w:rsid w:val="003E61E7"/>
    <w:rPr>
      <w:rFonts w:ascii="Georgia" w:eastAsia="Calibri" w:hAnsi="Georgia" w:cs="Arial"/>
      <w:b/>
      <w:sz w:val="20"/>
      <w:szCs w:val="20"/>
      <w:lang w:val="en-US"/>
    </w:rPr>
  </w:style>
  <w:style w:type="paragraph" w:styleId="BalloonText">
    <w:name w:val="Balloon Text"/>
    <w:basedOn w:val="Normal"/>
    <w:link w:val="BalloonTextChar"/>
    <w:uiPriority w:val="99"/>
    <w:semiHidden/>
    <w:unhideWhenUsed/>
    <w:rsid w:val="003E61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1E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449EE"/>
    <w:pPr>
      <w:spacing w:after="160"/>
    </w:pPr>
    <w:rPr>
      <w:rFonts w:asciiTheme="minorHAnsi" w:eastAsiaTheme="minorHAnsi" w:hAnsiTheme="minorHAnsi" w:cstheme="minorBidi"/>
      <w:bCs/>
      <w:lang w:val="en-GB"/>
    </w:rPr>
  </w:style>
  <w:style w:type="character" w:customStyle="1" w:styleId="CommentSubjectChar">
    <w:name w:val="Comment Subject Char"/>
    <w:basedOn w:val="CommentTextChar"/>
    <w:link w:val="CommentSubject"/>
    <w:uiPriority w:val="99"/>
    <w:semiHidden/>
    <w:rsid w:val="00F449EE"/>
    <w:rPr>
      <w:rFonts w:ascii="Georgia" w:eastAsia="Calibri" w:hAnsi="Georgia" w:cs="Arial"/>
      <w:b/>
      <w:bCs/>
      <w:sz w:val="20"/>
      <w:szCs w:val="20"/>
      <w:lang w:val="en-US"/>
    </w:rPr>
  </w:style>
  <w:style w:type="character" w:styleId="FollowedHyperlink">
    <w:name w:val="FollowedHyperlink"/>
    <w:basedOn w:val="DefaultParagraphFont"/>
    <w:uiPriority w:val="99"/>
    <w:semiHidden/>
    <w:unhideWhenUsed/>
    <w:rsid w:val="001A0847"/>
    <w:rPr>
      <w:color w:val="954F72" w:themeColor="followedHyperlink"/>
      <w:u w:val="single"/>
    </w:rPr>
  </w:style>
  <w:style w:type="paragraph" w:styleId="Caption">
    <w:name w:val="caption"/>
    <w:basedOn w:val="Normal"/>
    <w:next w:val="Normal"/>
    <w:uiPriority w:val="35"/>
    <w:unhideWhenUsed/>
    <w:qFormat/>
    <w:rsid w:val="00B06FBE"/>
    <w:pPr>
      <w:spacing w:after="200" w:line="240" w:lineRule="auto"/>
    </w:pPr>
    <w:rPr>
      <w:rFonts w:ascii="Calibri" w:eastAsia="Calibri" w:hAnsi="Calibri" w:cs="Times New Roman"/>
      <w:b/>
      <w:bCs/>
      <w:color w:val="5B9BD5" w:themeColor="accent1"/>
      <w:sz w:val="18"/>
      <w:szCs w:val="18"/>
      <w:lang w:val="en-US"/>
    </w:rPr>
  </w:style>
  <w:style w:type="character" w:customStyle="1" w:styleId="ListParagraphChar">
    <w:name w:val="List Paragraph Char"/>
    <w:aliases w:val="List Paragraph2 Char,List Paragraph1 Char,Recommendation Char,List Paragraph11 Char,Dot pt Char,F5 List Paragraph Char,No Spacing1 Char,List Paragraph Char Char Char Char,Indicator Text Char,Numbered Para 1 Char,Bullet 1 Char"/>
    <w:basedOn w:val="DefaultParagraphFont"/>
    <w:link w:val="ListParagraph"/>
    <w:uiPriority w:val="34"/>
    <w:qFormat/>
    <w:locked/>
    <w:rsid w:val="005A5815"/>
    <w:rPr>
      <w:rFonts w:ascii="Georgia" w:hAnsi="Georgia"/>
    </w:rPr>
  </w:style>
  <w:style w:type="paragraph" w:styleId="Revision">
    <w:name w:val="Revision"/>
    <w:hidden/>
    <w:uiPriority w:val="99"/>
    <w:semiHidden/>
    <w:rsid w:val="00ED5894"/>
    <w:pPr>
      <w:spacing w:after="0" w:line="240" w:lineRule="auto"/>
    </w:pPr>
    <w:rPr>
      <w:rFonts w:ascii="Georgia" w:hAnsi="Georgia"/>
    </w:rPr>
  </w:style>
  <w:style w:type="paragraph" w:customStyle="1" w:styleId="Default">
    <w:name w:val="Default"/>
    <w:rsid w:val="00AB3176"/>
    <w:pPr>
      <w:autoSpaceDE w:val="0"/>
      <w:autoSpaceDN w:val="0"/>
      <w:adjustRightInd w:val="0"/>
      <w:spacing w:after="0" w:line="240" w:lineRule="auto"/>
    </w:pPr>
    <w:rPr>
      <w:rFonts w:ascii="Arial" w:hAnsi="Arial" w:cs="Arial"/>
      <w:color w:val="000000"/>
      <w:sz w:val="24"/>
      <w:szCs w:val="24"/>
      <w:lang w:val="en-US" w:bidi="ne-NP"/>
    </w:rPr>
  </w:style>
  <w:style w:type="character" w:customStyle="1" w:styleId="Heading3Char">
    <w:name w:val="Heading 3 Char"/>
    <w:basedOn w:val="DefaultParagraphFont"/>
    <w:link w:val="Heading3"/>
    <w:uiPriority w:val="9"/>
    <w:rsid w:val="00B04E0C"/>
    <w:rPr>
      <w:rFonts w:asciiTheme="majorHAnsi" w:eastAsiaTheme="majorEastAsia" w:hAnsiTheme="majorHAnsi" w:cstheme="majorBidi"/>
      <w:b/>
      <w:bCs/>
      <w:color w:val="5B9BD5" w:themeColor="accent1"/>
      <w:sz w:val="24"/>
      <w:szCs w:val="24"/>
    </w:rPr>
  </w:style>
</w:styles>
</file>

<file path=word/webSettings.xml><?xml version="1.0" encoding="utf-8"?>
<w:webSettings xmlns:r="http://schemas.openxmlformats.org/officeDocument/2006/relationships" xmlns:w="http://schemas.openxmlformats.org/wordprocessingml/2006/main">
  <w:divs>
    <w:div w:id="42028502">
      <w:bodyDiv w:val="1"/>
      <w:marLeft w:val="0"/>
      <w:marRight w:val="0"/>
      <w:marTop w:val="0"/>
      <w:marBottom w:val="0"/>
      <w:divBdr>
        <w:top w:val="none" w:sz="0" w:space="0" w:color="auto"/>
        <w:left w:val="none" w:sz="0" w:space="0" w:color="auto"/>
        <w:bottom w:val="none" w:sz="0" w:space="0" w:color="auto"/>
        <w:right w:val="none" w:sz="0" w:space="0" w:color="auto"/>
      </w:divBdr>
    </w:div>
    <w:div w:id="88744035">
      <w:bodyDiv w:val="1"/>
      <w:marLeft w:val="0"/>
      <w:marRight w:val="0"/>
      <w:marTop w:val="0"/>
      <w:marBottom w:val="0"/>
      <w:divBdr>
        <w:top w:val="none" w:sz="0" w:space="0" w:color="auto"/>
        <w:left w:val="none" w:sz="0" w:space="0" w:color="auto"/>
        <w:bottom w:val="none" w:sz="0" w:space="0" w:color="auto"/>
        <w:right w:val="none" w:sz="0" w:space="0" w:color="auto"/>
      </w:divBdr>
    </w:div>
    <w:div w:id="216011035">
      <w:bodyDiv w:val="1"/>
      <w:marLeft w:val="0"/>
      <w:marRight w:val="0"/>
      <w:marTop w:val="0"/>
      <w:marBottom w:val="0"/>
      <w:divBdr>
        <w:top w:val="none" w:sz="0" w:space="0" w:color="auto"/>
        <w:left w:val="none" w:sz="0" w:space="0" w:color="auto"/>
        <w:bottom w:val="none" w:sz="0" w:space="0" w:color="auto"/>
        <w:right w:val="none" w:sz="0" w:space="0" w:color="auto"/>
      </w:divBdr>
    </w:div>
    <w:div w:id="238708497">
      <w:bodyDiv w:val="1"/>
      <w:marLeft w:val="0"/>
      <w:marRight w:val="0"/>
      <w:marTop w:val="0"/>
      <w:marBottom w:val="0"/>
      <w:divBdr>
        <w:top w:val="none" w:sz="0" w:space="0" w:color="auto"/>
        <w:left w:val="none" w:sz="0" w:space="0" w:color="auto"/>
        <w:bottom w:val="none" w:sz="0" w:space="0" w:color="auto"/>
        <w:right w:val="none" w:sz="0" w:space="0" w:color="auto"/>
      </w:divBdr>
    </w:div>
    <w:div w:id="381564535">
      <w:bodyDiv w:val="1"/>
      <w:marLeft w:val="0"/>
      <w:marRight w:val="0"/>
      <w:marTop w:val="0"/>
      <w:marBottom w:val="0"/>
      <w:divBdr>
        <w:top w:val="none" w:sz="0" w:space="0" w:color="auto"/>
        <w:left w:val="none" w:sz="0" w:space="0" w:color="auto"/>
        <w:bottom w:val="none" w:sz="0" w:space="0" w:color="auto"/>
        <w:right w:val="none" w:sz="0" w:space="0" w:color="auto"/>
      </w:divBdr>
    </w:div>
    <w:div w:id="660501698">
      <w:bodyDiv w:val="1"/>
      <w:marLeft w:val="0"/>
      <w:marRight w:val="0"/>
      <w:marTop w:val="0"/>
      <w:marBottom w:val="0"/>
      <w:divBdr>
        <w:top w:val="none" w:sz="0" w:space="0" w:color="auto"/>
        <w:left w:val="none" w:sz="0" w:space="0" w:color="auto"/>
        <w:bottom w:val="none" w:sz="0" w:space="0" w:color="auto"/>
        <w:right w:val="none" w:sz="0" w:space="0" w:color="auto"/>
      </w:divBdr>
    </w:div>
    <w:div w:id="805044972">
      <w:bodyDiv w:val="1"/>
      <w:marLeft w:val="0"/>
      <w:marRight w:val="0"/>
      <w:marTop w:val="0"/>
      <w:marBottom w:val="0"/>
      <w:divBdr>
        <w:top w:val="none" w:sz="0" w:space="0" w:color="auto"/>
        <w:left w:val="none" w:sz="0" w:space="0" w:color="auto"/>
        <w:bottom w:val="none" w:sz="0" w:space="0" w:color="auto"/>
        <w:right w:val="none" w:sz="0" w:space="0" w:color="auto"/>
      </w:divBdr>
    </w:div>
    <w:div w:id="858273708">
      <w:bodyDiv w:val="1"/>
      <w:marLeft w:val="0"/>
      <w:marRight w:val="0"/>
      <w:marTop w:val="0"/>
      <w:marBottom w:val="0"/>
      <w:divBdr>
        <w:top w:val="none" w:sz="0" w:space="0" w:color="auto"/>
        <w:left w:val="none" w:sz="0" w:space="0" w:color="auto"/>
        <w:bottom w:val="none" w:sz="0" w:space="0" w:color="auto"/>
        <w:right w:val="none" w:sz="0" w:space="0" w:color="auto"/>
      </w:divBdr>
    </w:div>
    <w:div w:id="1009406602">
      <w:bodyDiv w:val="1"/>
      <w:marLeft w:val="0"/>
      <w:marRight w:val="0"/>
      <w:marTop w:val="0"/>
      <w:marBottom w:val="0"/>
      <w:divBdr>
        <w:top w:val="none" w:sz="0" w:space="0" w:color="auto"/>
        <w:left w:val="none" w:sz="0" w:space="0" w:color="auto"/>
        <w:bottom w:val="none" w:sz="0" w:space="0" w:color="auto"/>
        <w:right w:val="none" w:sz="0" w:space="0" w:color="auto"/>
      </w:divBdr>
    </w:div>
    <w:div w:id="1089930498">
      <w:bodyDiv w:val="1"/>
      <w:marLeft w:val="0"/>
      <w:marRight w:val="0"/>
      <w:marTop w:val="0"/>
      <w:marBottom w:val="0"/>
      <w:divBdr>
        <w:top w:val="none" w:sz="0" w:space="0" w:color="auto"/>
        <w:left w:val="none" w:sz="0" w:space="0" w:color="auto"/>
        <w:bottom w:val="none" w:sz="0" w:space="0" w:color="auto"/>
        <w:right w:val="none" w:sz="0" w:space="0" w:color="auto"/>
      </w:divBdr>
    </w:div>
    <w:div w:id="1336572309">
      <w:bodyDiv w:val="1"/>
      <w:marLeft w:val="0"/>
      <w:marRight w:val="0"/>
      <w:marTop w:val="0"/>
      <w:marBottom w:val="0"/>
      <w:divBdr>
        <w:top w:val="none" w:sz="0" w:space="0" w:color="auto"/>
        <w:left w:val="none" w:sz="0" w:space="0" w:color="auto"/>
        <w:bottom w:val="none" w:sz="0" w:space="0" w:color="auto"/>
        <w:right w:val="none" w:sz="0" w:space="0" w:color="auto"/>
      </w:divBdr>
    </w:div>
    <w:div w:id="1458985510">
      <w:bodyDiv w:val="1"/>
      <w:marLeft w:val="0"/>
      <w:marRight w:val="0"/>
      <w:marTop w:val="0"/>
      <w:marBottom w:val="0"/>
      <w:divBdr>
        <w:top w:val="none" w:sz="0" w:space="0" w:color="auto"/>
        <w:left w:val="none" w:sz="0" w:space="0" w:color="auto"/>
        <w:bottom w:val="none" w:sz="0" w:space="0" w:color="auto"/>
        <w:right w:val="none" w:sz="0" w:space="0" w:color="auto"/>
      </w:divBdr>
    </w:div>
    <w:div w:id="1489905774">
      <w:bodyDiv w:val="1"/>
      <w:marLeft w:val="0"/>
      <w:marRight w:val="0"/>
      <w:marTop w:val="0"/>
      <w:marBottom w:val="0"/>
      <w:divBdr>
        <w:top w:val="none" w:sz="0" w:space="0" w:color="auto"/>
        <w:left w:val="none" w:sz="0" w:space="0" w:color="auto"/>
        <w:bottom w:val="none" w:sz="0" w:space="0" w:color="auto"/>
        <w:right w:val="none" w:sz="0" w:space="0" w:color="auto"/>
      </w:divBdr>
    </w:div>
    <w:div w:id="1604993292">
      <w:bodyDiv w:val="1"/>
      <w:marLeft w:val="0"/>
      <w:marRight w:val="0"/>
      <w:marTop w:val="0"/>
      <w:marBottom w:val="0"/>
      <w:divBdr>
        <w:top w:val="none" w:sz="0" w:space="0" w:color="auto"/>
        <w:left w:val="none" w:sz="0" w:space="0" w:color="auto"/>
        <w:bottom w:val="none" w:sz="0" w:space="0" w:color="auto"/>
        <w:right w:val="none" w:sz="0" w:space="0" w:color="auto"/>
      </w:divBdr>
    </w:div>
    <w:div w:id="1642881696">
      <w:bodyDiv w:val="1"/>
      <w:marLeft w:val="0"/>
      <w:marRight w:val="0"/>
      <w:marTop w:val="0"/>
      <w:marBottom w:val="0"/>
      <w:divBdr>
        <w:top w:val="none" w:sz="0" w:space="0" w:color="auto"/>
        <w:left w:val="none" w:sz="0" w:space="0" w:color="auto"/>
        <w:bottom w:val="none" w:sz="0" w:space="0" w:color="auto"/>
        <w:right w:val="none" w:sz="0" w:space="0" w:color="auto"/>
      </w:divBdr>
    </w:div>
    <w:div w:id="1669476656">
      <w:bodyDiv w:val="1"/>
      <w:marLeft w:val="0"/>
      <w:marRight w:val="0"/>
      <w:marTop w:val="0"/>
      <w:marBottom w:val="0"/>
      <w:divBdr>
        <w:top w:val="none" w:sz="0" w:space="0" w:color="auto"/>
        <w:left w:val="none" w:sz="0" w:space="0" w:color="auto"/>
        <w:bottom w:val="none" w:sz="0" w:space="0" w:color="auto"/>
        <w:right w:val="none" w:sz="0" w:space="0" w:color="auto"/>
      </w:divBdr>
    </w:div>
    <w:div w:id="1706251164">
      <w:bodyDiv w:val="1"/>
      <w:marLeft w:val="0"/>
      <w:marRight w:val="0"/>
      <w:marTop w:val="0"/>
      <w:marBottom w:val="0"/>
      <w:divBdr>
        <w:top w:val="none" w:sz="0" w:space="0" w:color="auto"/>
        <w:left w:val="none" w:sz="0" w:space="0" w:color="auto"/>
        <w:bottom w:val="none" w:sz="0" w:space="0" w:color="auto"/>
        <w:right w:val="none" w:sz="0" w:space="0" w:color="auto"/>
      </w:divBdr>
    </w:div>
    <w:div w:id="2073233058">
      <w:bodyDiv w:val="1"/>
      <w:marLeft w:val="0"/>
      <w:marRight w:val="0"/>
      <w:marTop w:val="0"/>
      <w:marBottom w:val="0"/>
      <w:divBdr>
        <w:top w:val="none" w:sz="0" w:space="0" w:color="auto"/>
        <w:left w:val="none" w:sz="0" w:space="0" w:color="auto"/>
        <w:bottom w:val="none" w:sz="0" w:space="0" w:color="auto"/>
        <w:right w:val="none" w:sz="0" w:space="0" w:color="auto"/>
      </w:divBdr>
    </w:div>
    <w:div w:id="2144930556">
      <w:bodyDiv w:val="1"/>
      <w:marLeft w:val="0"/>
      <w:marRight w:val="0"/>
      <w:marTop w:val="0"/>
      <w:marBottom w:val="0"/>
      <w:divBdr>
        <w:top w:val="none" w:sz="0" w:space="0" w:color="auto"/>
        <w:left w:val="none" w:sz="0" w:space="0" w:color="auto"/>
        <w:bottom w:val="none" w:sz="0" w:space="0" w:color="auto"/>
        <w:right w:val="none" w:sz="0" w:space="0" w:color="auto"/>
      </w:divBdr>
    </w:div>
    <w:div w:id="214638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theglobalfund.org/en/applying/funding/resources/" TargetMode="External"/><Relationship Id="rId18" Type="http://schemas.openxmlformats.org/officeDocument/2006/relationships/chart" Target="charts/chart1.xml"/><Relationship Id="rId3" Type="http://schemas.openxmlformats.org/officeDocument/2006/relationships/customXml" Target="../customXml/item3.xml"/><Relationship Id="rId21" Type="http://schemas.openxmlformats.org/officeDocument/2006/relationships/chart" Target="charts/chart2.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theglobalfund.org/en/applying/funding/resources/"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theglobalfund.org/en/fundingmodel/process/cofinancing/" TargetMode="External"/><Relationship Id="rId1" Type="http://schemas.openxmlformats.org/officeDocument/2006/relationships/hyperlink" Target="http://www.theglobalfund.org/en/fundingmodel/process/eligibility/"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seanhewitt:Dropbox:Nepal%20GFATM%20Malaria%202017:NEP%20data%20analysis%20and%20epi%20modeling:NEP%20age-sex%20district%2017071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cintosh%20HD:Users:seanhewitt:Desktop:Table%20for%20funding%20request%20narrative%2017082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8"/>
  <c:chart>
    <c:plotArea>
      <c:layout>
        <c:manualLayout>
          <c:layoutTarget val="inner"/>
          <c:xMode val="edge"/>
          <c:yMode val="edge"/>
          <c:x val="0.12117590435669906"/>
          <c:y val="5.316973415132923E-2"/>
          <c:w val="0.84703925456750728"/>
          <c:h val="0.78556430446194159"/>
        </c:manualLayout>
      </c:layout>
      <c:barChart>
        <c:barDir val="col"/>
        <c:grouping val="clustered"/>
        <c:ser>
          <c:idx val="0"/>
          <c:order val="0"/>
          <c:tx>
            <c:strRef>
              <c:f>'2016'!$T$328</c:f>
              <c:strCache>
                <c:ptCount val="1"/>
                <c:pt idx="0">
                  <c:v>males</c:v>
                </c:pt>
              </c:strCache>
            </c:strRef>
          </c:tx>
          <c:spPr>
            <a:solidFill>
              <a:srgbClr val="3366FF"/>
            </a:solidFill>
            <a:ln>
              <a:solidFill>
                <a:schemeClr val="tx1"/>
              </a:solidFill>
            </a:ln>
          </c:spPr>
          <c:cat>
            <c:strRef>
              <c:f>'2016'!$N$329:$N$333</c:f>
              <c:strCache>
                <c:ptCount val="5"/>
                <c:pt idx="0">
                  <c:v>&lt;1</c:v>
                </c:pt>
                <c:pt idx="1">
                  <c:v>1-4</c:v>
                </c:pt>
                <c:pt idx="2">
                  <c:v>5-9</c:v>
                </c:pt>
                <c:pt idx="3">
                  <c:v>10-14</c:v>
                </c:pt>
                <c:pt idx="4">
                  <c:v>15+</c:v>
                </c:pt>
              </c:strCache>
            </c:strRef>
          </c:cat>
          <c:val>
            <c:numRef>
              <c:f>'2016'!$T$329:$T$333</c:f>
              <c:numCache>
                <c:formatCode>0.0</c:formatCode>
                <c:ptCount val="5"/>
                <c:pt idx="0">
                  <c:v>6.3569615532642509E-2</c:v>
                </c:pt>
                <c:pt idx="1">
                  <c:v>6.3569615532642509E-2</c:v>
                </c:pt>
                <c:pt idx="2">
                  <c:v>0.11622721765216201</c:v>
                </c:pt>
                <c:pt idx="3">
                  <c:v>0.12222163729330103</c:v>
                </c:pt>
                <c:pt idx="4">
                  <c:v>0.29767502666248102</c:v>
                </c:pt>
              </c:numCache>
            </c:numRef>
          </c:val>
        </c:ser>
        <c:ser>
          <c:idx val="1"/>
          <c:order val="1"/>
          <c:tx>
            <c:strRef>
              <c:f>'2016'!$U$328</c:f>
              <c:strCache>
                <c:ptCount val="1"/>
                <c:pt idx="0">
                  <c:v>females</c:v>
                </c:pt>
              </c:strCache>
            </c:strRef>
          </c:tx>
          <c:spPr>
            <a:solidFill>
              <a:srgbClr val="E04B6D"/>
            </a:solidFill>
            <a:ln>
              <a:solidFill>
                <a:schemeClr val="tx1"/>
              </a:solidFill>
            </a:ln>
          </c:spPr>
          <c:cat>
            <c:strRef>
              <c:f>'2016'!$N$329:$N$333</c:f>
              <c:strCache>
                <c:ptCount val="5"/>
                <c:pt idx="0">
                  <c:v>&lt;1</c:v>
                </c:pt>
                <c:pt idx="1">
                  <c:v>1-4</c:v>
                </c:pt>
                <c:pt idx="2">
                  <c:v>5-9</c:v>
                </c:pt>
                <c:pt idx="3">
                  <c:v>10-14</c:v>
                </c:pt>
                <c:pt idx="4">
                  <c:v>15+</c:v>
                </c:pt>
              </c:strCache>
            </c:strRef>
          </c:cat>
          <c:val>
            <c:numRef>
              <c:f>'2016'!$U$329:$U$333</c:f>
              <c:numCache>
                <c:formatCode>0.0</c:formatCode>
                <c:ptCount val="5"/>
                <c:pt idx="0">
                  <c:v>3.2648954578156912E-2</c:v>
                </c:pt>
                <c:pt idx="1">
                  <c:v>3.2648954578156912E-2</c:v>
                </c:pt>
                <c:pt idx="2">
                  <c:v>8.1502663144103232E-2</c:v>
                </c:pt>
                <c:pt idx="3">
                  <c:v>3.8554463519345501E-2</c:v>
                </c:pt>
                <c:pt idx="4">
                  <c:v>0.15138185150700906</c:v>
                </c:pt>
              </c:numCache>
            </c:numRef>
          </c:val>
        </c:ser>
        <c:gapWidth val="99"/>
        <c:overlap val="50"/>
        <c:axId val="211546112"/>
        <c:axId val="211548032"/>
      </c:barChart>
      <c:catAx>
        <c:axId val="211546112"/>
        <c:scaling>
          <c:orientation val="minMax"/>
        </c:scaling>
        <c:axPos val="b"/>
        <c:title>
          <c:tx>
            <c:rich>
              <a:bodyPr/>
              <a:lstStyle/>
              <a:p>
                <a:pPr>
                  <a:defRPr b="0"/>
                </a:pPr>
                <a:r>
                  <a:rPr lang="en-US" b="0"/>
                  <a:t>age</a:t>
                </a:r>
              </a:p>
            </c:rich>
          </c:tx>
        </c:title>
        <c:numFmt formatCode="General" sourceLinked="0"/>
        <c:tickLblPos val="nextTo"/>
        <c:crossAx val="211548032"/>
        <c:crosses val="autoZero"/>
        <c:auto val="1"/>
        <c:lblAlgn val="ctr"/>
        <c:lblOffset val="100"/>
      </c:catAx>
      <c:valAx>
        <c:axId val="211548032"/>
        <c:scaling>
          <c:orientation val="minMax"/>
        </c:scaling>
        <c:axPos val="l"/>
        <c:majorGridlines/>
        <c:title>
          <c:tx>
            <c:rich>
              <a:bodyPr rot="-5400000" vert="horz"/>
              <a:lstStyle/>
              <a:p>
                <a:pPr>
                  <a:defRPr b="0"/>
                </a:pPr>
                <a:r>
                  <a:rPr lang="en-US" b="0"/>
                  <a:t>relative incidence</a:t>
                </a:r>
              </a:p>
            </c:rich>
          </c:tx>
          <c:layout>
            <c:manualLayout>
              <c:xMode val="edge"/>
              <c:yMode val="edge"/>
              <c:x val="1.7812024719404011E-2"/>
              <c:y val="0.2749454937764681"/>
            </c:manualLayout>
          </c:layout>
        </c:title>
        <c:numFmt formatCode="0.0" sourceLinked="1"/>
        <c:tickLblPos val="nextTo"/>
        <c:crossAx val="211546112"/>
        <c:crosses val="autoZero"/>
        <c:crossBetween val="between"/>
      </c:valAx>
    </c:plotArea>
    <c:legend>
      <c:legendPos val="b"/>
      <c:layout>
        <c:manualLayout>
          <c:xMode val="edge"/>
          <c:yMode val="edge"/>
          <c:x val="0.13875382630960895"/>
          <c:y val="6.305556897412358E-2"/>
          <c:w val="0.22860481681843603"/>
          <c:h val="8.2138705054506198E-2"/>
        </c:manualLayout>
      </c:layout>
    </c:legend>
    <c:plotVisOnly val="1"/>
    <c:dispBlanksAs val="gap"/>
  </c:chart>
  <c:spPr>
    <a:ln>
      <a:noFill/>
    </a:ln>
  </c:spPr>
  <c:txPr>
    <a:bodyPr/>
    <a:lstStyle/>
    <a:p>
      <a:pPr>
        <a:defRPr>
          <a:latin typeface="+mn-lt"/>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18"/>
  <c:chart>
    <c:autoTitleDeleted val="1"/>
    <c:plotArea>
      <c:layout/>
      <c:lineChart>
        <c:grouping val="standard"/>
        <c:ser>
          <c:idx val="0"/>
          <c:order val="0"/>
          <c:tx>
            <c:strRef>
              <c:f>Sheet2!$A$2</c:f>
              <c:strCache>
                <c:ptCount val="1"/>
                <c:pt idx="0">
                  <c:v>US$M</c:v>
                </c:pt>
              </c:strCache>
            </c:strRef>
          </c:tx>
          <c:spPr>
            <a:ln w="12700">
              <a:solidFill>
                <a:schemeClr val="tx1"/>
              </a:solidFill>
            </a:ln>
          </c:spPr>
          <c:marker>
            <c:symbol val="circle"/>
            <c:size val="7"/>
            <c:spPr>
              <a:solidFill>
                <a:schemeClr val="tx2">
                  <a:lumMod val="60000"/>
                  <a:lumOff val="40000"/>
                </a:schemeClr>
              </a:solidFill>
              <a:ln>
                <a:solidFill>
                  <a:schemeClr val="tx1"/>
                </a:solidFill>
              </a:ln>
            </c:spPr>
          </c:marker>
          <c:cat>
            <c:strRef>
              <c:f>Sheet2!$B$1:$H$1</c:f>
              <c:strCache>
                <c:ptCount val="7"/>
                <c:pt idx="0">
                  <c:v>2014-15</c:v>
                </c:pt>
                <c:pt idx="1">
                  <c:v>2015-16</c:v>
                </c:pt>
                <c:pt idx="2">
                  <c:v>2016-17</c:v>
                </c:pt>
                <c:pt idx="3">
                  <c:v>2017-18</c:v>
                </c:pt>
                <c:pt idx="4">
                  <c:v>2018-19</c:v>
                </c:pt>
                <c:pt idx="5">
                  <c:v>2019-20</c:v>
                </c:pt>
                <c:pt idx="6">
                  <c:v>2020-21</c:v>
                </c:pt>
              </c:strCache>
            </c:strRef>
          </c:cat>
          <c:val>
            <c:numRef>
              <c:f>Sheet2!$B$2:$H$2</c:f>
              <c:numCache>
                <c:formatCode>#,##0.0</c:formatCode>
                <c:ptCount val="7"/>
                <c:pt idx="0">
                  <c:v>0.528410526315789</c:v>
                </c:pt>
                <c:pt idx="1">
                  <c:v>0.69923299999999977</c:v>
                </c:pt>
                <c:pt idx="2">
                  <c:v>0.86764100000000044</c:v>
                </c:pt>
                <c:pt idx="3">
                  <c:v>2.7471750000000008</c:v>
                </c:pt>
                <c:pt idx="4">
                  <c:v>3.5345309999999999</c:v>
                </c:pt>
                <c:pt idx="5">
                  <c:v>1.5318979999999998</c:v>
                </c:pt>
                <c:pt idx="6">
                  <c:v>3.7192219999999998</c:v>
                </c:pt>
              </c:numCache>
            </c:numRef>
          </c:val>
        </c:ser>
        <c:marker val="1"/>
        <c:axId val="137093888"/>
        <c:axId val="137095424"/>
      </c:lineChart>
      <c:catAx>
        <c:axId val="137093888"/>
        <c:scaling>
          <c:orientation val="minMax"/>
        </c:scaling>
        <c:axPos val="b"/>
        <c:numFmt formatCode="General" sourceLinked="0"/>
        <c:tickLblPos val="nextTo"/>
        <c:crossAx val="137095424"/>
        <c:crosses val="autoZero"/>
        <c:auto val="1"/>
        <c:lblAlgn val="ctr"/>
        <c:lblOffset val="100"/>
      </c:catAx>
      <c:valAx>
        <c:axId val="137095424"/>
        <c:scaling>
          <c:orientation val="minMax"/>
        </c:scaling>
        <c:axPos val="l"/>
        <c:majorGridlines/>
        <c:title>
          <c:tx>
            <c:rich>
              <a:bodyPr rot="-5400000" vert="horz"/>
              <a:lstStyle/>
              <a:p>
                <a:pPr>
                  <a:defRPr/>
                </a:pPr>
                <a:r>
                  <a:rPr lang="en-US"/>
                  <a:t>US$M</a:t>
                </a:r>
              </a:p>
            </c:rich>
          </c:tx>
        </c:title>
        <c:numFmt formatCode="#,##0.0" sourceLinked="1"/>
        <c:tickLblPos val="nextTo"/>
        <c:crossAx val="137093888"/>
        <c:crosses val="autoZero"/>
        <c:crossBetween val="between"/>
      </c:valAx>
    </c:plotArea>
    <c:plotVisOnly val="1"/>
    <c:dispBlanksAs val="gap"/>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2714F5FB86B24744BC1AA41336D5CD4B" ma:contentTypeVersion="0" ma:contentTypeDescription="Create a new document." ma:contentTypeScope="" ma:versionID="8685a0eab63e14222efc4320bb780fb9">
  <xsd:schema xmlns:xsd="http://www.w3.org/2001/XMLSchema" xmlns:xs="http://www.w3.org/2001/XMLSchema" xmlns:p="http://schemas.microsoft.com/office/2006/metadata/properties" xmlns:ns2="a03ac030-8fc0-429e-a59d-aec15056182b" targetNamespace="http://schemas.microsoft.com/office/2006/metadata/properties" ma:root="true" ma:fieldsID="ef9b96effaf534e271422cf91052dab0" ns2:_="">
    <xsd:import namespace="a03ac030-8fc0-429e-a59d-aec15056182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ac030-8fc0-429e-a59d-aec15056182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a03ac030-8fc0-429e-a59d-aec15056182b">3NAZ7T4E3CZ3-539361286-30</_dlc_DocId>
    <_dlc_DocIdUrl xmlns="a03ac030-8fc0-429e-a59d-aec15056182b">
      <Url>https://tgf.sharepoint.com/sites/TSA2F1/A2FD/_layouts/15/DocIdRedir.aspx?ID=3NAZ7T4E3CZ3-539361286-30</Url>
      <Description>3NAZ7T4E3CZ3-539361286-30</Description>
    </_dlc_DocIdUrl>
  </documentManagement>
</p:properties>
</file>

<file path=customXml/itemProps1.xml><?xml version="1.0" encoding="utf-8"?>
<ds:datastoreItem xmlns:ds="http://schemas.openxmlformats.org/officeDocument/2006/customXml" ds:itemID="{94C9F7C9-EDF4-4A78-BAB4-A3D4AAA6B004}">
  <ds:schemaRefs>
    <ds:schemaRef ds:uri="http://schemas.microsoft.com/sharepoint/v3/contenttype/forms"/>
  </ds:schemaRefs>
</ds:datastoreItem>
</file>

<file path=customXml/itemProps2.xml><?xml version="1.0" encoding="utf-8"?>
<ds:datastoreItem xmlns:ds="http://schemas.openxmlformats.org/officeDocument/2006/customXml" ds:itemID="{4C7EA99D-29D3-4154-9155-88D5478349F8}">
  <ds:schemaRefs>
    <ds:schemaRef ds:uri="http://schemas.microsoft.com/sharepoint/events"/>
  </ds:schemaRefs>
</ds:datastoreItem>
</file>

<file path=customXml/itemProps3.xml><?xml version="1.0" encoding="utf-8"?>
<ds:datastoreItem xmlns:ds="http://schemas.openxmlformats.org/officeDocument/2006/customXml" ds:itemID="{A1661071-9F15-4AB2-B585-DF3BF6CE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3ac030-8fc0-429e-a59d-aec150561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EF745C-7D1E-4AE0-82C9-FF37D7CA9249}">
  <ds:schemaRefs>
    <ds:schemaRef ds:uri="http://schemas.openxmlformats.org/officeDocument/2006/bibliography"/>
  </ds:schemaRefs>
</ds:datastoreItem>
</file>

<file path=customXml/itemProps5.xml><?xml version="1.0" encoding="utf-8"?>
<ds:datastoreItem xmlns:ds="http://schemas.openxmlformats.org/officeDocument/2006/customXml" ds:itemID="{06FE221C-1554-47A9-A9BA-6CA0DD96BF8C}">
  <ds:schemaRefs>
    <ds:schemaRef ds:uri="http://schemas.microsoft.com/office/2006/metadata/properties"/>
    <ds:schemaRef ds:uri="http://schemas.microsoft.com/office/infopath/2007/PartnerControls"/>
    <ds:schemaRef ds:uri="a03ac030-8fc0-429e-a59d-aec15056182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10432</Words>
  <Characters>59468</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Funding Request_Full_ENG</vt:lpstr>
    </vt:vector>
  </TitlesOfParts>
  <Company>Deftones</Company>
  <LinksUpToDate>false</LinksUpToDate>
  <CharactersWithSpaces>69761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Funding Request_Full_ENG</dc:title>
  <dc:creator>Laura Stocker</dc:creator>
  <cp:lastModifiedBy>nepal</cp:lastModifiedBy>
  <cp:revision>2</cp:revision>
  <cp:lastPrinted>2017-08-13T10:16:00Z</cp:lastPrinted>
  <dcterms:created xsi:type="dcterms:W3CDTF">2019-07-28T05:59:00Z</dcterms:created>
  <dcterms:modified xsi:type="dcterms:W3CDTF">2019-07-28T05:59:00Z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0x0101002714F5FB86B24744BC1AA41336D5CD4B</vt:lpwstr>
  </property>
  <property fmtid="{D5CDD505-2E9C-101B-9397-08002B2CF9AE}" pid="3" name="_dlc_DocIdItemGuid">
    <vt:lpwstr>3ed2c8ee-c62b-4346-ab96-f135469a0c0e</vt:lpwstr>
  </property>
  <property fmtid="{D5CDD505-2E9C-101B-9397-08002B2CF9AE}" pid="4" name="_dlc_DocId">
    <vt:lpwstr>3NAZ7T4E3CZ3-1392380233-471</vt:lpwstr>
  </property>
  <property fmtid="{D5CDD505-2E9C-101B-9397-08002B2CF9AE}" pid="5" name="_dlc_DocIdUrl">
    <vt:lpwstr>https://tgf.sharepoint.com/sites/TSA2F1/ASTM/_layouts/15/DocIdRedir.aspx?ID=3NAZ7T4E3CZ3-1392380233-471, 3NAZ7T4E3CZ3-1392380233-471</vt:lpwstr>
  </property>
</Properties>
</file>